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rPr>
          <w:sz w:val="32"/>
        </w:rPr>
      </w:pPr>
      <w:r>
        <w:rPr>
          <w:sz w:val="32"/>
        </w:rPr>
        <w:t>Week Ending October 5, 2001</w:t>
      </w:r>
    </w:p>
    <w:p>
      <w:pPr>
        <w:pStyle w:val="Heading2"/>
        <w:spacing w:lineRule="atLeast" w:line="240"/>
        <w:ind w:hanging="0" w:start="0"/>
        <w:rPr>
          <w:b/>
          <w:bCs/>
          <w:color w:val="FF0000"/>
          <w:szCs w:val="20"/>
        </w:rPr>
      </w:pPr>
      <w:r>
        <w:rPr>
          <w:b/>
          <w:bCs/>
          <w:color w:val="FF0000"/>
          <w:szCs w:val="20"/>
        </w:rPr>
      </w:r>
    </w:p>
    <w:p>
      <w:pPr>
        <w:pStyle w:val="Normal"/>
        <w:autoSpaceDE w:val="false"/>
        <w:rPr>
          <w:b/>
          <w:bCs/>
          <w:color w:val="0000FF"/>
          <w:sz w:val="28"/>
        </w:rPr>
      </w:pPr>
      <w:r>
        <w:rPr>
          <w:b/>
          <w:bCs/>
          <w:color w:val="0000FF"/>
          <w:sz w:val="28"/>
        </w:rPr>
        <w:t>Omaha Planning Team</w:t>
      </w:r>
    </w:p>
    <w:p>
      <w:pPr>
        <w:pStyle w:val="BodyText"/>
        <w:rPr>
          <w:b/>
          <w:bCs/>
          <w:color w:val="0000FF"/>
          <w:sz w:val="28"/>
          <w:u w:val="single"/>
        </w:rPr>
      </w:pPr>
      <w:r>
        <w:rPr>
          <w:b/>
          <w:bCs/>
          <w:color w:val="0000FF"/>
          <w:sz w:val="28"/>
          <w:u w:val="single"/>
        </w:rPr>
        <w:t>Northern Natural Gas, Northern Border Pipe Line &amp; Midwestern Gas Transmission</w:t>
      </w:r>
    </w:p>
    <w:p>
      <w:pPr>
        <w:pStyle w:val="Normal"/>
        <w:rPr>
          <w:b/>
          <w:bCs/>
          <w:color w:val="0000FF"/>
          <w:sz w:val="28"/>
          <w:u w:val="single"/>
        </w:rPr>
      </w:pPr>
      <w:r>
        <w:rPr>
          <w:b/>
          <w:bCs/>
          <w:color w:val="0000FF"/>
          <w:sz w:val="28"/>
          <w:u w:val="single"/>
        </w:rPr>
      </w:r>
    </w:p>
    <w:p>
      <w:pPr>
        <w:pStyle w:val="Heading2"/>
        <w:ind w:hanging="0" w:start="0"/>
        <w:rPr>
          <w:b/>
          <w:bCs/>
          <w:szCs w:val="20"/>
          <w:u w:val="none"/>
        </w:rPr>
      </w:pPr>
      <w:r>
        <w:rPr>
          <w:b/>
          <w:bCs/>
          <w:szCs w:val="20"/>
          <w:u w:val="none"/>
        </w:rPr>
        <w:t>**CAS Posting Procedures</w:t>
      </w:r>
    </w:p>
    <w:p>
      <w:pPr>
        <w:pStyle w:val="Normal"/>
        <w:rPr>
          <w:szCs w:val="20"/>
        </w:rPr>
      </w:pPr>
      <w:r>
        <w:rPr>
          <w:szCs w:val="20"/>
        </w:rPr>
        <w:t>Met with Marketing, Legal, and Reg. Affairs to discuss the modifications required to both the CMS (contracts) and CAS system in order to automate a posting procedure to include a new report for "available daily" volume.  The new category of capacity would be to identify capacity available for less than 30 days.  Currently the posting requirement for this type of capacity has been met by special manual postings done by Marketing.  An immediate change to be implemented prior to establishment of the automated report will be a daily manual preparation of a 30-day spreadsheet listing all "available daily" capacity.</w:t>
      </w:r>
    </w:p>
    <w:p>
      <w:pPr>
        <w:pStyle w:val="Normal"/>
        <w:rPr>
          <w:szCs w:val="20"/>
        </w:rPr>
      </w:pPr>
      <w:r>
        <w:rPr>
          <w:szCs w:val="20"/>
        </w:rPr>
      </w:r>
    </w:p>
    <w:p>
      <w:pPr>
        <w:pStyle w:val="Heading2"/>
        <w:ind w:hanging="0" w:start="0"/>
        <w:rPr>
          <w:b/>
          <w:bCs/>
          <w:szCs w:val="20"/>
          <w:u w:val="none"/>
        </w:rPr>
      </w:pPr>
      <w:r>
        <w:rPr>
          <w:b/>
          <w:bCs/>
          <w:szCs w:val="20"/>
          <w:u w:val="none"/>
        </w:rPr>
        <w:t>J Power</w:t>
      </w:r>
    </w:p>
    <w:p>
      <w:pPr>
        <w:pStyle w:val="Normal"/>
        <w:rPr>
          <w:szCs w:val="20"/>
        </w:rPr>
      </w:pPr>
      <w:r>
        <w:rPr>
          <w:szCs w:val="20"/>
        </w:rPr>
        <w:t>Working with a developer, J Power, in siting a 50 MW generator in downtown St. Paul, Minnesota.  Examining route alternatives to determine most economical option.</w:t>
      </w:r>
    </w:p>
    <w:p>
      <w:pPr>
        <w:pStyle w:val="Normal"/>
        <w:rPr>
          <w:szCs w:val="20"/>
        </w:rPr>
      </w:pPr>
      <w:r>
        <w:rPr>
          <w:szCs w:val="20"/>
        </w:rPr>
      </w:r>
    </w:p>
    <w:p>
      <w:pPr>
        <w:pStyle w:val="Heading2"/>
        <w:ind w:hanging="0" w:start="0"/>
        <w:rPr>
          <w:b/>
          <w:bCs/>
          <w:szCs w:val="20"/>
          <w:u w:val="none"/>
        </w:rPr>
      </w:pPr>
      <w:r>
        <w:rPr>
          <w:b/>
          <w:bCs/>
          <w:szCs w:val="20"/>
          <w:u w:val="none"/>
        </w:rPr>
        <w:t>Missouri Valley Generation</w:t>
      </w:r>
    </w:p>
    <w:p>
      <w:pPr>
        <w:pStyle w:val="Normal"/>
        <w:rPr>
          <w:szCs w:val="20"/>
        </w:rPr>
      </w:pPr>
      <w:r>
        <w:rPr>
          <w:szCs w:val="20"/>
        </w:rPr>
        <w:t>Examining a number of options to provide the customer with least cost options in siting a 50 MW generator.</w:t>
      </w:r>
    </w:p>
    <w:p>
      <w:pPr>
        <w:pStyle w:val="Normal"/>
        <w:rPr>
          <w:szCs w:val="20"/>
        </w:rPr>
      </w:pPr>
      <w:r>
        <w:rPr>
          <w:szCs w:val="20"/>
        </w:rPr>
      </w:r>
    </w:p>
    <w:p>
      <w:pPr>
        <w:pStyle w:val="Heading5"/>
        <w:ind w:hanging="0" w:start="0"/>
        <w:rPr>
          <w:rFonts w:cs="Times New Roman"/>
        </w:rPr>
      </w:pPr>
      <w:r>
        <w:rPr>
          <w:rFonts w:cs="Times New Roman"/>
        </w:rPr>
        <w:t>Pony Express Interconnect</w:t>
      </w:r>
    </w:p>
    <w:p>
      <w:pPr>
        <w:pStyle w:val="Normal"/>
        <w:rPr>
          <w:szCs w:val="20"/>
        </w:rPr>
      </w:pPr>
      <w:r>
        <w:rPr>
          <w:szCs w:val="20"/>
        </w:rPr>
        <w:t xml:space="preserve">A review of the Pony Express Interconnect was done with personnel from the pricing desk.  The review examined </w:t>
      </w:r>
    </w:p>
    <w:p>
      <w:pPr>
        <w:pStyle w:val="Normal"/>
        <w:rPr>
          <w:szCs w:val="20"/>
        </w:rPr>
      </w:pPr>
      <w:r>
        <w:rPr>
          <w:szCs w:val="20"/>
        </w:rPr>
        <w:t>1) The flow of the Pony Express gas north into the NNG market zone</w:t>
      </w:r>
    </w:p>
    <w:p>
      <w:pPr>
        <w:pStyle w:val="Normal"/>
        <w:rPr>
          <w:szCs w:val="20"/>
        </w:rPr>
      </w:pPr>
      <w:r>
        <w:rPr>
          <w:szCs w:val="20"/>
        </w:rPr>
        <w:t>2) The capacity of the interconnect</w:t>
      </w:r>
    </w:p>
    <w:p>
      <w:pPr>
        <w:pStyle w:val="Normal"/>
        <w:rPr>
          <w:szCs w:val="20"/>
        </w:rPr>
      </w:pPr>
      <w:r>
        <w:rPr>
          <w:szCs w:val="20"/>
        </w:rPr>
        <w:t xml:space="preserve">3) The requirements to flow Pony Express gas south </w:t>
      </w:r>
    </w:p>
    <w:p>
      <w:pPr>
        <w:pStyle w:val="Normal"/>
        <w:rPr>
          <w:szCs w:val="20"/>
        </w:rPr>
      </w:pPr>
      <w:r>
        <w:rPr>
          <w:szCs w:val="20"/>
        </w:rPr>
        <w:t>4) The capacity of the gas for flows from Trailblazer to Bushton</w:t>
      </w:r>
    </w:p>
    <w:p>
      <w:pPr>
        <w:pStyle w:val="Normal"/>
        <w:rPr>
          <w:szCs w:val="20"/>
        </w:rPr>
      </w:pPr>
      <w:r>
        <w:rPr>
          <w:szCs w:val="20"/>
        </w:rPr>
        <w:t>5) The capacity of gas for flows from Bushton south</w:t>
      </w:r>
    </w:p>
    <w:p>
      <w:pPr>
        <w:pStyle w:val="Normal"/>
        <w:rPr>
          <w:szCs w:val="20"/>
        </w:rPr>
      </w:pPr>
      <w:r>
        <w:rPr>
          <w:szCs w:val="20"/>
        </w:rPr>
      </w:r>
    </w:p>
    <w:p>
      <w:pPr>
        <w:pStyle w:val="Normal"/>
        <w:rPr>
          <w:szCs w:val="20"/>
        </w:rPr>
      </w:pPr>
      <w:r>
        <w:rPr>
          <w:b/>
          <w:bCs/>
          <w:szCs w:val="20"/>
        </w:rPr>
        <w:t>Delano Power Plant</w:t>
      </w:r>
    </w:p>
    <w:p>
      <w:pPr>
        <w:pStyle w:val="Normal"/>
        <w:rPr>
          <w:szCs w:val="20"/>
        </w:rPr>
      </w:pPr>
      <w:r>
        <w:rPr>
          <w:szCs w:val="20"/>
        </w:rPr>
        <w:t>A review and cost estimate for an interruptible flow to a proposed power plant near Delano, MN was completed and forwarded to Marketing.  The cost estimate was for a TBS only.  Delano is located on the Willmar branch line.</w:t>
      </w:r>
    </w:p>
    <w:p>
      <w:pPr>
        <w:pStyle w:val="Normal"/>
        <w:rPr>
          <w:szCs w:val="20"/>
        </w:rPr>
      </w:pPr>
      <w:r>
        <w:rPr>
          <w:szCs w:val="20"/>
        </w:rPr>
      </w:r>
    </w:p>
    <w:p>
      <w:pPr>
        <w:pStyle w:val="Heading2"/>
        <w:ind w:hanging="0" w:start="0"/>
        <w:rPr>
          <w:b/>
          <w:bCs/>
          <w:szCs w:val="20"/>
          <w:u w:val="none"/>
        </w:rPr>
      </w:pPr>
      <w:r>
        <w:rPr>
          <w:b/>
          <w:bCs/>
          <w:szCs w:val="20"/>
          <w:u w:val="none"/>
        </w:rPr>
        <w:t>**Landcraft Combined Cycle</w:t>
      </w:r>
    </w:p>
    <w:p>
      <w:pPr>
        <w:pStyle w:val="Normal"/>
        <w:rPr>
          <w:szCs w:val="20"/>
        </w:rPr>
      </w:pPr>
      <w:r>
        <w:rPr>
          <w:szCs w:val="20"/>
        </w:rPr>
        <w:t>Began work on facilities needed to serve a very large power plant being considered near Sergeant Bluff, IA.  The plant would require 7,500 MMBtu/hr with startup in November 2005.</w:t>
      </w:r>
    </w:p>
    <w:p>
      <w:pPr>
        <w:pStyle w:val="Normal"/>
        <w:rPr>
          <w:szCs w:val="20"/>
        </w:rPr>
      </w:pPr>
      <w:r>
        <w:rPr>
          <w:szCs w:val="20"/>
        </w:rPr>
      </w:r>
    </w:p>
    <w:p>
      <w:pPr>
        <w:pStyle w:val="Heading7"/>
        <w:keepNext w:val="true"/>
        <w:spacing w:lineRule="atLeast" w:line="240"/>
        <w:ind w:hanging="0" w:start="0"/>
        <w:rPr/>
      </w:pPr>
      <w:r>
        <w:rPr>
          <w:rFonts w:cs="Times New Roman" w:ascii="Times New Roman" w:hAnsi="Times New Roman"/>
          <w:b/>
          <w:bCs/>
          <w:sz w:val="24"/>
          <w:szCs w:val="20"/>
        </w:rPr>
        <w:t>**</w:t>
      </w:r>
      <w:r>
        <w:rPr>
          <w:rFonts w:cs="Times New Roman" w:ascii="Times New Roman" w:hAnsi="Times New Roman"/>
          <w:b/>
          <w:bCs/>
          <w:color w:val="000000"/>
          <w:sz w:val="24"/>
          <w:szCs w:val="20"/>
        </w:rPr>
        <w:t>Project Max</w:t>
      </w:r>
    </w:p>
    <w:p>
      <w:pPr>
        <w:pStyle w:val="Normal"/>
        <w:numPr>
          <w:ilvl w:val="0"/>
          <w:numId w:val="2"/>
        </w:numPr>
        <w:spacing w:lineRule="atLeast" w:line="240"/>
        <w:rPr>
          <w:color w:val="000000"/>
          <w:szCs w:val="20"/>
        </w:rPr>
      </w:pPr>
      <w:r>
        <w:rPr>
          <w:color w:val="000000"/>
          <w:szCs w:val="20"/>
        </w:rPr>
        <w:t xml:space="preserve">Based on the meetings last week with Reg. Affairs we have revised the Project Max TBPL options. The revisions are based on 2050 MM at Demarc, current point available capacity is approximately 100 MM, and increasing the Beatrice capacity (currently 2065 MM plus the 25 UCU or 2090 MM) to receive the requested Project Max receipt volumes at Demarc and TBPL.  This will now require a 3-4000 horsepower unit at Beatrice.  </w:t>
      </w:r>
    </w:p>
    <w:p>
      <w:pPr>
        <w:pStyle w:val="Normal"/>
        <w:numPr>
          <w:ilvl w:val="0"/>
          <w:numId w:val="2"/>
        </w:numPr>
        <w:spacing w:lineRule="atLeast" w:line="240"/>
        <w:rPr>
          <w:color w:val="000000"/>
          <w:szCs w:val="20"/>
        </w:rPr>
      </w:pPr>
      <w:r>
        <w:rPr>
          <w:color w:val="000000"/>
          <w:szCs w:val="20"/>
        </w:rPr>
        <w:t xml:space="preserve">We have analyzed the Project Max requirements with the Carlton adjusted volumes increased from 250 to 310 MM, in 10 MM increments, on Carlton receipt regression analysis.  With the "Carlton Adjustment" at 310 MM no mainline loop is required while at 280 MM approximately 2 miles of loop is required.  </w:t>
      </w:r>
    </w:p>
    <w:p>
      <w:pPr>
        <w:pStyle w:val="Normal"/>
        <w:rPr>
          <w:color w:val="000000"/>
          <w:szCs w:val="20"/>
        </w:rPr>
      </w:pPr>
      <w:r>
        <w:rPr>
          <w:color w:val="000000"/>
          <w:szCs w:val="20"/>
        </w:rPr>
      </w:r>
    </w:p>
    <w:p>
      <w:pPr>
        <w:pStyle w:val="Normal"/>
        <w:rPr>
          <w:szCs w:val="20"/>
        </w:rPr>
      </w:pPr>
      <w:r>
        <w:rPr>
          <w:b/>
          <w:bCs/>
          <w:szCs w:val="20"/>
        </w:rPr>
        <w:t>**Midwestern Forward Haul</w:t>
      </w:r>
    </w:p>
    <w:p>
      <w:pPr>
        <w:pStyle w:val="Normal"/>
        <w:rPr>
          <w:szCs w:val="20"/>
        </w:rPr>
      </w:pPr>
      <w:r>
        <w:rPr>
          <w:szCs w:val="20"/>
        </w:rPr>
        <w:t xml:space="preserve">Working with E&amp;C to determine the availability and timing of leased compressor units to fit the two cases to deliver 300 MMcfd from the MGT Alliance Interconnect to the MGT NBPL Channahon Interconnect.  </w:t>
      </w:r>
    </w:p>
    <w:p>
      <w:pPr>
        <w:pStyle w:val="Normal"/>
        <w:rPr>
          <w:szCs w:val="20"/>
        </w:rPr>
      </w:pPr>
      <w:r>
        <w:rPr>
          <w:szCs w:val="20"/>
        </w:rPr>
      </w:r>
    </w:p>
    <w:p>
      <w:pPr>
        <w:pStyle w:val="Normal"/>
        <w:rPr>
          <w:szCs w:val="20"/>
        </w:rPr>
      </w:pPr>
      <w:r>
        <w:rPr>
          <w:b/>
          <w:bCs/>
          <w:szCs w:val="20"/>
        </w:rPr>
        <w:t>Union Hill Interconnect</w:t>
      </w:r>
    </w:p>
    <w:p>
      <w:pPr>
        <w:pStyle w:val="Normal"/>
        <w:rPr>
          <w:szCs w:val="20"/>
        </w:rPr>
      </w:pPr>
      <w:r>
        <w:rPr>
          <w:szCs w:val="20"/>
        </w:rPr>
        <w:t>Met with Measurement to discuss the possible installation of ultrasonic measurement at this interconnect.  The current project scope is to make the interconnect bi-directional, and if funds are available, we can change out the meters.  The proposed in-service date is May 2002.</w:t>
      </w:r>
    </w:p>
    <w:p>
      <w:pPr>
        <w:pStyle w:val="Normal"/>
        <w:rPr>
          <w:szCs w:val="20"/>
        </w:rPr>
      </w:pPr>
      <w:r>
        <w:rPr>
          <w:szCs w:val="20"/>
        </w:rPr>
      </w:r>
    </w:p>
    <w:p>
      <w:pPr>
        <w:pStyle w:val="Normal"/>
        <w:rPr>
          <w:szCs w:val="20"/>
        </w:rPr>
      </w:pPr>
      <w:r>
        <w:rPr>
          <w:b/>
          <w:bCs/>
          <w:szCs w:val="20"/>
        </w:rPr>
        <w:t>**Indianapolis Pipeline</w:t>
      </w:r>
    </w:p>
    <w:p>
      <w:pPr>
        <w:pStyle w:val="Normal"/>
        <w:rPr>
          <w:szCs w:val="20"/>
        </w:rPr>
      </w:pPr>
      <w:r>
        <w:rPr>
          <w:szCs w:val="20"/>
        </w:rPr>
        <w:t>Met with NPNG Marketing to discuss the scope and cost for a pipeline from MGT Terre Haute to Indianapolis to be in-service fall, 2003. Changes were made to several of the scenarios, which will need to be re-evaluated.  Another meeting is scheduled for Friday, October 5th.</w:t>
      </w:r>
    </w:p>
    <w:p>
      <w:pPr>
        <w:pStyle w:val="Normal"/>
        <w:rPr>
          <w:szCs w:val="20"/>
        </w:rPr>
      </w:pPr>
      <w:r>
        <w:rPr>
          <w:szCs w:val="20"/>
        </w:rPr>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color w:val="0000FF"/>
          <w:szCs w:val="20"/>
        </w:rPr>
      </w:pPr>
      <w:r>
        <w:rPr>
          <w:b/>
          <w:bCs/>
          <w:color w:val="0000FF"/>
          <w:sz w:val="28"/>
          <w:szCs w:val="28"/>
        </w:rPr>
        <w:t>Florida Gas Transmission, Transwestern Pipeline, NNG South</w:t>
      </w:r>
      <w:r>
        <w:rPr>
          <w:color w:val="0000FF"/>
          <w:sz w:val="28"/>
          <w:szCs w:val="28"/>
        </w:rPr>
        <w:t xml:space="preserve"> </w:t>
      </w:r>
      <w:r>
        <w:rPr>
          <w:b/>
          <w:bCs/>
          <w:color w:val="0000FF"/>
          <w:sz w:val="28"/>
          <w:szCs w:val="28"/>
        </w:rPr>
        <w:t>&amp; EOTT</w:t>
      </w:r>
    </w:p>
    <w:p>
      <w:pPr>
        <w:pStyle w:val="Normal"/>
        <w:rPr>
          <w:color w:val="0000FF"/>
          <w:szCs w:val="20"/>
        </w:rPr>
      </w:pPr>
      <w:r>
        <w:rPr>
          <w:color w:val="0000FF"/>
          <w:szCs w:val="20"/>
        </w:rPr>
      </w:r>
    </w:p>
    <w:p>
      <w:pPr>
        <w:pStyle w:val="Normal"/>
        <w:autoSpaceDE w:val="false"/>
        <w:rPr>
          <w:b/>
          <w:bCs/>
          <w:color w:val="000000"/>
        </w:rPr>
      </w:pPr>
      <w:r>
        <w:rPr>
          <w:b/>
          <w:bCs/>
          <w:color w:val="000000"/>
        </w:rPr>
        <w:t>**Calypso pipeline</w:t>
      </w:r>
    </w:p>
    <w:p>
      <w:pPr>
        <w:pStyle w:val="Normal"/>
        <w:autoSpaceDE w:val="false"/>
        <w:rPr>
          <w:color w:val="000000"/>
        </w:rPr>
      </w:pPr>
      <w:r>
        <w:rPr>
          <w:color w:val="000000"/>
        </w:rPr>
        <w:t>In the process of responding to FERC’s request of 10-2-2001. This time we are revising the Exhibits G.G-I and G-II for the entire jurisdictional and non-jurisdictional pipeline, from Bahamas to Florida.</w:t>
      </w:r>
    </w:p>
    <w:p>
      <w:pPr>
        <w:pStyle w:val="Normal"/>
        <w:autoSpaceDE w:val="false"/>
        <w:rPr>
          <w:color w:val="000000"/>
        </w:rPr>
      </w:pPr>
      <w:r>
        <w:rPr>
          <w:color w:val="000000"/>
        </w:rPr>
      </w:r>
    </w:p>
    <w:p>
      <w:pPr>
        <w:pStyle w:val="Normal"/>
        <w:autoSpaceDE w:val="false"/>
        <w:rPr>
          <w:b/>
          <w:bCs/>
          <w:color w:val="000000"/>
        </w:rPr>
      </w:pPr>
      <w:r>
        <w:rPr>
          <w:b/>
          <w:bCs/>
          <w:color w:val="000000"/>
        </w:rPr>
        <w:t>Liberty Storage project</w:t>
      </w:r>
    </w:p>
    <w:p>
      <w:pPr>
        <w:pStyle w:val="Normal"/>
        <w:autoSpaceDE w:val="false"/>
        <w:rPr/>
      </w:pPr>
      <w:r>
        <w:rPr>
          <w:color w:val="000000"/>
        </w:rPr>
        <w:t>The Liberty Storage project is back. It seems HNG and Williams have been able to work out their differences. The first meeting to follow-up on this project is planned for Monday October 8</w:t>
      </w:r>
      <w:r>
        <w:rPr>
          <w:color w:val="000000"/>
          <w:vertAlign w:val="superscript"/>
        </w:rPr>
        <w:t>th</w:t>
      </w:r>
      <w:r>
        <w:rPr>
          <w:color w:val="000000"/>
        </w:rPr>
        <w:t>.</w:t>
      </w:r>
    </w:p>
    <w:p>
      <w:pPr>
        <w:pStyle w:val="Normal"/>
        <w:rPr>
          <w:color w:val="000000"/>
          <w:szCs w:val="20"/>
        </w:rPr>
      </w:pPr>
      <w:r>
        <w:rPr>
          <w:color w:val="000000"/>
          <w:szCs w:val="20"/>
        </w:rPr>
      </w:r>
    </w:p>
    <w:p>
      <w:pPr>
        <w:pStyle w:val="Normal"/>
        <w:rPr>
          <w:szCs w:val="20"/>
        </w:rPr>
      </w:pPr>
      <w:r>
        <w:rPr>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t>NGPL TW Eddy County I/C</w:t>
      </w:r>
    </w:p>
    <w:p>
      <w:pPr>
        <w:pStyle w:val="Normal"/>
        <w:rPr>
          <w:rFonts w:eastAsia="Arial Unicode MS"/>
          <w:color w:val="000000"/>
          <w:szCs w:val="20"/>
        </w:rPr>
      </w:pPr>
      <w:r>
        <w:rPr>
          <w:rFonts w:eastAsia="Arial Unicode MS"/>
          <w:color w:val="000000"/>
          <w:szCs w:val="20"/>
        </w:rPr>
        <w:t>The site visit last week identified two issues. The first was the need for a TW control valve and the second was the need for a total sulfur analyzer at this interconnect site.  Both issues were discussed and, while the installation of the control valve is not necessary, the sulfur analyzer is a requirement at the site.  The Indian Basin gas to NGPL contains a high level of butyl mercaptans not measured by NGPLs upstream instrument.  The I/O agreement indicates NGPL is to install total sulfur equipment.</w:t>
      </w:r>
    </w:p>
    <w:p>
      <w:pPr>
        <w:pStyle w:val="Normal"/>
        <w:rPr>
          <w:rFonts w:eastAsia="Arial Unicode MS"/>
          <w:color w:val="000000"/>
          <w:szCs w:val="20"/>
        </w:rPr>
      </w:pPr>
      <w:r>
        <w:rPr>
          <w:rFonts w:eastAsia="Arial Unicode MS"/>
          <w:color w:val="000000"/>
          <w:szCs w:val="20"/>
        </w:rPr>
      </w:r>
    </w:p>
    <w:p>
      <w:pPr>
        <w:pStyle w:val="Normal"/>
        <w:rPr>
          <w:rFonts w:eastAsia="Arial Unicode MS"/>
          <w:b/>
          <w:bCs/>
          <w:color w:val="000000"/>
          <w:szCs w:val="20"/>
        </w:rPr>
      </w:pPr>
      <w:r>
        <w:rPr>
          <w:rFonts w:eastAsia="Arial Unicode MS"/>
          <w:b/>
          <w:bCs/>
          <w:color w:val="000000"/>
          <w:szCs w:val="20"/>
        </w:rPr>
        <w:t xml:space="preserve">FGT CAS </w:t>
      </w:r>
    </w:p>
    <w:p>
      <w:pPr>
        <w:pStyle w:val="Normal"/>
        <w:rPr>
          <w:rFonts w:eastAsia="Arial Unicode MS"/>
          <w:color w:val="000000"/>
          <w:szCs w:val="20"/>
        </w:rPr>
      </w:pPr>
      <w:r>
        <w:rPr>
          <w:rFonts w:eastAsia="Arial Unicode MS"/>
          <w:color w:val="000000"/>
          <w:szCs w:val="20"/>
        </w:rPr>
        <w:t>Discussions for the initial scoping of the FGT conversion to CAS were held mid-week.  Plans include building the point/group/path logic within the team sometime in the next 2 months. The IT group will then build the table relationship for point and group.</w:t>
      </w:r>
    </w:p>
    <w:p>
      <w:pPr>
        <w:pStyle w:val="Normal"/>
        <w:rPr>
          <w:rFonts w:eastAsia="Arial Unicode MS"/>
          <w:color w:val="000000"/>
          <w:szCs w:val="20"/>
        </w:rPr>
      </w:pPr>
      <w:r>
        <w:rPr>
          <w:rFonts w:eastAsia="Arial Unicode MS"/>
          <w:color w:val="000000"/>
          <w:szCs w:val="20"/>
        </w:rPr>
      </w:r>
    </w:p>
    <w:p>
      <w:pPr>
        <w:pStyle w:val="Normal"/>
        <w:rPr>
          <w:rFonts w:eastAsia="Arial Unicode MS"/>
          <w:b/>
          <w:bCs/>
          <w:color w:val="000000"/>
          <w:szCs w:val="20"/>
        </w:rPr>
      </w:pPr>
      <w:r>
        <w:rPr>
          <w:rFonts w:eastAsia="Arial Unicode MS"/>
          <w:b/>
          <w:bCs/>
          <w:color w:val="000000"/>
          <w:szCs w:val="20"/>
        </w:rPr>
        <w:t>Mustang Island 831</w:t>
      </w:r>
    </w:p>
    <w:p>
      <w:pPr>
        <w:pStyle w:val="Normal"/>
        <w:rPr>
          <w:rFonts w:eastAsia="Arial Unicode MS"/>
          <w:color w:val="000000"/>
          <w:szCs w:val="20"/>
        </w:rPr>
      </w:pPr>
      <w:r>
        <w:rPr>
          <w:rFonts w:eastAsia="Arial Unicode MS"/>
          <w:color w:val="000000"/>
          <w:szCs w:val="20"/>
        </w:rPr>
        <w:t xml:space="preserve">We are just a day or two from activating the 25 miles of 20" on the southern most portion of the MOPS system.  The end connector is on at MI 831 and there are 2 downstream platforms currently producing to equalize the pressure between the 24' and 20". </w:t>
      </w:r>
    </w:p>
    <w:p>
      <w:pPr>
        <w:pStyle w:val="Normal"/>
        <w:rPr>
          <w:rFonts w:eastAsia="Arial Unicode MS"/>
          <w:color w:val="000000"/>
          <w:szCs w:val="20"/>
        </w:rPr>
      </w:pPr>
      <w:r>
        <w:rPr>
          <w:rFonts w:eastAsia="Arial Unicode MS"/>
          <w:color w:val="000000"/>
          <w:szCs w:val="20"/>
        </w:rPr>
      </w:r>
    </w:p>
    <w:p>
      <w:pPr>
        <w:pStyle w:val="Normal"/>
        <w:autoSpaceDE w:val="false"/>
        <w:rPr>
          <w:b/>
          <w:bCs/>
        </w:rPr>
      </w:pPr>
      <w:r>
        <w:rPr>
          <w:b/>
          <w:bCs/>
        </w:rPr>
        <w:t>TW/Sundevil Expansion Project</w:t>
      </w:r>
    </w:p>
    <w:p>
      <w:pPr>
        <w:pStyle w:val="Normal"/>
        <w:autoSpaceDE w:val="false"/>
        <w:rPr/>
      </w:pPr>
      <w:r>
        <w:rPr/>
        <w:t>Met with Engineering and Asset Development several times to discuss the latest cost estimate provided by Engineering.  Main concern was the apparent wide spread between the Planning Level A and Engineering's Level A+.  After normalizing for change of scope, those estimates were closer, but there may still be areas to reduce costs. A team from Planning and Engineering, within the next week, will scrutinize those areas.  A management summary was provided with all of the findings.</w:t>
      </w:r>
    </w:p>
    <w:p>
      <w:pPr>
        <w:pStyle w:val="Normal"/>
        <w:autoSpaceDE w:val="false"/>
        <w:rPr/>
      </w:pPr>
      <w:r>
        <w:rPr/>
      </w:r>
    </w:p>
    <w:p>
      <w:pPr>
        <w:pStyle w:val="Normal"/>
        <w:autoSpaceDE w:val="false"/>
        <w:rPr>
          <w:b/>
          <w:bCs/>
        </w:rPr>
      </w:pPr>
      <w:r>
        <w:rPr>
          <w:b/>
          <w:bCs/>
        </w:rPr>
        <w:t>TW/Topock Lateral Expansion</w:t>
      </w:r>
    </w:p>
    <w:p>
      <w:pPr>
        <w:pStyle w:val="Normal"/>
        <w:autoSpaceDE w:val="false"/>
        <w:rPr/>
      </w:pPr>
      <w:r>
        <w:rPr/>
        <w:t>Developed a 300 MMcf/d case along with associated costs.  Measurement to PG&amp;E and another river crossing was included.  The Level A cost estimate is $15.6 million for the loop line and river crossing and $224,000 for the measurement expansion.  These costs were given to Marketing.</w:t>
      </w:r>
    </w:p>
    <w:p>
      <w:pPr>
        <w:pStyle w:val="Normal"/>
        <w:rPr/>
      </w:pPr>
      <w:r>
        <w:rPr/>
      </w:r>
    </w:p>
    <w:p>
      <w:pPr>
        <w:pStyle w:val="Heading5"/>
        <w:autoSpaceDE w:val="false"/>
        <w:ind w:hanging="0" w:start="0"/>
        <w:rPr>
          <w:rFonts w:cs="Times New Roman"/>
          <w:szCs w:val="24"/>
        </w:rPr>
      </w:pPr>
      <w:r>
        <w:rPr>
          <w:rFonts w:cs="Times New Roman"/>
          <w:szCs w:val="24"/>
        </w:rPr>
        <w:t>Phase VI</w:t>
      </w:r>
    </w:p>
    <w:p>
      <w:pPr>
        <w:pStyle w:val="Normal"/>
        <w:autoSpaceDE w:val="false"/>
        <w:rPr/>
      </w:pPr>
      <w:r>
        <w:rPr/>
        <w:t xml:space="preserve">Flow simulation programs for the proposed Phase VI summer season were changed to use the AGA formula.  A new compressor station was added that replaces 14 miles of 30" loop between stations 16 and 17.  Costs were also calculated.  Laterals and points relevant to the FERC filing are being added, and others removed, for both existing and proposed models.  Studies were run to determine the amount of Cape Kennedy loop that would be needed to deliver an incremental 3,000/Hr prior to Phase VI.  </w:t>
      </w:r>
    </w:p>
    <w:p>
      <w:pPr>
        <w:pStyle w:val="Normal"/>
        <w:rPr/>
      </w:pPr>
      <w:r>
        <w:rPr/>
      </w:r>
    </w:p>
    <w:p>
      <w:pPr>
        <w:pStyle w:val="Heading5"/>
        <w:ind w:hanging="0" w:start="0"/>
        <w:rPr>
          <w:rStyle w:val="Strong"/>
          <w:rFonts w:cs="Times New Roman"/>
          <w:b w:val="false"/>
          <w:bCs w:val="false"/>
          <w:szCs w:val="24"/>
        </w:rPr>
      </w:pPr>
      <w:r>
        <w:rPr/>
      </w:r>
    </w:p>
    <w:p>
      <w:pPr>
        <w:pStyle w:val="Heading5"/>
        <w:ind w:hanging="0" w:start="0"/>
        <w:rPr>
          <w:rStyle w:val="Strong"/>
          <w:rFonts w:cs="Times New Roman"/>
          <w:b w:val="false"/>
          <w:bCs w:val="false"/>
          <w:szCs w:val="24"/>
        </w:rPr>
      </w:pPr>
      <w:r>
        <w:rPr/>
      </w:r>
    </w:p>
    <w:p>
      <w:pPr>
        <w:pStyle w:val="Heading5"/>
        <w:ind w:hanging="0" w:start="0"/>
        <w:rPr>
          <w:rStyle w:val="Strong"/>
          <w:rFonts w:cs="Times New Roman"/>
          <w:b w:val="false"/>
          <w:bCs w:val="false"/>
          <w:szCs w:val="24"/>
        </w:rPr>
      </w:pPr>
      <w:r>
        <w:rPr/>
      </w:r>
    </w:p>
    <w:p>
      <w:pPr>
        <w:pStyle w:val="Heading5"/>
        <w:ind w:hanging="0" w:start="0"/>
        <w:rPr>
          <w:rStyle w:val="Strong"/>
          <w:rFonts w:cs="Times New Roman"/>
          <w:b w:val="false"/>
          <w:bCs w:val="false"/>
          <w:szCs w:val="24"/>
        </w:rPr>
      </w:pPr>
      <w:r>
        <w:rPr/>
      </w:r>
    </w:p>
    <w:p>
      <w:pPr>
        <w:pStyle w:val="Heading5"/>
        <w:ind w:hanging="0" w:start="0"/>
        <w:rPr>
          <w:rFonts w:eastAsia="Arial Unicode MS" w:cs="Times New Roman"/>
          <w:b w:val="false"/>
          <w:bCs w:val="false"/>
          <w:szCs w:val="24"/>
        </w:rPr>
      </w:pPr>
      <w:r>
        <w:rPr>
          <w:rStyle w:val="Strong"/>
          <w:rFonts w:cs="Times New Roman"/>
          <w:b w:val="false"/>
          <w:bCs w:val="false"/>
          <w:szCs w:val="24"/>
        </w:rPr>
        <w:t>NNG/CIG Meadowlark I/C</w:t>
      </w:r>
    </w:p>
    <w:p>
      <w:pPr>
        <w:pStyle w:val="Normal"/>
        <w:rPr/>
      </w:pPr>
      <w:r>
        <w:rPr/>
        <w:t>Marketing and Planning met with ExxonMobil to present details of options to resolve CO2 compositions into the Bushton Rich plant.  ExM agreed that the CO2 should be corrected at the source (CIG I/C) and indicated that they would fund a project for CO2 treating.  Delivered scope options to E&amp;C to obtain Level B cost estimates for ExM consideration: 1) NNG build &amp; Operate, 2) Lease treating package including contract operations and 3) Lease equipment but NNG operate.</w:t>
      </w:r>
    </w:p>
    <w:p>
      <w:pPr>
        <w:pStyle w:val="Normal"/>
        <w:rPr/>
      </w:pPr>
      <w:r>
        <w:rPr/>
        <w:t> </w:t>
      </w:r>
    </w:p>
    <w:p>
      <w:pPr>
        <w:pStyle w:val="Normal"/>
        <w:autoSpaceDE w:val="false"/>
        <w:rPr>
          <w:b/>
          <w:bCs/>
        </w:rPr>
      </w:pPr>
      <w:r>
        <w:rPr>
          <w:b/>
          <w:bCs/>
        </w:rPr>
        <w:t>OUC - Stanton</w:t>
      </w:r>
    </w:p>
    <w:p>
      <w:pPr>
        <w:pStyle w:val="Normal"/>
        <w:autoSpaceDE w:val="false"/>
        <w:rPr/>
      </w:pPr>
      <w:r>
        <w:rPr/>
        <w:t xml:space="preserve">Planning is continuing to work with the Stanton Energy Plant operations to define the pipeline route and M&amp;R location. </w:t>
      </w:r>
    </w:p>
    <w:p>
      <w:pPr>
        <w:pStyle w:val="Normal"/>
        <w:autoSpaceDE w:val="false"/>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keepNext w:val="true"/>
      <w:numPr>
        <w:ilvl w:val="1"/>
        <w:numId w:val="1"/>
      </w:numPr>
      <w:autoSpaceDE w:val="false"/>
      <w:outlineLvl w:val="1"/>
    </w:pPr>
    <w:rPr>
      <w:u w:val="single"/>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5">
    <w:name w:val="heading 5"/>
    <w:basedOn w:val="Normal"/>
    <w:next w:val="Normal"/>
    <w:qFormat/>
    <w:pPr>
      <w:keepNext w:val="true"/>
      <w:numPr>
        <w:ilvl w:val="4"/>
        <w:numId w:val="1"/>
      </w:numPr>
      <w:outlineLvl w:val="4"/>
    </w:pPr>
    <w:rPr>
      <w:rFonts w:cs="Arial"/>
      <w:b/>
      <w:bCs/>
      <w:szCs w:val="20"/>
    </w:rPr>
  </w:style>
  <w:style w:type="paragraph" w:styleId="Heading6">
    <w:name w:val="heading 6"/>
    <w:basedOn w:val="Normal"/>
    <w:next w:val="Normal"/>
    <w:qFormat/>
    <w:pPr>
      <w:keepNext w:val="true"/>
      <w:numPr>
        <w:ilvl w:val="5"/>
        <w:numId w:val="1"/>
      </w:numPr>
      <w:outlineLvl w:val="5"/>
    </w:pPr>
    <w:rPr>
      <w:b/>
      <w:bCs/>
      <w:color w:val="0000FF"/>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paragraph" w:styleId="Heading8">
    <w:name w:val="heading 8"/>
    <w:basedOn w:val="Normal"/>
    <w:next w:val="Normal"/>
    <w:qFormat/>
    <w:pPr>
      <w:keepNext w:val="true"/>
      <w:numPr>
        <w:ilvl w:val="7"/>
        <w:numId w:val="1"/>
      </w:numPr>
      <w:autoSpaceDE w:val="false"/>
      <w:outlineLvl w:val="7"/>
    </w:pPr>
    <w:rPr>
      <w:b/>
      <w:bCs/>
      <w:color w:val="00000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2001-10-05T09:19:00Z</dcterms:created>
  <dc:creator>mgottsp</dc:creator>
  <dc:description/>
  <dc:language>en-CA</dc:language>
  <cp:lastModifiedBy>mgottsp</cp:lastModifiedBy>
  <dcterms:modified xsi:type="dcterms:W3CDTF">2001-10-05T09:19:00Z</dcterms:modified>
  <cp:revision>2</cp:revision>
  <dc:subject/>
  <dc:title>ETS Planning Weekly Report</dc:title>
</cp:coreProperties>
</file>