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rFonts w:ascii="Times New Roman" w:hAnsi="Times New Roman" w:cs="Times New Roman"/>
          <w:b/>
          <w:bCs/>
          <w:color w:val="0000FF"/>
          <w:sz w:val="32"/>
        </w:rPr>
      </w:pPr>
      <w:r>
        <w:rPr>
          <w:rFonts w:cs="Times New Roman" w:ascii="Times New Roman" w:hAnsi="Times New Roman"/>
          <w:b/>
          <w:bCs/>
          <w:color w:val="0000FF"/>
          <w:sz w:val="32"/>
        </w:rPr>
        <w:t>ETS Planning Weekly Report</w:t>
      </w:r>
    </w:p>
    <w:p>
      <w:pPr>
        <w:pStyle w:val="Heading6"/>
        <w:ind w:hanging="0" w:start="0"/>
        <w:rPr>
          <w:sz w:val="32"/>
        </w:rPr>
      </w:pPr>
      <w:r>
        <w:rPr>
          <w:sz w:val="32"/>
        </w:rPr>
        <w:t>Week Ending September 28, 2001</w:t>
      </w:r>
    </w:p>
    <w:p>
      <w:pPr>
        <w:pStyle w:val="Heading2"/>
        <w:spacing w:lineRule="atLeast" w:line="240"/>
        <w:ind w:hanging="0" w:start="0"/>
        <w:rPr>
          <w:b/>
          <w:bCs/>
          <w:color w:val="FF0000"/>
          <w:szCs w:val="20"/>
        </w:rPr>
      </w:pPr>
      <w:r>
        <w:rPr>
          <w:b/>
          <w:bCs/>
          <w:color w:val="FF0000"/>
          <w:szCs w:val="20"/>
        </w:rPr>
      </w:r>
    </w:p>
    <w:p>
      <w:pPr>
        <w:pStyle w:val="Normal"/>
        <w:autoSpaceDE w:val="false"/>
        <w:rPr>
          <w:b/>
          <w:bCs/>
          <w:color w:val="0000FF"/>
          <w:sz w:val="28"/>
        </w:rPr>
      </w:pPr>
      <w:r>
        <w:rPr>
          <w:b/>
          <w:bCs/>
          <w:color w:val="0000FF"/>
          <w:sz w:val="28"/>
        </w:rPr>
        <w:t>Omaha Planning Team</w:t>
      </w:r>
    </w:p>
    <w:p>
      <w:pPr>
        <w:pStyle w:val="BodyText"/>
        <w:rPr>
          <w:b/>
          <w:bCs/>
          <w:color w:val="0000FF"/>
          <w:sz w:val="28"/>
          <w:u w:val="single"/>
        </w:rPr>
      </w:pPr>
      <w:r>
        <w:rPr>
          <w:b/>
          <w:bCs/>
          <w:color w:val="0000FF"/>
          <w:sz w:val="28"/>
          <w:u w:val="single"/>
        </w:rPr>
        <w:t>Northern Natural Gas, Northern Border Pipe Line &amp; Midwestern Gas Transmission</w:t>
      </w:r>
    </w:p>
    <w:p>
      <w:pPr>
        <w:pStyle w:val="Normal"/>
        <w:rPr>
          <w:b/>
          <w:bCs/>
          <w:color w:val="0000FF"/>
          <w:sz w:val="28"/>
          <w:u w:val="single"/>
        </w:rPr>
      </w:pPr>
      <w:r>
        <w:rPr>
          <w:b/>
          <w:bCs/>
          <w:color w:val="0000FF"/>
          <w:sz w:val="28"/>
          <w:u w:val="single"/>
        </w:rPr>
      </w:r>
    </w:p>
    <w:p>
      <w:pPr>
        <w:pStyle w:val="Heading2"/>
        <w:ind w:hanging="0" w:start="0"/>
        <w:rPr>
          <w:b/>
          <w:bCs/>
          <w:szCs w:val="20"/>
          <w:u w:val="none"/>
        </w:rPr>
      </w:pPr>
      <w:r>
        <w:rPr>
          <w:b/>
          <w:bCs/>
          <w:szCs w:val="20"/>
          <w:u w:val="none"/>
        </w:rPr>
        <w:t>Proliance Project - MGT</w:t>
      </w:r>
    </w:p>
    <w:p>
      <w:pPr>
        <w:pStyle w:val="Normal"/>
        <w:rPr>
          <w:szCs w:val="20"/>
        </w:rPr>
      </w:pPr>
      <w:r>
        <w:rPr>
          <w:szCs w:val="20"/>
        </w:rPr>
        <w:t>Reviewed the revised volumes with Marketing.  Built a basic model for use in evaluating the project.  Had the Mapping group develop a series of large-scale maps to be used in evaluating routes.</w:t>
      </w:r>
    </w:p>
    <w:p>
      <w:pPr>
        <w:pStyle w:val="Normal"/>
        <w:rPr>
          <w:szCs w:val="20"/>
        </w:rPr>
      </w:pPr>
      <w:r>
        <w:rPr>
          <w:szCs w:val="20"/>
        </w:rPr>
      </w:r>
    </w:p>
    <w:p>
      <w:pPr>
        <w:pStyle w:val="Heading2"/>
        <w:ind w:hanging="0" w:start="0"/>
        <w:rPr>
          <w:b/>
          <w:bCs/>
          <w:szCs w:val="20"/>
          <w:u w:val="none"/>
        </w:rPr>
      </w:pPr>
      <w:r>
        <w:rPr>
          <w:b/>
          <w:bCs/>
          <w:szCs w:val="20"/>
          <w:u w:val="none"/>
        </w:rPr>
        <w:t>**Alaska Pipeline Project</w:t>
      </w:r>
    </w:p>
    <w:p>
      <w:pPr>
        <w:pStyle w:val="Normal"/>
        <w:rPr>
          <w:szCs w:val="20"/>
        </w:rPr>
      </w:pPr>
      <w:r>
        <w:rPr>
          <w:szCs w:val="20"/>
        </w:rPr>
        <w:t>Attended several meetings to review various proposals and combinations of facilities to tap into this market.</w:t>
      </w:r>
    </w:p>
    <w:p>
      <w:pPr>
        <w:pStyle w:val="Heading2"/>
        <w:ind w:hanging="0" w:start="0"/>
        <w:rPr>
          <w:b/>
          <w:bCs/>
          <w:szCs w:val="20"/>
        </w:rPr>
      </w:pPr>
      <w:r>
        <w:rPr>
          <w:b/>
          <w:bCs/>
          <w:szCs w:val="20"/>
        </w:rPr>
      </w:r>
    </w:p>
    <w:p>
      <w:pPr>
        <w:pStyle w:val="Heading2"/>
        <w:ind w:hanging="0" w:start="0"/>
        <w:rPr>
          <w:b/>
          <w:bCs/>
          <w:szCs w:val="20"/>
          <w:u w:val="none"/>
        </w:rPr>
      </w:pPr>
      <w:r>
        <w:rPr>
          <w:b/>
          <w:bCs/>
          <w:szCs w:val="20"/>
          <w:u w:val="none"/>
        </w:rPr>
        <w:t>CAS</w:t>
      </w:r>
    </w:p>
    <w:p>
      <w:pPr>
        <w:pStyle w:val="Normal"/>
        <w:rPr>
          <w:szCs w:val="20"/>
        </w:rPr>
      </w:pPr>
      <w:r>
        <w:rPr>
          <w:szCs w:val="20"/>
        </w:rPr>
        <w:t>In the process of reviewing mainline group capacities to update CAS.</w:t>
      </w:r>
    </w:p>
    <w:p>
      <w:pPr>
        <w:pStyle w:val="Normal"/>
        <w:rPr>
          <w:szCs w:val="20"/>
        </w:rPr>
      </w:pPr>
      <w:r>
        <w:rPr>
          <w:szCs w:val="20"/>
        </w:rPr>
      </w:r>
    </w:p>
    <w:p>
      <w:pPr>
        <w:pStyle w:val="Heading2"/>
        <w:ind w:hanging="0" w:start="0"/>
        <w:rPr>
          <w:b/>
          <w:bCs/>
          <w:szCs w:val="20"/>
          <w:u w:val="none"/>
        </w:rPr>
      </w:pPr>
      <w:r>
        <w:rPr>
          <w:b/>
          <w:bCs/>
          <w:szCs w:val="20"/>
          <w:u w:val="none"/>
        </w:rPr>
        <w:t>**LES - Salt Valley Generation</w:t>
      </w:r>
    </w:p>
    <w:p>
      <w:pPr>
        <w:pStyle w:val="Normal"/>
        <w:rPr>
          <w:szCs w:val="20"/>
        </w:rPr>
      </w:pPr>
      <w:r>
        <w:rPr>
          <w:szCs w:val="20"/>
        </w:rPr>
        <w:t>Working with Burns and McDonalds, the engineering firm examining compression equipment for LES.  Planning a joint meeting with LES and Burns and McDonalds to discuss optimum design.</w:t>
      </w:r>
    </w:p>
    <w:p>
      <w:pPr>
        <w:pStyle w:val="Normal"/>
        <w:rPr>
          <w:szCs w:val="20"/>
        </w:rPr>
      </w:pPr>
      <w:r>
        <w:rPr>
          <w:szCs w:val="20"/>
        </w:rPr>
      </w:r>
    </w:p>
    <w:p>
      <w:pPr>
        <w:pStyle w:val="Heading7"/>
        <w:keepNext w:val="true"/>
        <w:spacing w:lineRule="atLeast" w:line="240"/>
        <w:ind w:hanging="0" w:start="0"/>
        <w:rPr/>
      </w:pPr>
      <w:r>
        <w:rPr>
          <w:rFonts w:cs="Times New Roman" w:ascii="Times New Roman" w:hAnsi="Times New Roman"/>
          <w:b/>
          <w:bCs/>
          <w:sz w:val="24"/>
          <w:szCs w:val="20"/>
        </w:rPr>
        <w:t>**</w:t>
      </w:r>
      <w:r>
        <w:rPr>
          <w:rFonts w:cs="Times New Roman" w:ascii="Times New Roman" w:hAnsi="Times New Roman"/>
          <w:b/>
          <w:bCs/>
          <w:color w:val="000000"/>
          <w:sz w:val="24"/>
          <w:szCs w:val="20"/>
        </w:rPr>
        <w:t>Project Max</w:t>
      </w:r>
    </w:p>
    <w:p>
      <w:pPr>
        <w:pStyle w:val="Normal"/>
        <w:spacing w:lineRule="atLeast" w:line="240"/>
        <w:rPr>
          <w:color w:val="000000"/>
          <w:szCs w:val="20"/>
        </w:rPr>
      </w:pPr>
      <w:r>
        <w:rPr>
          <w:color w:val="000000"/>
          <w:szCs w:val="20"/>
        </w:rPr>
        <w:t xml:space="preserve">Continuing to refine the options to receive some of the Project Max volumes at TBPL and Demarc and the base mainline models.  Met with Regulatory to discuss the TBPL and Demarc throughput requirements and long-term sustainable capacity.  </w:t>
      </w:r>
    </w:p>
    <w:p>
      <w:pPr>
        <w:pStyle w:val="Normal"/>
        <w:spacing w:lineRule="atLeast" w:line="240"/>
        <w:rPr>
          <w:color w:val="000000"/>
          <w:szCs w:val="20"/>
        </w:rPr>
      </w:pPr>
      <w:r>
        <w:rPr>
          <w:color w:val="000000"/>
          <w:szCs w:val="20"/>
        </w:rPr>
      </w:r>
    </w:p>
    <w:p>
      <w:pPr>
        <w:pStyle w:val="Heading7"/>
        <w:keepNext w:val="true"/>
        <w:spacing w:lineRule="atLeast" w:line="240"/>
        <w:ind w:hanging="0" w:start="0"/>
        <w:rPr>
          <w:rFonts w:ascii="Times New Roman" w:hAnsi="Times New Roman" w:cs="Times New Roman"/>
          <w:b/>
          <w:bCs/>
          <w:color w:val="000000"/>
          <w:sz w:val="24"/>
          <w:szCs w:val="20"/>
        </w:rPr>
      </w:pPr>
      <w:r>
        <w:rPr>
          <w:rFonts w:cs="Times New Roman" w:ascii="Times New Roman" w:hAnsi="Times New Roman"/>
          <w:b/>
          <w:bCs/>
          <w:color w:val="000000"/>
          <w:sz w:val="24"/>
          <w:szCs w:val="20"/>
        </w:rPr>
        <w:t>Ft Buford</w:t>
      </w:r>
    </w:p>
    <w:p>
      <w:pPr>
        <w:pStyle w:val="Normal"/>
        <w:spacing w:lineRule="atLeast" w:line="240"/>
        <w:rPr>
          <w:color w:val="000000"/>
          <w:szCs w:val="20"/>
        </w:rPr>
      </w:pPr>
      <w:r>
        <w:rPr>
          <w:color w:val="000000"/>
          <w:szCs w:val="20"/>
        </w:rPr>
        <w:t>The results of the testing and inspection of unit #1 indicate that the unit can be operated for the heating season with minimal risk of problems.  However, the unit overhaul should be planned for next year and for a long-term fix we should consider separating the suction piping for unit 1 and the other units that are two staged.  One clear item is that any incremental firm deals need to cover the cost of the overhaul and for operation longer than one heating season should include the piping modifications.</w:t>
      </w:r>
    </w:p>
    <w:p>
      <w:pPr>
        <w:pStyle w:val="Normal"/>
        <w:spacing w:lineRule="atLeast" w:line="240"/>
        <w:rPr>
          <w:color w:val="000000"/>
          <w:szCs w:val="20"/>
        </w:rPr>
      </w:pPr>
      <w:r>
        <w:rPr>
          <w:color w:val="000000"/>
          <w:szCs w:val="20"/>
        </w:rPr>
      </w:r>
    </w:p>
    <w:p>
      <w:pPr>
        <w:pStyle w:val="Normal"/>
        <w:rPr>
          <w:b/>
          <w:bCs/>
          <w:szCs w:val="20"/>
        </w:rPr>
      </w:pPr>
      <w:r>
        <w:rPr>
          <w:b/>
          <w:bCs/>
          <w:szCs w:val="20"/>
        </w:rPr>
        <w:t>**Trailblazer Interconnect - Beatrice</w:t>
      </w:r>
    </w:p>
    <w:p>
      <w:pPr>
        <w:pStyle w:val="Normal"/>
        <w:rPr>
          <w:szCs w:val="20"/>
        </w:rPr>
      </w:pPr>
      <w:r>
        <w:rPr>
          <w:szCs w:val="20"/>
        </w:rPr>
        <w:t>A meeting with the Beatrice M&amp;O Team, Siemans Control, and Engineering was held at the Beatrice Station to discuss the control logic for the interconnect on the C line suction.  The construction at the interconnect will create a Trailblazer header system and the purpose of the meeting was any requirements for the station.  Different operating scenarios were discussed and agreement was reached on the required operating logic.</w:t>
      </w:r>
    </w:p>
    <w:p>
      <w:pPr>
        <w:pStyle w:val="Normal"/>
        <w:rPr>
          <w:szCs w:val="20"/>
        </w:rPr>
      </w:pPr>
      <w:r>
        <w:rPr>
          <w:szCs w:val="20"/>
        </w:rPr>
      </w:r>
    </w:p>
    <w:p>
      <w:pPr>
        <w:pStyle w:val="Heading2"/>
        <w:ind w:hanging="0" w:start="0"/>
        <w:rPr>
          <w:b/>
          <w:bCs/>
          <w:szCs w:val="20"/>
          <w:u w:val="none"/>
        </w:rPr>
      </w:pPr>
      <w:r>
        <w:rPr>
          <w:b/>
          <w:bCs/>
          <w:szCs w:val="20"/>
          <w:u w:val="none"/>
        </w:rPr>
        <w:t>**Branch Line Odorization</w:t>
      </w:r>
    </w:p>
    <w:p>
      <w:pPr>
        <w:pStyle w:val="Normal"/>
        <w:rPr>
          <w:szCs w:val="20"/>
        </w:rPr>
      </w:pPr>
      <w:r>
        <w:rPr>
          <w:szCs w:val="20"/>
        </w:rPr>
        <w:t xml:space="preserve">Discussed the branch line odorization plan for 2002 with Marketing and delivered a map depicting areas and utilities likely to be affected.  </w:t>
      </w:r>
    </w:p>
    <w:p>
      <w:pPr>
        <w:pStyle w:val="Normal"/>
        <w:rPr>
          <w:szCs w:val="20"/>
        </w:rPr>
      </w:pPr>
      <w:r>
        <w:rPr>
          <w:szCs w:val="20"/>
        </w:rPr>
      </w:r>
    </w:p>
    <w:p>
      <w:pPr>
        <w:pStyle w:val="Normal"/>
        <w:rPr>
          <w:szCs w:val="20"/>
        </w:rPr>
      </w:pPr>
      <w:r>
        <w:rPr>
          <w:szCs w:val="20"/>
        </w:rPr>
        <w:t>At the request of Marketing, the lost capacity for increasing the delivery pressure from 55 psig to 70 psig at the Cedar Falls #1 TBS was calculated for the Waverly Branch Line in eastern Iowa.  The local utility has requested the higher pressure because of the installation of a new odorant device on their system.</w:t>
      </w:r>
    </w:p>
    <w:p>
      <w:pPr>
        <w:pStyle w:val="Normal"/>
        <w:rPr>
          <w:szCs w:val="20"/>
        </w:rPr>
      </w:pPr>
      <w:r>
        <w:rPr>
          <w:szCs w:val="20"/>
        </w:rPr>
      </w:r>
    </w:p>
    <w:p>
      <w:pPr>
        <w:pStyle w:val="Heading2"/>
        <w:ind w:hanging="0" w:start="0"/>
        <w:rPr>
          <w:b/>
          <w:bCs/>
          <w:szCs w:val="20"/>
          <w:u w:val="none"/>
        </w:rPr>
      </w:pPr>
      <w:r>
        <w:rPr>
          <w:b/>
          <w:bCs/>
          <w:szCs w:val="20"/>
          <w:u w:val="none"/>
        </w:rPr>
        <w:t xml:space="preserve">**PB-KBB Storage </w:t>
      </w:r>
    </w:p>
    <w:p>
      <w:pPr>
        <w:pStyle w:val="Normal"/>
        <w:rPr>
          <w:szCs w:val="20"/>
        </w:rPr>
      </w:pPr>
      <w:r>
        <w:rPr>
          <w:szCs w:val="20"/>
        </w:rPr>
        <w:t>Attended a videoconference in which Harry Allison of PB-KBB gave a detailed explanation of the unexpectedly high cost estimates for the possible 2 BCF salt storage project near Bushton.  The uncertainty of the proposed KDHE regulations is a major factor driving costs higher.  Harry did state in answer to a question that he doubted the Yaggy field would ever be allowed back in service due to the sensitivity of its location.</w:t>
      </w:r>
    </w:p>
    <w:p>
      <w:pPr>
        <w:pStyle w:val="Normal"/>
        <w:rPr>
          <w:szCs w:val="20"/>
        </w:rPr>
      </w:pPr>
      <w:r>
        <w:rPr>
          <w:szCs w:val="20"/>
        </w:rPr>
      </w:r>
    </w:p>
    <w:p>
      <w:pPr>
        <w:pStyle w:val="Heading3"/>
        <w:ind w:hanging="0" w:start="0"/>
        <w:rPr>
          <w:rFonts w:ascii="Times New Roman" w:hAnsi="Times New Roman" w:cs="Times New Roman"/>
          <w:b/>
          <w:bCs/>
          <w:color w:val="0000FF"/>
          <w:sz w:val="24"/>
          <w:szCs w:val="20"/>
        </w:rPr>
      </w:pPr>
      <w:r>
        <w:rPr>
          <w:rFonts w:cs="Times New Roman" w:ascii="Times New Roman" w:hAnsi="Times New Roman"/>
          <w:b/>
          <w:bCs/>
          <w:color w:val="0000FF"/>
          <w:sz w:val="24"/>
          <w:szCs w:val="20"/>
        </w:rPr>
      </w:r>
    </w:p>
    <w:p>
      <w:pPr>
        <w:pStyle w:val="Heading3"/>
        <w:ind w:hanging="0" w:start="0"/>
        <w:rPr>
          <w:rFonts w:ascii="Times New Roman" w:hAnsi="Times New Roman" w:cs="Times New Roman"/>
          <w:b/>
          <w:bCs/>
          <w:color w:val="0000FF"/>
          <w:sz w:val="28"/>
        </w:rPr>
      </w:pPr>
      <w:r>
        <w:rPr>
          <w:rFonts w:cs="Times New Roman" w:ascii="Times New Roman" w:hAnsi="Times New Roman"/>
          <w:b/>
          <w:bCs/>
          <w:color w:val="0000FF"/>
          <w:sz w:val="28"/>
        </w:rPr>
        <w:t>HOUSTON PLANNING TEAM</w:t>
      </w:r>
    </w:p>
    <w:p>
      <w:pPr>
        <w:pStyle w:val="Heading2"/>
        <w:ind w:hanging="0" w:start="0"/>
        <w:rPr>
          <w:color w:val="0000FF"/>
          <w:szCs w:val="20"/>
        </w:rPr>
      </w:pPr>
      <w:r>
        <w:rPr>
          <w:b/>
          <w:bCs/>
          <w:color w:val="0000FF"/>
          <w:sz w:val="28"/>
          <w:szCs w:val="28"/>
        </w:rPr>
        <w:t>Florida Gas Transmission, Transwestern Pipeline, NNG South</w:t>
      </w:r>
      <w:r>
        <w:rPr>
          <w:color w:val="0000FF"/>
          <w:sz w:val="28"/>
          <w:szCs w:val="28"/>
        </w:rPr>
        <w:t xml:space="preserve"> </w:t>
      </w:r>
      <w:r>
        <w:rPr>
          <w:b/>
          <w:bCs/>
          <w:color w:val="0000FF"/>
          <w:sz w:val="28"/>
          <w:szCs w:val="28"/>
        </w:rPr>
        <w:t>&amp; EOTT</w:t>
      </w:r>
    </w:p>
    <w:p>
      <w:pPr>
        <w:pStyle w:val="Normal"/>
        <w:rPr>
          <w:color w:val="0000FF"/>
          <w:szCs w:val="20"/>
        </w:rPr>
      </w:pPr>
      <w:r>
        <w:rPr>
          <w:color w:val="0000FF"/>
          <w:szCs w:val="20"/>
        </w:rPr>
      </w:r>
    </w:p>
    <w:p>
      <w:pPr>
        <w:pStyle w:val="Normal"/>
        <w:rPr>
          <w:rFonts w:eastAsia="Arial Unicode MS"/>
          <w:b/>
          <w:bCs/>
          <w:color w:val="000000"/>
          <w:szCs w:val="20"/>
        </w:rPr>
      </w:pPr>
      <w:r>
        <w:rPr>
          <w:rFonts w:eastAsia="Arial Unicode MS"/>
          <w:b/>
          <w:bCs/>
          <w:color w:val="000000"/>
          <w:szCs w:val="20"/>
        </w:rPr>
        <w:t xml:space="preserve">El Paso Power Manatee </w:t>
      </w:r>
    </w:p>
    <w:p>
      <w:pPr>
        <w:pStyle w:val="Normal"/>
        <w:rPr>
          <w:rFonts w:eastAsia="Arial Unicode MS"/>
          <w:color w:val="000000"/>
          <w:szCs w:val="20"/>
        </w:rPr>
      </w:pPr>
      <w:r>
        <w:rPr>
          <w:rFonts w:eastAsia="Arial Unicode MS"/>
          <w:color w:val="000000"/>
          <w:szCs w:val="20"/>
        </w:rPr>
        <w:t>Planning provided a Level A cost estimate for a pipeline lateral and meter station to provide gas delivery to the proposed El Paso Power plant in Manatee Co. The estimate was based on an hourly flow rate of 3,600 MMBtu/hr with a delivery pressure of 525 psig.</w:t>
      </w:r>
    </w:p>
    <w:p>
      <w:pPr>
        <w:pStyle w:val="Normal"/>
        <w:rPr>
          <w:rFonts w:eastAsia="Arial Unicode MS"/>
          <w:color w:val="000000"/>
          <w:szCs w:val="20"/>
        </w:rPr>
      </w:pPr>
      <w:r>
        <w:rPr>
          <w:rFonts w:eastAsia="Arial Unicode MS"/>
          <w:color w:val="000000"/>
          <w:szCs w:val="20"/>
        </w:rPr>
      </w:r>
    </w:p>
    <w:p>
      <w:pPr>
        <w:pStyle w:val="Normal"/>
        <w:rPr/>
      </w:pPr>
      <w:r>
        <w:rPr>
          <w:rFonts w:eastAsia="Arial Unicode MS"/>
          <w:b/>
          <w:bCs/>
          <w:color w:val="000000"/>
          <w:szCs w:val="20"/>
        </w:rPr>
        <w:t>Lake Blue Gate Station</w:t>
      </w:r>
      <w:r>
        <w:rPr>
          <w:rFonts w:eastAsia="Arial Unicode MS"/>
          <w:color w:val="000000"/>
          <w:szCs w:val="20"/>
        </w:rPr>
        <w:t xml:space="preserve"> </w:t>
      </w:r>
    </w:p>
    <w:p>
      <w:pPr>
        <w:pStyle w:val="Normal"/>
        <w:rPr>
          <w:rFonts w:eastAsia="Arial Unicode MS"/>
          <w:color w:val="000000"/>
          <w:szCs w:val="20"/>
        </w:rPr>
      </w:pPr>
      <w:r>
        <w:rPr>
          <w:rFonts w:eastAsia="Arial Unicode MS"/>
          <w:color w:val="000000"/>
          <w:szCs w:val="20"/>
        </w:rPr>
        <w:t>TECO PGS has requested a Level A Cost estimate for upgrading the Lake Blue Gate Station in Polk, Co. Fla. The station would be increased to deliver up to 65,000 MMBtu/day at 550 psig to PGS.</w:t>
      </w:r>
    </w:p>
    <w:p>
      <w:pPr>
        <w:pStyle w:val="Normal"/>
        <w:rPr>
          <w:rFonts w:eastAsia="Arial Unicode MS"/>
          <w:color w:val="000000"/>
          <w:szCs w:val="20"/>
        </w:rPr>
      </w:pPr>
      <w:r>
        <w:rPr>
          <w:rFonts w:eastAsia="Arial Unicode MS"/>
          <w:color w:val="000000"/>
          <w:szCs w:val="20"/>
        </w:rPr>
      </w:r>
    </w:p>
    <w:p>
      <w:pPr>
        <w:pStyle w:val="Normal"/>
        <w:rPr>
          <w:rFonts w:eastAsia="Arial Unicode MS"/>
          <w:szCs w:val="20"/>
        </w:rPr>
      </w:pPr>
      <w:r>
        <w:rPr>
          <w:rFonts w:eastAsia="Arial Unicode MS"/>
          <w:b/>
          <w:bCs/>
          <w:szCs w:val="20"/>
        </w:rPr>
        <w:t>Pratt &amp; Whitney - Meter &amp; Regulator Station upgrade</w:t>
      </w:r>
    </w:p>
    <w:p>
      <w:pPr>
        <w:pStyle w:val="Normal"/>
        <w:rPr>
          <w:rFonts w:eastAsia="Arial Unicode MS"/>
          <w:szCs w:val="20"/>
        </w:rPr>
      </w:pPr>
      <w:r>
        <w:rPr>
          <w:rFonts w:eastAsia="Arial Unicode MS"/>
          <w:szCs w:val="20"/>
        </w:rPr>
        <w:t>Planning provided a Level A cost estimate to Marketing for the upgrade of the existing P&amp;W meter station to handle additional volumes for a new turbine testing facility.  The upgrades will allow FGT to deliver up to 280 mcf/h @ a 600 psig delivery pressure.</w:t>
      </w:r>
    </w:p>
    <w:p>
      <w:pPr>
        <w:pStyle w:val="Normal"/>
        <w:rPr>
          <w:rFonts w:eastAsia="Arial Unicode MS"/>
          <w:szCs w:val="20"/>
        </w:rPr>
      </w:pPr>
      <w:r>
        <w:rPr>
          <w:rFonts w:eastAsia="Arial Unicode MS"/>
          <w:szCs w:val="20"/>
        </w:rPr>
      </w:r>
    </w:p>
    <w:p>
      <w:pPr>
        <w:pStyle w:val="Normal"/>
        <w:rPr>
          <w:rFonts w:eastAsia="Arial Unicode MS"/>
          <w:szCs w:val="20"/>
        </w:rPr>
      </w:pPr>
      <w:r>
        <w:rPr>
          <w:rFonts w:eastAsia="Arial Unicode MS"/>
          <w:b/>
          <w:bCs/>
          <w:szCs w:val="20"/>
        </w:rPr>
        <w:t>**EEOS - Ft. Pierce</w:t>
      </w:r>
    </w:p>
    <w:p>
      <w:pPr>
        <w:pStyle w:val="Normal"/>
        <w:rPr>
          <w:rFonts w:eastAsia="Arial Unicode MS"/>
          <w:szCs w:val="20"/>
        </w:rPr>
      </w:pPr>
      <w:r>
        <w:rPr>
          <w:rFonts w:eastAsia="Arial Unicode MS"/>
          <w:szCs w:val="20"/>
        </w:rPr>
        <w:t>ETS is proposing to construct an 1100 MW combined-cycle generating facility adjacent to FGT's compressor station 20.  Planning provided a Level A cost estimate for the tap, connection and EFM for this interconnect.</w:t>
      </w:r>
    </w:p>
    <w:p>
      <w:pPr>
        <w:pStyle w:val="Normal"/>
        <w:rPr>
          <w:rFonts w:eastAsia="Arial Unicode MS"/>
          <w:szCs w:val="20"/>
        </w:rPr>
      </w:pPr>
      <w:r>
        <w:rPr>
          <w:rFonts w:eastAsia="Arial Unicode MS"/>
          <w:szCs w:val="20"/>
        </w:rPr>
      </w:r>
    </w:p>
    <w:p>
      <w:pPr>
        <w:pStyle w:val="Normal"/>
        <w:rPr>
          <w:rFonts w:eastAsia="Arial Unicode MS"/>
          <w:b/>
          <w:bCs/>
          <w:szCs w:val="20"/>
        </w:rPr>
      </w:pPr>
      <w:r>
        <w:rPr>
          <w:rFonts w:eastAsia="Arial Unicode MS"/>
          <w:b/>
          <w:bCs/>
          <w:szCs w:val="20"/>
        </w:rPr>
      </w:r>
    </w:p>
    <w:p>
      <w:pPr>
        <w:pStyle w:val="Normal"/>
        <w:rPr>
          <w:rFonts w:eastAsia="Arial Unicode MS"/>
          <w:b/>
          <w:bCs/>
          <w:szCs w:val="20"/>
        </w:rPr>
      </w:pPr>
      <w:r>
        <w:rPr>
          <w:rFonts w:eastAsia="Arial Unicode MS"/>
          <w:b/>
          <w:bCs/>
          <w:szCs w:val="20"/>
        </w:rPr>
      </w:r>
    </w:p>
    <w:p>
      <w:pPr>
        <w:pStyle w:val="Normal"/>
        <w:rPr>
          <w:rFonts w:eastAsia="Arial Unicode MS"/>
          <w:b/>
          <w:bCs/>
          <w:szCs w:val="20"/>
        </w:rPr>
      </w:pPr>
      <w:r>
        <w:rPr>
          <w:rFonts w:eastAsia="Arial Unicode MS"/>
          <w:b/>
          <w:bCs/>
          <w:szCs w:val="20"/>
        </w:rPr>
      </w:r>
    </w:p>
    <w:p>
      <w:pPr>
        <w:pStyle w:val="Normal"/>
        <w:rPr>
          <w:rFonts w:eastAsia="Arial Unicode MS"/>
          <w:b/>
          <w:bCs/>
          <w:szCs w:val="20"/>
        </w:rPr>
      </w:pPr>
      <w:r>
        <w:rPr>
          <w:rFonts w:eastAsia="Arial Unicode MS"/>
          <w:b/>
          <w:bCs/>
          <w:szCs w:val="20"/>
        </w:rPr>
      </w:r>
    </w:p>
    <w:p>
      <w:pPr>
        <w:pStyle w:val="Normal"/>
        <w:rPr>
          <w:rFonts w:eastAsia="Arial Unicode MS"/>
          <w:b/>
          <w:bCs/>
          <w:szCs w:val="20"/>
        </w:rPr>
      </w:pPr>
      <w:r>
        <w:rPr>
          <w:rFonts w:eastAsia="Arial Unicode MS"/>
          <w:b/>
          <w:bCs/>
          <w:szCs w:val="20"/>
        </w:rPr>
      </w:r>
    </w:p>
    <w:p>
      <w:pPr>
        <w:pStyle w:val="Normal"/>
        <w:rPr>
          <w:rFonts w:eastAsia="Arial Unicode MS"/>
          <w:szCs w:val="20"/>
        </w:rPr>
      </w:pPr>
      <w:r>
        <w:rPr>
          <w:rFonts w:eastAsia="Arial Unicode MS"/>
          <w:b/>
          <w:bCs/>
          <w:szCs w:val="20"/>
        </w:rPr>
        <w:t>**AES - LNG Pipeline</w:t>
      </w:r>
    </w:p>
    <w:p>
      <w:pPr>
        <w:pStyle w:val="Normal"/>
        <w:rPr>
          <w:rFonts w:eastAsia="Arial Unicode MS"/>
          <w:szCs w:val="20"/>
        </w:rPr>
      </w:pPr>
      <w:r>
        <w:rPr>
          <w:rFonts w:eastAsia="Arial Unicode MS"/>
          <w:szCs w:val="20"/>
        </w:rPr>
        <w:t>Planning provide AES Coral general capacity information about the FGT system near Port Everglades Florida (Ft. Lauderdale).  AES wants to deliver up to 800 mmcf/d into FGT in vaporized LNG from an offshore pipeline they are proposing.</w:t>
      </w:r>
    </w:p>
    <w:p>
      <w:pPr>
        <w:pStyle w:val="Normal"/>
        <w:rPr>
          <w:rFonts w:eastAsia="Arial Unicode MS"/>
          <w:szCs w:val="20"/>
        </w:rPr>
      </w:pPr>
      <w:r>
        <w:rPr>
          <w:rFonts w:eastAsia="Arial Unicode MS"/>
          <w:szCs w:val="20"/>
        </w:rPr>
      </w:r>
    </w:p>
    <w:p>
      <w:pPr>
        <w:pStyle w:val="Normal"/>
        <w:rPr>
          <w:rFonts w:eastAsia="Arial Unicode MS"/>
          <w:b/>
          <w:bCs/>
          <w:szCs w:val="20"/>
        </w:rPr>
      </w:pPr>
      <w:r>
        <w:rPr>
          <w:rFonts w:eastAsia="Arial Unicode MS"/>
          <w:b/>
          <w:bCs/>
          <w:szCs w:val="20"/>
        </w:rPr>
        <w:t>Phase V</w:t>
      </w:r>
    </w:p>
    <w:p>
      <w:pPr>
        <w:pStyle w:val="Normal"/>
        <w:rPr>
          <w:rFonts w:eastAsia="Arial Unicode MS"/>
          <w:szCs w:val="20"/>
        </w:rPr>
      </w:pPr>
      <w:r>
        <w:rPr>
          <w:rFonts w:eastAsia="Arial Unicode MS"/>
          <w:szCs w:val="20"/>
        </w:rPr>
        <w:t>Planning attended meetings regarding the relocation of Compressor Station # 31 and the scheduling of fall and winter construction tie-in's and outages.</w:t>
      </w:r>
    </w:p>
    <w:p>
      <w:pPr>
        <w:pStyle w:val="Normal"/>
        <w:rPr>
          <w:rFonts w:eastAsia="Arial Unicode MS"/>
          <w:szCs w:val="20"/>
        </w:rPr>
      </w:pPr>
      <w:r>
        <w:rPr>
          <w:rFonts w:eastAsia="Arial Unicode MS"/>
          <w:szCs w:val="20"/>
        </w:rPr>
      </w:r>
    </w:p>
    <w:p>
      <w:pPr>
        <w:pStyle w:val="Normal"/>
        <w:rPr>
          <w:rFonts w:eastAsia="Arial Unicode MS"/>
          <w:b/>
          <w:bCs/>
          <w:szCs w:val="20"/>
        </w:rPr>
      </w:pPr>
      <w:r>
        <w:rPr>
          <w:rFonts w:eastAsia="Arial Unicode MS"/>
          <w:b/>
          <w:bCs/>
          <w:szCs w:val="20"/>
        </w:rPr>
        <w:t>**Phase VI</w:t>
      </w:r>
    </w:p>
    <w:p>
      <w:pPr>
        <w:pStyle w:val="Normal"/>
        <w:rPr>
          <w:rFonts w:eastAsia="Arial Unicode MS"/>
          <w:szCs w:val="20"/>
        </w:rPr>
      </w:pPr>
      <w:r>
        <w:rPr>
          <w:rFonts w:eastAsia="Arial Unicode MS"/>
          <w:szCs w:val="20"/>
        </w:rPr>
        <w:t>Work is being done to change the flow studies for the proposed Phase VI FERC filing from Colebrook to the AGA equation. Studies were completed to test the possibility of installing an intermediate compression station between CS16 and CS17 in place of the proposed loop.</w:t>
      </w:r>
    </w:p>
    <w:p>
      <w:pPr>
        <w:pStyle w:val="Normal"/>
        <w:rPr>
          <w:rFonts w:eastAsia="Arial Unicode MS"/>
          <w:szCs w:val="20"/>
        </w:rPr>
      </w:pPr>
      <w:r>
        <w:rPr>
          <w:rFonts w:eastAsia="Arial Unicode MS"/>
          <w:szCs w:val="20"/>
        </w:rPr>
      </w:r>
    </w:p>
    <w:p>
      <w:pPr>
        <w:pStyle w:val="Normal"/>
        <w:rPr>
          <w:rFonts w:eastAsia="Arial Unicode MS"/>
          <w:b/>
          <w:bCs/>
          <w:szCs w:val="20"/>
        </w:rPr>
      </w:pPr>
      <w:r>
        <w:rPr>
          <w:rFonts w:eastAsia="Arial Unicode MS"/>
          <w:b/>
          <w:bCs/>
          <w:szCs w:val="20"/>
        </w:rPr>
        <w:t>**Phase VII</w:t>
      </w:r>
    </w:p>
    <w:p>
      <w:pPr>
        <w:pStyle w:val="Normal"/>
        <w:rPr>
          <w:rFonts w:eastAsia="Arial Unicode MS"/>
          <w:szCs w:val="20"/>
        </w:rPr>
      </w:pPr>
      <w:r>
        <w:rPr>
          <w:rFonts w:eastAsia="Arial Unicode MS"/>
          <w:szCs w:val="20"/>
        </w:rPr>
        <w:t>A Level A estimate was issued for a Phase VII case for 80,000 MMBtu/D to a proposed co-gen site for Reliant Energy in New Smyrna, FL.  The estimate requires a new, 30-mile, 18" lateral.</w:t>
      </w:r>
    </w:p>
    <w:p>
      <w:pPr>
        <w:pStyle w:val="Normal"/>
        <w:rPr>
          <w:rFonts w:eastAsia="Arial Unicode MS"/>
          <w:szCs w:val="20"/>
        </w:rPr>
      </w:pPr>
      <w:r>
        <w:rPr>
          <w:rFonts w:eastAsia="Arial Unicode MS"/>
          <w:szCs w:val="20"/>
        </w:rPr>
      </w:r>
    </w:p>
    <w:p>
      <w:pPr>
        <w:pStyle w:val="Normal"/>
        <w:rPr>
          <w:rFonts w:eastAsia="Arial Unicode MS"/>
          <w:b/>
          <w:bCs/>
          <w:color w:val="000000"/>
          <w:szCs w:val="20"/>
        </w:rPr>
      </w:pPr>
      <w:r>
        <w:rPr>
          <w:rFonts w:eastAsia="Arial Unicode MS"/>
          <w:b/>
          <w:bCs/>
          <w:color w:val="000000"/>
          <w:szCs w:val="20"/>
        </w:rPr>
        <w:t xml:space="preserve">**TW/ Agave interconnect in Eddy County, NM. </w:t>
      </w:r>
    </w:p>
    <w:p>
      <w:pPr>
        <w:pStyle w:val="Normal"/>
        <w:rPr>
          <w:rFonts w:eastAsia="Arial Unicode MS"/>
          <w:color w:val="000000"/>
          <w:szCs w:val="20"/>
        </w:rPr>
      </w:pPr>
      <w:r>
        <w:rPr>
          <w:rFonts w:eastAsia="Arial Unicode MS"/>
          <w:color w:val="000000"/>
          <w:szCs w:val="20"/>
        </w:rPr>
        <w:t>A work order was issued on 9-25-2001 to build a new tap &amp; valve on TW-36” West Texas lateral so TW can receive up to 35-100 mmcf/d gas from Agave.</w:t>
      </w:r>
    </w:p>
    <w:p>
      <w:pPr>
        <w:pStyle w:val="Normal"/>
        <w:rPr>
          <w:rFonts w:eastAsia="Arial Unicode MS"/>
          <w:color w:val="000000"/>
          <w:szCs w:val="20"/>
        </w:rPr>
      </w:pPr>
      <w:r>
        <w:rPr>
          <w:rFonts w:eastAsia="Arial Unicode MS"/>
          <w:color w:val="000000"/>
          <w:szCs w:val="20"/>
        </w:rPr>
        <w:t>Agave will design, construct and own the measurement and DAS facilities in accordance with TW’ Engineering Standards. TW will operate the interconnect facilities and flow control. The expected in service date for this project is Dec-15, 2001.</w:t>
      </w:r>
    </w:p>
    <w:p>
      <w:pPr>
        <w:pStyle w:val="Normal"/>
        <w:rPr>
          <w:rFonts w:eastAsia="Arial Unicode MS"/>
          <w:b/>
          <w:bCs/>
          <w:color w:val="000000"/>
          <w:szCs w:val="20"/>
        </w:rPr>
      </w:pPr>
      <w:r>
        <w:rPr>
          <w:rFonts w:eastAsia="Arial Unicode MS"/>
          <w:b/>
          <w:bCs/>
          <w:color w:val="000000"/>
          <w:szCs w:val="20"/>
        </w:rPr>
      </w:r>
    </w:p>
    <w:p>
      <w:pPr>
        <w:pStyle w:val="Normal"/>
        <w:rPr>
          <w:rFonts w:eastAsia="Arial Unicode MS"/>
          <w:b/>
          <w:bCs/>
          <w:szCs w:val="20"/>
        </w:rPr>
      </w:pPr>
      <w:r>
        <w:rPr>
          <w:rFonts w:eastAsia="Arial Unicode MS"/>
          <w:b/>
          <w:bCs/>
          <w:szCs w:val="20"/>
        </w:rPr>
        <w:t>**TW/Mainline Expansion Project</w:t>
      </w:r>
    </w:p>
    <w:p>
      <w:pPr>
        <w:pStyle w:val="Normal"/>
        <w:rPr>
          <w:rFonts w:eastAsia="Arial Unicode MS"/>
          <w:szCs w:val="20"/>
        </w:rPr>
      </w:pPr>
      <w:r>
        <w:rPr>
          <w:rFonts w:eastAsia="Arial Unicode MS"/>
          <w:szCs w:val="20"/>
        </w:rPr>
        <w:t xml:space="preserve">Planning began to evaluate swing loads on TW's system for a 250 MMcf/d expansion with compression only.  The study will be completed next week to include swings loads at SW Gas, Calpine Southpointe, and Griffith Energy interconnects.  </w:t>
      </w:r>
    </w:p>
    <w:p>
      <w:pPr>
        <w:pStyle w:val="Normal"/>
        <w:rPr>
          <w:rFonts w:eastAsia="Arial Unicode MS"/>
          <w:szCs w:val="20"/>
        </w:rPr>
      </w:pPr>
      <w:r>
        <w:rPr>
          <w:rFonts w:eastAsia="Arial Unicode MS"/>
          <w:szCs w:val="20"/>
        </w:rPr>
      </w:r>
    </w:p>
    <w:p>
      <w:pPr>
        <w:pStyle w:val="Normal"/>
        <w:rPr>
          <w:rFonts w:eastAsia="Arial Unicode MS"/>
          <w:b/>
          <w:bCs/>
          <w:szCs w:val="20"/>
        </w:rPr>
      </w:pPr>
      <w:r>
        <w:rPr>
          <w:rFonts w:eastAsia="Arial Unicode MS"/>
          <w:b/>
          <w:bCs/>
          <w:szCs w:val="20"/>
        </w:rPr>
        <w:t>**TW/Sun Devil Expansion Project</w:t>
      </w:r>
    </w:p>
    <w:p>
      <w:pPr>
        <w:pStyle w:val="Normal"/>
        <w:rPr>
          <w:rFonts w:eastAsia="Arial Unicode MS"/>
          <w:szCs w:val="20"/>
        </w:rPr>
      </w:pPr>
      <w:r>
        <w:rPr>
          <w:rFonts w:eastAsia="Arial Unicode MS"/>
          <w:szCs w:val="20"/>
        </w:rPr>
        <w:t>Planning will meet with Engineering Friday to discuss their finding for the proposed route and associated cost estimates.  Initial findings indicate a possible rebundling with the Red Rock units to accommodate the Sun Devil expansion.</w:t>
      </w:r>
    </w:p>
    <w:p>
      <w:pPr>
        <w:pStyle w:val="Normal"/>
        <w:rPr>
          <w:rFonts w:eastAsia="Arial Unicode MS"/>
          <w:szCs w:val="20"/>
        </w:rPr>
      </w:pPr>
      <w:r>
        <w:rPr>
          <w:rFonts w:eastAsia="Arial Unicode MS"/>
          <w:szCs w:val="20"/>
        </w:rPr>
      </w:r>
    </w:p>
    <w:p>
      <w:pPr>
        <w:pStyle w:val="Normal"/>
        <w:rPr>
          <w:rFonts w:eastAsia="Arial Unicode MS"/>
          <w:b/>
          <w:bCs/>
          <w:color w:val="000000"/>
          <w:szCs w:val="20"/>
        </w:rPr>
      </w:pPr>
      <w:r>
        <w:rPr>
          <w:rFonts w:eastAsia="Arial Unicode MS"/>
          <w:b/>
          <w:bCs/>
          <w:color w:val="000000"/>
          <w:szCs w:val="20"/>
        </w:rPr>
        <w:t>NGPL TW Eddy County I/C</w:t>
      </w:r>
    </w:p>
    <w:p>
      <w:pPr>
        <w:pStyle w:val="Normal"/>
        <w:rPr>
          <w:rFonts w:eastAsia="Arial Unicode MS"/>
          <w:color w:val="000000"/>
          <w:szCs w:val="20"/>
        </w:rPr>
      </w:pPr>
      <w:r>
        <w:rPr>
          <w:rFonts w:eastAsia="Arial Unicode MS"/>
          <w:color w:val="000000"/>
          <w:szCs w:val="20"/>
        </w:rPr>
        <w:t>NGPL and company representatives met at the site mid-week to discuss the modification at NGPL's current connection to TW in Eddy County, New Mexico.  Some minor issues were identified and routed to responsible parties.  Intentions are to convert to a 60,500 mmbtu delivery to TW around the end of the year.</w:t>
      </w:r>
    </w:p>
    <w:p>
      <w:pPr>
        <w:pStyle w:val="Normal"/>
        <w:rPr>
          <w:rFonts w:eastAsia="Arial Unicode MS"/>
          <w:color w:val="000000"/>
          <w:szCs w:val="20"/>
        </w:rPr>
      </w:pPr>
      <w:r>
        <w:rPr>
          <w:rFonts w:eastAsia="Arial Unicode MS"/>
          <w:color w:val="000000"/>
          <w:szCs w:val="20"/>
        </w:rPr>
      </w:r>
    </w:p>
    <w:p>
      <w:pPr>
        <w:pStyle w:val="Normal"/>
        <w:rPr>
          <w:rFonts w:eastAsia="Arial Unicode MS"/>
          <w:b/>
          <w:bCs/>
          <w:color w:val="000000"/>
          <w:szCs w:val="20"/>
        </w:rPr>
      </w:pPr>
      <w:r>
        <w:rPr>
          <w:rFonts w:eastAsia="Arial Unicode MS"/>
          <w:b/>
          <w:bCs/>
          <w:color w:val="000000"/>
          <w:szCs w:val="20"/>
        </w:rPr>
      </w:r>
    </w:p>
    <w:p>
      <w:pPr>
        <w:pStyle w:val="Normal"/>
        <w:rPr>
          <w:rFonts w:eastAsia="Arial Unicode MS"/>
          <w:b/>
          <w:bCs/>
          <w:color w:val="000000"/>
          <w:szCs w:val="20"/>
        </w:rPr>
      </w:pPr>
      <w:r>
        <w:rPr>
          <w:rFonts w:eastAsia="Arial Unicode MS"/>
          <w:b/>
          <w:bCs/>
          <w:color w:val="000000"/>
          <w:szCs w:val="20"/>
        </w:rPr>
      </w:r>
    </w:p>
    <w:p>
      <w:pPr>
        <w:pStyle w:val="Normal"/>
        <w:rPr>
          <w:rFonts w:eastAsia="Arial Unicode MS"/>
          <w:b/>
          <w:bCs/>
          <w:color w:val="000000"/>
          <w:szCs w:val="20"/>
        </w:rPr>
      </w:pPr>
      <w:r>
        <w:rPr>
          <w:rFonts w:eastAsia="Arial Unicode MS"/>
          <w:b/>
          <w:bCs/>
          <w:color w:val="000000"/>
          <w:szCs w:val="20"/>
        </w:rPr>
      </w:r>
    </w:p>
    <w:p>
      <w:pPr>
        <w:pStyle w:val="Normal"/>
        <w:rPr>
          <w:rFonts w:eastAsia="Arial Unicode MS"/>
          <w:b/>
          <w:bCs/>
          <w:color w:val="000000"/>
          <w:szCs w:val="20"/>
        </w:rPr>
      </w:pPr>
      <w:r>
        <w:rPr>
          <w:rFonts w:eastAsia="Arial Unicode MS"/>
          <w:b/>
          <w:bCs/>
          <w:color w:val="000000"/>
          <w:szCs w:val="20"/>
        </w:rPr>
        <w:t xml:space="preserve">ETS/ Enron North America </w:t>
      </w:r>
    </w:p>
    <w:p>
      <w:pPr>
        <w:pStyle w:val="Normal"/>
        <w:rPr>
          <w:rFonts w:eastAsia="Arial Unicode MS"/>
          <w:color w:val="000000"/>
          <w:szCs w:val="20"/>
        </w:rPr>
      </w:pPr>
      <w:r>
        <w:rPr>
          <w:rFonts w:eastAsia="Arial Unicode MS"/>
          <w:color w:val="000000"/>
          <w:szCs w:val="20"/>
        </w:rPr>
        <w:t xml:space="preserve">Planning met with ENA and discussed the physical ability of TW / NNG facilities in West Texas/ Waha area. Further discussions should follow up on this project with TW/ NNG Marketing next week. ENA is in the process of developing a trading hub in this area. </w:t>
      </w:r>
    </w:p>
    <w:p>
      <w:pPr>
        <w:pStyle w:val="Normal"/>
        <w:ind w:start="360" w:end="0"/>
        <w:rPr>
          <w:rFonts w:eastAsia="Arial Unicode MS"/>
          <w:color w:val="000000"/>
          <w:szCs w:val="20"/>
        </w:rPr>
      </w:pPr>
      <w:r>
        <w:rPr>
          <w:rFonts w:eastAsia="Arial Unicode MS"/>
          <w:color w:val="000000"/>
          <w:szCs w:val="20"/>
        </w:rPr>
      </w:r>
    </w:p>
    <w:p>
      <w:pPr>
        <w:pStyle w:val="Normal"/>
        <w:ind w:firstLine="1080" w:start="-1080" w:end="0"/>
        <w:rPr>
          <w:rFonts w:eastAsia="Arial Unicode MS"/>
          <w:b/>
          <w:bCs/>
          <w:color w:val="000000"/>
          <w:szCs w:val="20"/>
        </w:rPr>
      </w:pPr>
      <w:r>
        <w:rPr>
          <w:rFonts w:eastAsia="Arial Unicode MS"/>
          <w:b/>
          <w:bCs/>
          <w:color w:val="000000"/>
          <w:szCs w:val="20"/>
        </w:rPr>
        <w:t xml:space="preserve">NNG/ Hutchinson County #2 Compression and Treating Facilities </w:t>
      </w:r>
    </w:p>
    <w:p>
      <w:pPr>
        <w:pStyle w:val="BodyTextIndent"/>
        <w:ind w:start="0" w:end="0"/>
        <w:rPr/>
      </w:pPr>
      <w:r>
        <w:rPr/>
        <w:t xml:space="preserve">In a joint effort of Marketing, Operations, Regulatory and Legal, the decision has been made to file for abandonment of the Hutchinson County #2 station in the Texas Panhandle.  This abandonment would include all of the facilities at the site including the compression and the treating facilities.  Marketing requested cost estimates and authorized Planning to beginning the abandonment proceedings for FERC filing. </w:t>
      </w:r>
    </w:p>
    <w:p>
      <w:pPr>
        <w:pStyle w:val="Normal"/>
        <w:ind w:start="-1800" w:end="0"/>
        <w:rPr>
          <w:rFonts w:eastAsia="Arial Unicode MS"/>
          <w:color w:val="000000"/>
          <w:szCs w:val="20"/>
        </w:rPr>
      </w:pPr>
      <w:r>
        <w:rPr>
          <w:rFonts w:eastAsia="Arial Unicode MS"/>
          <w:color w:val="000000"/>
          <w:szCs w:val="20"/>
        </w:rPr>
      </w:r>
    </w:p>
    <w:p>
      <w:pPr>
        <w:pStyle w:val="Normal"/>
        <w:ind w:firstLine="1080" w:start="-1080" w:end="0"/>
        <w:rPr>
          <w:rFonts w:eastAsia="Arial Unicode MS"/>
          <w:b/>
          <w:bCs/>
          <w:color w:val="000000"/>
          <w:szCs w:val="20"/>
        </w:rPr>
      </w:pPr>
      <w:r>
        <w:rPr>
          <w:rFonts w:eastAsia="Arial Unicode MS"/>
          <w:b/>
          <w:bCs/>
          <w:color w:val="000000"/>
          <w:szCs w:val="20"/>
        </w:rPr>
        <w:t>**NNG/CIG Carbon Dioxide Content</w:t>
      </w:r>
    </w:p>
    <w:p>
      <w:pPr>
        <w:pStyle w:val="Normal"/>
        <w:rPr/>
      </w:pPr>
      <w:r>
        <w:rPr>
          <w:rFonts w:eastAsia="Arial Unicode MS"/>
          <w:color w:val="000000"/>
          <w:szCs w:val="20"/>
        </w:rPr>
        <w:t>On 9/24/01 a meeting was held with Oneok and ExxonMobil concerning the CO2 issues as they relate to Bushton.  It was decided that the best solution to solve the CO2 problems would be to install CO2 treating facilities at the source, the CIG interconnect.  Getting the CO2 problem resolved is of great importance to Oneok and ExxonMobil so that the Bushton Helium processing facilities can begin production.  Questions or comments provided for Planning responses are 1) what treating capacity is required, 2) could a 3</w:t>
      </w:r>
      <w:r>
        <w:rPr>
          <w:rFonts w:eastAsia="Arial Unicode MS"/>
          <w:color w:val="000000"/>
          <w:szCs w:val="20"/>
          <w:vertAlign w:val="superscript"/>
        </w:rPr>
        <w:t>rd</w:t>
      </w:r>
      <w:r>
        <w:rPr>
          <w:rFonts w:eastAsia="Arial Unicode MS"/>
          <w:color w:val="000000"/>
          <w:szCs w:val="20"/>
        </w:rPr>
        <w:t xml:space="preserve"> party lease service for complete treating package be available, and 3) how quickly could a treating package be provided and installed.  </w:t>
      </w:r>
    </w:p>
    <w:p>
      <w:pPr>
        <w:pStyle w:val="Normal"/>
        <w:ind w:start="-1800" w:end="0"/>
        <w:rPr>
          <w:rFonts w:eastAsia="Arial Unicode MS"/>
          <w:color w:val="000000"/>
          <w:szCs w:val="20"/>
        </w:rPr>
      </w:pPr>
      <w:r>
        <w:rPr>
          <w:rFonts w:eastAsia="Arial Unicode MS"/>
          <w:color w:val="000000"/>
          <w:szCs w:val="20"/>
        </w:rPr>
      </w:r>
    </w:p>
    <w:p>
      <w:pPr>
        <w:pStyle w:val="Normal"/>
        <w:rPr>
          <w:rFonts w:eastAsia="Arial Unicode MS"/>
          <w:color w:val="000000"/>
          <w:szCs w:val="20"/>
        </w:rPr>
      </w:pPr>
      <w:r>
        <w:rPr>
          <w:rFonts w:eastAsia="Arial Unicode MS"/>
          <w:color w:val="00000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Arial" w:hAnsi="Arial" w:cs="Arial"/>
      <w:sz w:val="20"/>
    </w:rPr>
  </w:style>
  <w:style w:type="paragraph" w:styleId="Heading2">
    <w:name w:val="heading 2"/>
    <w:basedOn w:val="Normal"/>
    <w:next w:val="Normal"/>
    <w:qFormat/>
    <w:pPr>
      <w:keepNext w:val="true"/>
      <w:numPr>
        <w:ilvl w:val="1"/>
        <w:numId w:val="1"/>
      </w:numPr>
      <w:autoSpaceDE w:val="false"/>
      <w:outlineLvl w:val="1"/>
    </w:pPr>
    <w:rPr>
      <w:u w:val="single"/>
    </w:rPr>
  </w:style>
  <w:style w:type="paragraph" w:styleId="Heading3">
    <w:name w:val="heading 3"/>
    <w:basedOn w:val="Normal"/>
    <w:next w:val="Normal"/>
    <w:qFormat/>
    <w:pPr>
      <w:numPr>
        <w:ilvl w:val="2"/>
        <w:numId w:val="1"/>
      </w:numPr>
      <w:autoSpaceDE w:val="false"/>
      <w:outlineLvl w:val="2"/>
    </w:pPr>
    <w:rPr>
      <w:rFonts w:ascii="Helv;Arial" w:hAnsi="Helv;Arial" w:cs="Helv;Arial"/>
      <w:sz w:val="20"/>
    </w:rPr>
  </w:style>
  <w:style w:type="paragraph" w:styleId="Heading4">
    <w:name w:val="heading 4"/>
    <w:basedOn w:val="Normal"/>
    <w:next w:val="Normal"/>
    <w:qFormat/>
    <w:pPr>
      <w:numPr>
        <w:ilvl w:val="3"/>
        <w:numId w:val="1"/>
      </w:numPr>
      <w:autoSpaceDE w:val="false"/>
      <w:outlineLvl w:val="3"/>
    </w:pPr>
    <w:rPr>
      <w:rFonts w:ascii="Arial" w:hAnsi="Arial" w:cs="Arial"/>
      <w:sz w:val="20"/>
    </w:rPr>
  </w:style>
  <w:style w:type="paragraph" w:styleId="Heading6">
    <w:name w:val="heading 6"/>
    <w:basedOn w:val="Normal"/>
    <w:next w:val="Normal"/>
    <w:qFormat/>
    <w:pPr>
      <w:keepNext w:val="true"/>
      <w:numPr>
        <w:ilvl w:val="5"/>
        <w:numId w:val="1"/>
      </w:numPr>
      <w:outlineLvl w:val="5"/>
    </w:pPr>
    <w:rPr>
      <w:b/>
      <w:bCs/>
      <w:color w:val="0000FF"/>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character" w:styleId="DefaultParagraphFont">
    <w:name w:val="Default Paragraph Font"/>
    <w:qFormat/>
    <w:rPr/>
  </w:style>
  <w:style w:type="character" w:styleId="EmailStyle20">
    <w:name w:val="EmailStyle20"/>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tyle>
  <w:style w:type="paragraph" w:styleId="BodyText3">
    <w:name w:val="Body Text 3"/>
    <w:basedOn w:val="Normal"/>
    <w:qFormat/>
    <w:pPr/>
    <w:rPr>
      <w:color w:val="FF0000"/>
    </w:rPr>
  </w:style>
  <w:style w:type="paragraph" w:styleId="BodyTextIndent">
    <w:name w:val="Body Text Indent"/>
    <w:basedOn w:val="Normal"/>
    <w:pPr>
      <w:ind w:hanging="0" w:start="-1800" w:end="0"/>
    </w:pPr>
    <w:rPr>
      <w:rFonts w:eastAsia="Arial Unicode MS"/>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2001-09-28T09:01:00Z</dcterms:created>
  <dc:creator>mgottsp</dc:creator>
  <dc:description/>
  <dc:language>en-CA</dc:language>
  <cp:lastModifiedBy>mgottsp</cp:lastModifiedBy>
  <dcterms:modified xsi:type="dcterms:W3CDTF">2001-09-28T09:01:00Z</dcterms:modified>
  <cp:revision>2</cp:revision>
  <dc:subject/>
  <dc:title>ETS Planning Weekly Report</dc:title>
</cp:coreProperties>
</file>