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enter"/>
        <w:spacing w:lineRule="auto" w:line="240" w:before="0" w:after="0"/>
        <w:rPr>
          <w:bCs/>
          <w:i/>
          <w:i/>
          <w:iCs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-822960</wp:posOffset>
                </wp:positionH>
                <wp:positionV relativeFrom="paragraph">
                  <wp:posOffset>635</wp:posOffset>
                </wp:positionV>
                <wp:extent cx="91440" cy="91440"/>
                <wp:effectExtent l="5080" t="5080" r="5080" b="508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-64.8pt;margin-top:0pt;width:7.15pt;height:7.15pt;mso-wrap-style:none;v-text-anchor:middle">
                <v:fill o:detectmouseclick="t" type="solid" color2="black"/>
                <v:stroke color="white" weight="9360" joinstyle="miter" endcap="flat"/>
                <w10:wrap type="none"/>
              </v:rect>
            </w:pict>
          </mc:Fallback>
        </mc:AlternateContent>
      </w:r>
      <w:r>
        <w:rPr>
          <w:bCs/>
          <w:i/>
          <w:iCs/>
        </w:rPr>
        <w:t>DRAFT SUMMARY OF CONTESTED ISSUES</w:t>
      </w:r>
    </w:p>
    <w:p>
      <w:pPr>
        <w:pStyle w:val="Center"/>
        <w:spacing w:lineRule="auto" w:line="240" w:before="0" w:after="0"/>
        <w:rPr>
          <w:bCs/>
          <w:i/>
          <w:i/>
          <w:iCs/>
        </w:rPr>
      </w:pPr>
      <w:r>
        <w:rPr>
          <w:bCs/>
          <w:i/>
          <w:iCs/>
        </w:rPr>
        <w:t>AND POSITIONS FOR ISSUE 1 HEARING</w:t>
      </w:r>
    </w:p>
    <w:p>
      <w:pPr>
        <w:pStyle w:val="Heading1"/>
        <w:ind w:hanging="0" w:start="0"/>
        <w:jc w:val="both"/>
        <w:rPr>
          <w:bCs/>
        </w:rPr>
      </w:pPr>
      <w:r>
        <w:rPr>
          <w:bCs/>
        </w:rPr>
        <w:t>APPLYING THE COMMISSION'S MMCP FORMULA</w:t>
      </w:r>
    </w:p>
    <w:p>
      <w:pPr>
        <w:pStyle w:val="Heading1"/>
        <w:numPr>
          <w:ilvl w:val="0"/>
          <w:numId w:val="0"/>
        </w:numPr>
        <w:ind w:hanging="1080" w:start="2160" w:end="0"/>
        <w:rPr>
          <w:bCs/>
        </w:rPr>
      </w:pPr>
      <w:r>
        <w:rPr>
          <w:bCs/>
        </w:rPr>
        <w:t>MMCP = (Heat Rate x Gas Price + $6) x 1.1 (for intervals after January 5, 2001)</w:t>
      </w:r>
    </w:p>
    <w:p>
      <w:pPr>
        <w:pStyle w:val="Heading2"/>
        <w:ind w:hanging="0" w:start="0"/>
        <w:jc w:val="both"/>
        <w:rPr>
          <w:bCs/>
        </w:rPr>
      </w:pPr>
      <w:r>
        <w:rPr>
          <w:bCs/>
        </w:rPr>
        <w:t>Heat Rate Issues.</w:t>
      </w:r>
    </w:p>
    <w:p>
      <w:pPr>
        <w:pStyle w:val="Heading3"/>
        <w:ind w:hanging="0" w:start="0"/>
        <w:jc w:val="both"/>
        <w:rPr/>
      </w:pPr>
      <w:r>
        <w:rPr/>
        <w:t>Whether the heat rate inputs should be based on average or incremental heat rate data?</w:t>
      </w:r>
    </w:p>
    <w:p>
      <w:pPr>
        <w:pStyle w:val="Heading3"/>
        <w:ind w:hanging="0" w:start="0"/>
        <w:jc w:val="both"/>
        <w:rPr>
          <w:bCs/>
        </w:rPr>
      </w:pPr>
      <w:r>
        <w:rPr>
          <w:bCs/>
        </w:rPr>
        <w:t>Whether the heat rate data should be adjusted to be "monotonically non-decreasing"?</w:t>
      </w:r>
    </w:p>
    <w:p>
      <w:pPr>
        <w:pStyle w:val="Heading3"/>
        <w:ind w:hanging="0" w:start="0"/>
        <w:jc w:val="both"/>
        <w:rPr>
          <w:bCs/>
        </w:rPr>
      </w:pPr>
      <w:r>
        <w:rPr>
          <w:bCs/>
        </w:rPr>
        <w:t>Whether there should be any adjustments to the heat rate data submitted by the ISO?</w:t>
      </w:r>
    </w:p>
    <w:p>
      <w:pPr>
        <w:pStyle w:val="Heading3"/>
        <w:ind w:hanging="0" w:start="0"/>
        <w:jc w:val="both"/>
        <w:rPr>
          <w:bCs/>
        </w:rPr>
      </w:pPr>
      <w:r>
        <w:rPr>
          <w:bCs/>
        </w:rPr>
        <w:t>Whether marginal cost data should be used instead of heat rate data in developing inputs to the MMCP Formula?</w:t>
      </w:r>
    </w:p>
    <w:p>
      <w:pPr>
        <w:pStyle w:val="Heading2"/>
        <w:ind w:hanging="0" w:start="0"/>
        <w:jc w:val="both"/>
        <w:rPr>
          <w:bCs/>
        </w:rPr>
      </w:pPr>
      <w:r>
        <w:rPr>
          <w:bCs/>
        </w:rPr>
        <w:t>Determining The Universe of Eligible Generating Units</w:t>
      </w:r>
    </w:p>
    <w:p>
      <w:pPr>
        <w:pStyle w:val="Heading3"/>
        <w:ind w:hanging="0" w:start="0"/>
        <w:jc w:val="both"/>
        <w:rPr>
          <w:bCs/>
        </w:rPr>
      </w:pPr>
      <w:r>
        <w:rPr>
          <w:bCs/>
        </w:rPr>
        <w:t>Which units, based on fuel characteristics, are eligible to be the marginal unit whose heat rate is selected for use in the MMCP Formula?</w:t>
      </w:r>
    </w:p>
    <w:p>
      <w:pPr>
        <w:pStyle w:val="Heading3"/>
        <w:ind w:hanging="0" w:start="0"/>
        <w:jc w:val="both"/>
        <w:rPr>
          <w:bCs/>
        </w:rPr>
      </w:pPr>
      <w:r>
        <w:rPr>
          <w:bCs/>
        </w:rPr>
        <w:t>Which units, based on the nature of real time dispatch instructions, are eligible to be the marginal unit whose heat rate is selected for use in the MMCP Formula?</w:t>
      </w:r>
    </w:p>
    <w:p>
      <w:pPr>
        <w:pStyle w:val="Heading3"/>
        <w:ind w:hanging="0" w:start="0"/>
        <w:jc w:val="both"/>
        <w:rPr>
          <w:bCs/>
        </w:rPr>
      </w:pPr>
      <w:r>
        <w:rPr>
          <w:bCs/>
        </w:rPr>
        <w:t>Should the MMCP be determined based upon actual units dispatched or upon a hypothical BEEP formula?</w:t>
      </w:r>
    </w:p>
    <w:p>
      <w:pPr>
        <w:pStyle w:val="Heading2"/>
        <w:ind w:hanging="0" w:start="0"/>
        <w:jc w:val="both"/>
        <w:rPr>
          <w:bCs/>
        </w:rPr>
      </w:pPr>
      <w:r>
        <w:rPr>
          <w:bCs/>
        </w:rPr>
        <w:t>Determining the Operating Point on the Heat Rate Curve.</w:t>
      </w:r>
    </w:p>
    <w:p>
      <w:pPr>
        <w:pStyle w:val="Heading3"/>
        <w:ind w:hanging="0" w:start="0"/>
        <w:jc w:val="both"/>
        <w:rPr>
          <w:bCs/>
        </w:rPr>
      </w:pPr>
      <w:r>
        <w:rPr>
          <w:bCs/>
        </w:rPr>
        <w:t>Whether the “output point” used to determine a unit’s heat rate should be determined based on actual operating levels or the ISO's Acknowledged Operating Point Formula?</w:t>
      </w:r>
    </w:p>
    <w:p>
      <w:pPr>
        <w:pStyle w:val="Heading2"/>
        <w:ind w:hanging="0" w:start="0"/>
        <w:jc w:val="both"/>
        <w:rPr>
          <w:bCs/>
        </w:rPr>
      </w:pPr>
      <w:r>
        <w:rPr>
          <w:bCs/>
        </w:rPr>
        <w:t>What approach should be used to determine which unit in each interval has the highest heat rate?</w:t>
      </w:r>
    </w:p>
    <w:p>
      <w:pPr>
        <w:pStyle w:val="Heading2"/>
        <w:ind w:hanging="0" w:start="0"/>
        <w:jc w:val="both"/>
        <w:rPr>
          <w:bCs/>
        </w:rPr>
      </w:pPr>
      <w:r>
        <w:rPr>
          <w:bCs/>
        </w:rPr>
        <w:t>Gas Prices.</w:t>
      </w:r>
    </w:p>
    <w:p>
      <w:pPr>
        <w:pStyle w:val="Heading3"/>
        <w:ind w:hanging="0" w:start="0"/>
        <w:jc w:val="both"/>
        <w:rPr/>
      </w:pPr>
      <w:r>
        <w:rPr/>
        <w:t>Which index for gas prices should be used?</w:t>
      </w:r>
    </w:p>
    <w:p>
      <w:pPr>
        <w:pStyle w:val="Heading2"/>
        <w:keepNext w:val="true"/>
        <w:ind w:hanging="0" w:start="0"/>
        <w:jc w:val="both"/>
        <w:rPr>
          <w:bCs/>
        </w:rPr>
      </w:pPr>
      <w:r>
        <w:rPr>
          <w:bCs/>
        </w:rPr>
        <w:t>Calculation Issues.</w:t>
      </w:r>
    </w:p>
    <w:p>
      <w:pPr>
        <w:pStyle w:val="Heading3"/>
        <w:keepNext w:val="true"/>
        <w:ind w:hanging="0" w:start="0"/>
        <w:jc w:val="both"/>
        <w:rPr>
          <w:bCs/>
        </w:rPr>
      </w:pPr>
      <w:r>
        <w:rPr>
          <w:bCs/>
        </w:rPr>
        <w:t>What approach should be used to determine the MMCP when no eligible unit dispatched during an interval?</w:t>
      </w:r>
    </w:p>
    <w:p>
      <w:pPr>
        <w:pStyle w:val="Heading3"/>
        <w:ind w:hanging="0" w:start="0"/>
        <w:jc w:val="both"/>
        <w:rPr>
          <w:bCs/>
        </w:rPr>
      </w:pPr>
      <w:r>
        <w:rPr>
          <w:bCs/>
        </w:rPr>
        <w:t>Should simple or weighted averages be used to determine an hourly price based on six 10-minute intervals?</w:t>
      </w:r>
    </w:p>
    <w:p>
      <w:pPr>
        <w:pStyle w:val="Heading2"/>
        <w:ind w:hanging="0" w:start="0"/>
        <w:jc w:val="both"/>
        <w:rPr/>
      </w:pPr>
      <w:r>
        <w:rPr/>
        <w:t>Whether the Marginal Unit Should Be Based On Maximum Heat Rates or Maximum Costs?</w:t>
      </w:r>
    </w:p>
    <w:p>
      <w:pPr>
        <w:pStyle w:val="Heading2"/>
        <w:ind w:hanging="0" w:start="0"/>
        <w:jc w:val="both"/>
        <w:rPr>
          <w:bCs/>
        </w:rPr>
      </w:pPr>
      <w:r>
        <w:rPr>
          <w:bCs/>
        </w:rPr>
        <w:t>Whether the MMCP Should Be Used as a Market Clearing Price for All Transactions or as An Additional Cap on the Clearing Price.</w:t>
      </w:r>
    </w:p>
    <w:p>
      <w:pPr>
        <w:pStyle w:val="Heading1"/>
        <w:ind w:hanging="0" w:start="0"/>
        <w:jc w:val="both"/>
        <w:rPr>
          <w:bCs/>
        </w:rPr>
      </w:pPr>
      <w:r>
        <w:rPr>
          <w:bCs/>
        </w:rPr>
        <w:t>OTHER COSTS TO BE RECOVERED OUTSIDE OF THE MMCP</w:t>
      </w:r>
    </w:p>
    <w:p>
      <w:pPr>
        <w:pStyle w:val="Heading2"/>
        <w:ind w:hanging="0" w:start="0"/>
        <w:jc w:val="both"/>
        <w:rPr>
          <w:bCs/>
        </w:rPr>
      </w:pPr>
      <w:r>
        <w:rPr>
          <w:bCs/>
        </w:rPr>
        <w:t>NOx.</w:t>
      </w:r>
    </w:p>
    <w:p>
      <w:pPr>
        <w:pStyle w:val="Heading2"/>
        <w:ind w:hanging="0" w:start="0"/>
        <w:jc w:val="both"/>
        <w:rPr>
          <w:bCs/>
        </w:rPr>
      </w:pPr>
      <w:r>
        <w:rPr>
          <w:bCs/>
        </w:rPr>
        <w:t>Start-up Costs.</w:t>
      </w:r>
    </w:p>
    <w:p>
      <w:pPr>
        <w:pStyle w:val="Heading2"/>
        <w:ind w:hanging="0" w:start="0"/>
        <w:jc w:val="both"/>
        <w:rPr>
          <w:bCs/>
        </w:rPr>
      </w:pPr>
      <w:r>
        <w:rPr>
          <w:bCs/>
        </w:rPr>
        <w:t>Purchased Power Costs.  Certain out-of-state parties argue that they are entitled to recover their purchased power costs, where the costs exceeded the MMCP.</w:t>
      </w:r>
    </w:p>
    <w:p>
      <w:pPr>
        <w:pStyle w:val="Heading1"/>
        <w:ind w:hanging="0" w:start="0"/>
        <w:jc w:val="both"/>
        <w:rPr>
          <w:bCs/>
        </w:rPr>
      </w:pPr>
      <w:r>
        <w:rPr>
          <w:bCs/>
        </w:rPr>
        <w:t>TRANSACTIONS EXCLUDED FROM APPLICATION OF MMCP AND NOT SUBJECT TO REFUND.</w:t>
      </w:r>
    </w:p>
    <w:p>
      <w:pPr>
        <w:pStyle w:val="Heading2"/>
        <w:ind w:hanging="0" w:start="0"/>
        <w:jc w:val="both"/>
        <w:rPr>
          <w:bCs/>
        </w:rPr>
      </w:pPr>
      <w:r>
        <w:rPr>
          <w:bCs/>
        </w:rPr>
        <w:t>Which Transactions (Volumes and Prices) Should Be Excluded From The Refund Proceeding Because They Were Conducted Pursuant To Section 202(c)?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1440" w:right="1440" w:gutter="0" w:header="432" w:top="1440" w:footer="720" w:bottom="1440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Galliard">
    <w:altName w:val="GoudyOlSt BT"/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65100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651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.05pt;height:13pt;mso-wrap-distance-left:0pt;mso-wrap-distance-right:0pt;mso-wrap-distance-top:0pt;mso-wrap-distance-bottom:0pt;margin-top:0.05pt;mso-position-vertical-relative:text;margin-left:231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FooterB"/>
      <w:ind w:end="-1440"/>
      <w:rPr/>
    </w:pPr>
    <w:r>
      <w:rPr/>
      <w:t>343138.02-D.C. Server 2A</w:t>
      <w:tab/>
      <w:tab/>
      <w:t>MSW - Draft November 13, 2001 - 5:17 PM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  <w:p>
    <w:pPr>
      <w:pStyle w:val="FooterB"/>
      <w:ind w:end="-1440"/>
      <w:rPr/>
    </w:pPr>
    <w:r>
      <w:rPr/>
      <w:t>343138.02-D.C. Server 2A</w:t>
      <w:tab/>
      <w:tab/>
      <w:t>MSW - Draft November 13, 2001 - 5:17 PM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b/>
      </w:rPr>
    </w:pPr>
    <w:r>
      <w:rPr>
        <w:b/>
      </w:rPr>
    </w:r>
  </w:p>
  <w:p>
    <w:pPr>
      <w:pStyle w:val="Header"/>
      <w:rPr>
        <w:b/>
      </w:rPr>
    </w:pPr>
    <w:r>
      <w:rPr>
        <w:b/>
      </w:rPr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upperRoman"/>
      <w:lvlText w:val="%1."/>
      <w:lvlJc w:val="start"/>
      <w:pPr>
        <w:tabs>
          <w:tab w:val="num" w:pos="1080"/>
        </w:tabs>
        <w:ind w:start="1080" w:hanging="1080"/>
      </w:pPr>
      <w:rPr>
        <w:u w:val="none"/>
      </w:rPr>
    </w:lvl>
    <w:lvl w:ilvl="1">
      <w:start w:val="1"/>
      <w:pStyle w:val="Heading2"/>
      <w:numFmt w:val="upperLetter"/>
      <w:lvlText w:val="%2."/>
      <w:lvlJc w:val="end"/>
      <w:pPr>
        <w:tabs>
          <w:tab w:val="num" w:pos="1800"/>
        </w:tabs>
        <w:ind w:start="1800" w:hanging="432"/>
      </w:pPr>
      <w:rPr>
        <w:u w:val="none"/>
      </w:rPr>
    </w:lvl>
    <w:lvl w:ilvl="2">
      <w:start w:val="1"/>
      <w:pStyle w:val="Heading3"/>
      <w:numFmt w:val="decimal"/>
      <w:lvlText w:val="%3."/>
      <w:lvlJc w:val="end"/>
      <w:pPr>
        <w:tabs>
          <w:tab w:val="num" w:pos="2520"/>
        </w:tabs>
        <w:ind w:start="2520" w:hanging="504"/>
      </w:pPr>
      <w:rPr>
        <w:u w:val="none"/>
      </w:rPr>
    </w:lvl>
    <w:lvl w:ilvl="3">
      <w:start w:val="1"/>
      <w:pStyle w:val="Heading4"/>
      <w:numFmt w:val="lowerLetter"/>
      <w:lvlText w:val="%4."/>
      <w:lvlJc w:val="end"/>
      <w:pPr>
        <w:tabs>
          <w:tab w:val="num" w:pos="3240"/>
        </w:tabs>
        <w:ind w:start="3240" w:hanging="504"/>
      </w:pPr>
      <w:rPr>
        <w:u w:val="none"/>
      </w:rPr>
    </w:lvl>
    <w:lvl w:ilvl="4">
      <w:start w:val="1"/>
      <w:pStyle w:val="Heading5"/>
      <w:numFmt w:val="lowerRoman"/>
      <w:lvlText w:val="%5."/>
      <w:lvlJc w:val="end"/>
      <w:pPr>
        <w:tabs>
          <w:tab w:val="num" w:pos="3960"/>
        </w:tabs>
        <w:ind w:start="3960" w:hanging="576"/>
      </w:pPr>
      <w:rPr>
        <w:u w:val="none"/>
      </w:rPr>
    </w:lvl>
    <w:lvl w:ilvl="5">
      <w:start w:val="1"/>
      <w:pStyle w:val="Heading6"/>
      <w:numFmt w:val="decimal"/>
      <w:suff w:val="nothing"/>
      <w:lvlText w:val="%6.  "/>
      <w:lvlJc w:val="start"/>
      <w:pPr>
        <w:tabs>
          <w:tab w:val="num" w:pos="0"/>
        </w:tabs>
        <w:ind w:start="0" w:firstLine="1080"/>
      </w:pPr>
      <w:rPr>
        <w:u w:val="none"/>
      </w:rPr>
    </w:lvl>
    <w:lvl w:ilvl="6">
      <w:start w:val="1"/>
      <w:pStyle w:val="Heading7"/>
      <w:numFmt w:val="decimal"/>
      <w:suff w:val="nothing"/>
      <w:lvlText w:val="%7.  "/>
      <w:lvlJc w:val="start"/>
      <w:pPr>
        <w:tabs>
          <w:tab w:val="num" w:pos="0"/>
        </w:tabs>
        <w:ind w:start="0" w:firstLine="1080"/>
      </w:pPr>
      <w:rPr>
        <w:u w:val="none"/>
      </w:rPr>
    </w:lvl>
    <w:lvl w:ilvl="7">
      <w:start w:val="1"/>
      <w:pStyle w:val="Heading8"/>
      <w:numFmt w:val="lowerLetter"/>
      <w:suff w:val="nothing"/>
      <w:lvlText w:val="%8.  "/>
      <w:lvlJc w:val="start"/>
      <w:pPr>
        <w:tabs>
          <w:tab w:val="num" w:pos="0"/>
        </w:tabs>
        <w:ind w:start="0" w:firstLine="1800"/>
      </w:pPr>
      <w:rPr>
        <w:u w:val="none"/>
      </w:rPr>
    </w:lvl>
    <w:lvl w:ilvl="8">
      <w:start w:val="1"/>
      <w:pStyle w:val="Heading9"/>
      <w:numFmt w:val="lowerLetter"/>
      <w:suff w:val="nothing"/>
      <w:lvlText w:val="%9.  "/>
      <w:lvlJc w:val="start"/>
      <w:pPr>
        <w:tabs>
          <w:tab w:val="num" w:pos="0"/>
        </w:tabs>
        <w:ind w:start="0" w:firstLine="1800"/>
      </w:pPr>
      <w:rPr>
        <w:u w:val="none"/>
      </w:rPr>
    </w:lvl>
  </w:abstractNum>
  <w:abstractNum w:abstractNumId="2">
    <w:lvl w:ilvl="0">
      <w:start w:val="1"/>
      <w:numFmt w:val="bullet"/>
      <w:lvlText w:val=""/>
      <w:lvlJc w:val="start"/>
      <w:pPr>
        <w:tabs>
          <w:tab w:val="num" w:pos="2160"/>
        </w:tabs>
        <w:ind w:start="2160" w:hanging="576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2736"/>
        </w:tabs>
        <w:ind w:start="2736" w:hanging="576"/>
      </w:pPr>
      <w:rPr>
        <w:rFonts w:ascii="Symbol" w:hAnsi="Symbol" w:cs="Symbol" w:hint="default"/>
        <w:color w:val="auto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exact" w:line="260"/>
    </w:pPr>
    <w:rPr>
      <w:rFonts w:ascii="Galliard;GoudyOlSt BT" w:hAnsi="Galliard;GoudyOlSt BT" w:eastAsia="Times New Roman" w:cs="Galliard;GoudyOlSt BT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BodyText"/>
    <w:qFormat/>
    <w:pPr>
      <w:numPr>
        <w:ilvl w:val="0"/>
        <w:numId w:val="1"/>
      </w:numPr>
      <w:spacing w:before="260" w:after="0"/>
      <w:outlineLvl w:val="0"/>
    </w:pPr>
    <w:rPr>
      <w:kern w:val="2"/>
    </w:rPr>
  </w:style>
  <w:style w:type="paragraph" w:styleId="Heading2">
    <w:name w:val="heading 2"/>
    <w:basedOn w:val="Normal"/>
    <w:next w:val="BodyText"/>
    <w:qFormat/>
    <w:pPr>
      <w:numPr>
        <w:ilvl w:val="1"/>
        <w:numId w:val="1"/>
      </w:numPr>
      <w:spacing w:before="260" w:after="0"/>
      <w:outlineLvl w:val="1"/>
    </w:pPr>
    <w:rPr/>
  </w:style>
  <w:style w:type="paragraph" w:styleId="Heading3">
    <w:name w:val="heading 3"/>
    <w:basedOn w:val="Normal"/>
    <w:next w:val="BodyText"/>
    <w:qFormat/>
    <w:pPr>
      <w:numPr>
        <w:ilvl w:val="2"/>
        <w:numId w:val="1"/>
      </w:numPr>
      <w:spacing w:before="260" w:after="0"/>
      <w:outlineLvl w:val="2"/>
    </w:pPr>
    <w:rPr/>
  </w:style>
  <w:style w:type="paragraph" w:styleId="Heading4">
    <w:name w:val="heading 4"/>
    <w:basedOn w:val="Normal"/>
    <w:next w:val="BodyText"/>
    <w:qFormat/>
    <w:pPr>
      <w:numPr>
        <w:ilvl w:val="3"/>
        <w:numId w:val="1"/>
      </w:numPr>
      <w:spacing w:before="260" w:after="0"/>
      <w:outlineLvl w:val="3"/>
    </w:pPr>
    <w:rPr/>
  </w:style>
  <w:style w:type="paragraph" w:styleId="Heading5">
    <w:name w:val="heading 5"/>
    <w:basedOn w:val="Normal"/>
    <w:next w:val="BodyText"/>
    <w:qFormat/>
    <w:pPr>
      <w:numPr>
        <w:ilvl w:val="4"/>
        <w:numId w:val="1"/>
      </w:numPr>
      <w:spacing w:before="260" w:after="0"/>
      <w:outlineLvl w:val="4"/>
    </w:pPr>
    <w:rPr/>
  </w:style>
  <w:style w:type="paragraph" w:styleId="Heading6">
    <w:name w:val="heading 6"/>
    <w:basedOn w:val="Normal"/>
    <w:next w:val="BodyText"/>
    <w:qFormat/>
    <w:pPr>
      <w:numPr>
        <w:ilvl w:val="5"/>
        <w:numId w:val="1"/>
      </w:numPr>
      <w:spacing w:before="260" w:after="0"/>
      <w:outlineLvl w:val="5"/>
    </w:pPr>
    <w:rPr/>
  </w:style>
  <w:style w:type="paragraph" w:styleId="Heading7">
    <w:name w:val="heading 7"/>
    <w:basedOn w:val="Normal"/>
    <w:next w:val="BodyText"/>
    <w:qFormat/>
    <w:pPr>
      <w:numPr>
        <w:ilvl w:val="6"/>
        <w:numId w:val="1"/>
      </w:numPr>
      <w:spacing w:lineRule="exact" w:line="520"/>
      <w:outlineLvl w:val="6"/>
    </w:pPr>
    <w:rPr/>
  </w:style>
  <w:style w:type="paragraph" w:styleId="Heading8">
    <w:name w:val="heading 8"/>
    <w:basedOn w:val="Normal"/>
    <w:next w:val="BodyText"/>
    <w:qFormat/>
    <w:pPr>
      <w:numPr>
        <w:ilvl w:val="7"/>
        <w:numId w:val="1"/>
      </w:numPr>
      <w:spacing w:before="260" w:after="0"/>
      <w:outlineLvl w:val="7"/>
    </w:pPr>
    <w:rPr/>
  </w:style>
  <w:style w:type="paragraph" w:styleId="Heading9">
    <w:name w:val="heading 9"/>
    <w:basedOn w:val="Normal"/>
    <w:next w:val="BodyText"/>
    <w:qFormat/>
    <w:pPr>
      <w:numPr>
        <w:ilvl w:val="8"/>
        <w:numId w:val="1"/>
      </w:numPr>
      <w:spacing w:lineRule="exact" w:line="520"/>
      <w:outlineLvl w:val="8"/>
    </w:pPr>
    <w:rPr/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  <w:color w:val="auto"/>
    </w:rPr>
  </w:style>
  <w:style w:type="character" w:styleId="WW8Num4z0">
    <w:name w:val="WW8Num4z0"/>
    <w:qFormat/>
    <w:rPr>
      <w:u w:val="none"/>
    </w:rPr>
  </w:style>
  <w:style w:type="character" w:styleId="DefaultParagraphFont">
    <w:name w:val="Default Paragraph Font"/>
    <w:qFormat/>
    <w:rPr/>
  </w:style>
  <w:style w:type="character" w:styleId="Draftline">
    <w:name w:val="Draftline"/>
    <w:basedOn w:val="DefaultParagraphFont"/>
    <w:qFormat/>
    <w:rPr>
      <w:rFonts w:ascii="Times New Roman" w:hAnsi="Times New Roman" w:cs="Times New Roman"/>
      <w:b w:val="false"/>
      <w:bCs/>
      <w:i w:val="false"/>
      <w:caps w:val="false"/>
      <w:smallCaps w:val="false"/>
      <w:strike w:val="false"/>
      <w:dstrike w:val="false"/>
      <w:outline w:val="false"/>
      <w:shadow w:val="false"/>
      <w:emboss/>
      <w:vanish/>
      <w:color w:val="FF0000"/>
      <w:spacing w:val="0"/>
      <w:w w:val="100"/>
      <w:kern w:val="0"/>
      <w:position w:val="0"/>
      <w:sz w:val="15"/>
      <w:sz w:val="15"/>
      <w:u w:val="none"/>
      <w:vertAlign w:val="baseline"/>
    </w:rPr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  <w:spacing w:lineRule="exact" w:line="260"/>
    </w:pPr>
    <w:rPr/>
  </w:style>
  <w:style w:type="paragraph" w:styleId="BlockQuote">
    <w:name w:val="Block Quote"/>
    <w:basedOn w:val="Normal"/>
    <w:qFormat/>
    <w:pPr>
      <w:spacing w:before="260" w:after="0"/>
      <w:ind w:hanging="0" w:start="1080" w:end="1080"/>
    </w:pPr>
    <w:rPr/>
  </w:style>
  <w:style w:type="paragraph" w:styleId="BodySingle">
    <w:name w:val="Body Single"/>
    <w:basedOn w:val="Normal"/>
    <w:qFormat/>
    <w:pPr>
      <w:spacing w:before="260" w:after="0"/>
      <w:ind w:firstLine="1080" w:start="0" w:end="0"/>
    </w:pPr>
    <w:rPr/>
  </w:style>
  <w:style w:type="paragraph" w:styleId="BodyTextStyle">
    <w:name w:val="Body Text Style"/>
    <w:basedOn w:val="Normal"/>
    <w:qFormat/>
    <w:pPr>
      <w:spacing w:lineRule="exact" w:line="520"/>
      <w:ind w:firstLine="1080" w:start="0" w:end="0"/>
    </w:pPr>
    <w:rPr/>
  </w:style>
  <w:style w:type="paragraph" w:styleId="Bullet-Large">
    <w:name w:val="Bullet-Large"/>
    <w:basedOn w:val="Normal"/>
    <w:qFormat/>
    <w:pPr>
      <w:numPr>
        <w:ilvl w:val="0"/>
        <w:numId w:val="2"/>
      </w:numPr>
      <w:spacing w:before="260" w:after="0"/>
      <w:ind w:hanging="0" w:start="0" w:end="1080"/>
    </w:pPr>
    <w:rPr/>
  </w:style>
  <w:style w:type="paragraph" w:styleId="Bullet-Small">
    <w:name w:val="Bullet-Small"/>
    <w:basedOn w:val="Normal"/>
    <w:qFormat/>
    <w:pPr>
      <w:numPr>
        <w:ilvl w:val="0"/>
        <w:numId w:val="3"/>
      </w:numPr>
      <w:spacing w:before="260" w:after="0"/>
      <w:ind w:hanging="0" w:start="0" w:end="1080"/>
    </w:pPr>
    <w:rPr/>
  </w:style>
  <w:style w:type="paragraph" w:styleId="Center">
    <w:name w:val="Center"/>
    <w:basedOn w:val="Normal"/>
    <w:qFormat/>
    <w:pPr>
      <w:spacing w:before="260" w:after="0"/>
      <w:jc w:val="center"/>
    </w:pPr>
    <w:rPr/>
  </w:style>
  <w:style w:type="paragraph" w:styleId="LeftAlign1">
    <w:name w:val="Left Align 1"/>
    <w:basedOn w:val="Normal"/>
    <w:qFormat/>
    <w:pPr>
      <w:spacing w:before="260" w:after="0"/>
    </w:pPr>
    <w:rPr/>
  </w:style>
  <w:style w:type="paragraph" w:styleId="LeftAlign2">
    <w:name w:val="Left Align 2"/>
    <w:basedOn w:val="Normal"/>
    <w:qFormat/>
    <w:pPr>
      <w:spacing w:lineRule="exact" w:line="520"/>
    </w:pPr>
    <w:rPr/>
  </w:style>
  <w:style w:type="paragraph" w:styleId="SignatureBlock">
    <w:name w:val="Signature Block"/>
    <w:basedOn w:val="Normal"/>
    <w:qFormat/>
    <w:pPr>
      <w:ind w:hanging="0" w:start="4680" w:end="0"/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  <w:spacing w:lineRule="exact" w:line="260"/>
    </w:pPr>
    <w:rPr/>
  </w:style>
  <w:style w:type="paragraph" w:styleId="FootnoteText">
    <w:name w:val="footnote text"/>
    <w:basedOn w:val="Normal"/>
    <w:pPr>
      <w:spacing w:before="0" w:after="120"/>
    </w:pPr>
    <w:rPr/>
  </w:style>
  <w:style w:type="paragraph" w:styleId="EnvelopeReturn">
    <w:name w:val="envelope return"/>
    <w:basedOn w:val="Normal"/>
    <w:pPr>
      <w:spacing w:lineRule="exact" w:line="260"/>
    </w:pPr>
    <w:rPr>
      <w:sz w:val="20"/>
    </w:rPr>
  </w:style>
  <w:style w:type="paragraph" w:styleId="EnvelopeAddress">
    <w:name w:val="envelope address"/>
    <w:basedOn w:val="Normal"/>
    <w:pPr>
      <w:spacing w:lineRule="exact" w:line="260"/>
      <w:ind w:hanging="0" w:start="2880" w:end="0"/>
    </w:pPr>
    <w:rPr/>
  </w:style>
  <w:style w:type="paragraph" w:styleId="FooterB">
    <w:name w:val="Footer B"/>
    <w:qFormat/>
    <w:pPr>
      <w:widowControl/>
      <w:tabs>
        <w:tab w:val="clear" w:pos="720"/>
        <w:tab w:val="center" w:pos="4320" w:leader="none"/>
        <w:tab w:val="right" w:pos="8640" w:leader="none"/>
      </w:tabs>
      <w:bidi w:val="0"/>
    </w:pPr>
    <w:rPr>
      <w:rFonts w:ascii="Times New Roman" w:hAnsi="Times New Roman" w:eastAsia="Times New Roman" w:cs="Times New Roman"/>
      <w:bCs/>
      <w:iCs/>
      <w:color w:val="auto"/>
      <w:sz w:val="15"/>
      <w:szCs w:val="20"/>
      <w:lang w:val="en-US" w:bidi="ar-SA" w:eastAsia="zh-CN"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2001-11-13T19:47:00Z</dcterms:created>
  <dc:creator/>
  <dc:description/>
  <dc:language>en-CA</dc:language>
  <cp:lastModifiedBy>USER</cp:lastModifiedBy>
  <cp:lastPrinted>2001-11-13T14:38:00Z</cp:lastPrinted>
  <dcterms:modified xsi:type="dcterms:W3CDTF">2001-11-13T19:50:00Z</dcterms:modified>
  <cp:revision>4</cp:revision>
  <dc:subject/>
  <dc:title/>
</cp:coreProperties>
</file>