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696"/>
        <w:jc w:val="center"/>
        <w:rPr>
          <w:rFonts w:ascii="TIMES NEW ROMAN TUR" w:hAnsi="TIMES NEW ROMAN TUR" w:cs="TIMES NEW ROMAN TUR"/>
          <w:b/>
        </w:rPr>
      </w:pPr>
      <w:r>
        <w:rPr>
          <w:rFonts w:cs="TIMES NEW ROMAN TUR" w:ascii="TIMES NEW ROMAN TUR" w:hAnsi="TIMES NEW ROMAN TUR"/>
          <w:b/>
        </w:rPr>
        <w:t>UNITED STATES OF AMERICA</w:t>
      </w:r>
    </w:p>
    <w:p>
      <w:pPr>
        <w:pStyle w:val="Normal"/>
        <w:ind w:hanging="720" w:start="720" w:end="0"/>
        <w:jc w:val="center"/>
        <w:rPr>
          <w:rFonts w:ascii="TIMES NEW ROMAN TUR" w:hAnsi="TIMES NEW ROMAN TUR" w:cs="TIMES NEW ROMAN TUR"/>
          <w:b/>
        </w:rPr>
      </w:pPr>
      <w:r>
        <w:rPr>
          <w:rFonts w:cs="TIMES NEW ROMAN TUR" w:ascii="TIMES NEW ROMAN TUR" w:hAnsi="TIMES NEW ROMAN TUR"/>
          <w:b/>
        </w:rPr>
        <w:t>BEFORE THE</w:t>
      </w:r>
    </w:p>
    <w:p>
      <w:pPr>
        <w:pStyle w:val="Normal"/>
        <w:ind w:hanging="720" w:start="720" w:end="0"/>
        <w:jc w:val="center"/>
        <w:rPr>
          <w:rFonts w:ascii="TIMES NEW ROMAN TUR" w:hAnsi="TIMES NEW ROMAN TUR" w:cs="TIMES NEW ROMAN TUR"/>
          <w:b/>
        </w:rPr>
      </w:pPr>
      <w:r>
        <w:rPr>
          <w:rFonts w:cs="TIMES NEW ROMAN TUR" w:ascii="TIMES NEW ROMAN TUR" w:hAnsi="TIMES NEW ROMAN TUR"/>
          <w:b/>
        </w:rPr>
        <w:t>FEDERAL ENERGY REGULATORY COMMISSION</w:t>
      </w:r>
    </w:p>
    <w:p>
      <w:pPr>
        <w:pStyle w:val="Normal"/>
        <w:ind w:hanging="720" w:start="720" w:end="0"/>
        <w:rPr>
          <w:rFonts w:ascii="TIMES NEW ROMAN TUR" w:hAnsi="TIMES NEW ROMAN TUR" w:cs="TIMES NEW ROMAN TUR"/>
          <w:b/>
        </w:rPr>
      </w:pPr>
      <w:r>
        <w:rPr>
          <w:rFonts w:cs="TIMES NEW ROMAN TUR" w:ascii="TIMES NEW ROMAN TUR" w:hAnsi="TIMES NEW ROMAN TUR"/>
          <w:b/>
        </w:rPr>
      </w:r>
    </w:p>
    <w:p>
      <w:pPr>
        <w:pStyle w:val="Normal"/>
        <w:ind w:hanging="720" w:start="720" w:end="0"/>
        <w:rPr>
          <w:rFonts w:ascii="TIMES NEW ROMAN TUR" w:hAnsi="TIMES NEW ROMAN TUR" w:cs="TIMES NEW ROMAN TUR"/>
          <w:b/>
        </w:rPr>
      </w:pPr>
      <w:r>
        <w:rPr>
          <w:rFonts w:cs="TIMES NEW ROMAN TUR" w:ascii="TIMES NEW ROMAN TUR" w:hAnsi="TIMES NEW ROMAN TUR"/>
          <w:b/>
        </w:rPr>
        <w:t>San Diego Gas &amp; Electric Company,</w:t>
        <w:tab/>
        <w:t>)</w:t>
      </w:r>
    </w:p>
    <w:p>
      <w:pPr>
        <w:pStyle w:val="Normal"/>
        <w:ind w:firstLine="720" w:start="1440" w:end="0"/>
        <w:rPr>
          <w:rFonts w:ascii="TIMES NEW ROMAN TUR" w:hAnsi="TIMES NEW ROMAN TUR" w:cs="TIMES NEW ROMAN TUR"/>
          <w:b/>
        </w:rPr>
      </w:pPr>
      <w:r>
        <w:rPr>
          <w:rFonts w:cs="TIMES NEW ROMAN TUR" w:ascii="TIMES NEW ROMAN TUR" w:hAnsi="TIMES NEW ROMAN TUR"/>
          <w:b/>
        </w:rPr>
        <w:t xml:space="preserve">Complainant. </w:t>
        <w:tab/>
        <w:t>)</w:t>
      </w:r>
    </w:p>
    <w:p>
      <w:pPr>
        <w:pStyle w:val="Normal"/>
        <w:ind w:hanging="720" w:start="720" w:end="0"/>
        <w:rPr>
          <w:rFonts w:ascii="TIMES NEW ROMAN TUR" w:hAnsi="TIMES NEW ROMAN TUR" w:cs="TIMES NEW ROMAN TUR"/>
          <w:b/>
        </w:rPr>
      </w:pPr>
      <w:r>
        <w:rPr>
          <w:rFonts w:cs="TIMES NEW ROMAN TUR" w:ascii="TIMES NEW ROMAN TUR" w:hAnsi="TIMES NEW ROMAN TUR"/>
          <w:b/>
        </w:rPr>
        <w:tab/>
        <w:tab/>
        <w:tab/>
        <w:tab/>
        <w:tab/>
        <w:tab/>
        <w:t>)</w:t>
      </w:r>
    </w:p>
    <w:p>
      <w:pPr>
        <w:pStyle w:val="Normal"/>
        <w:ind w:hanging="720" w:start="720" w:end="0"/>
        <w:rPr>
          <w:rFonts w:ascii="TIMES NEW ROMAN TUR" w:hAnsi="TIMES NEW ROMAN TUR" w:cs="TIMES NEW ROMAN TUR"/>
          <w:b/>
        </w:rPr>
      </w:pPr>
      <w:r>
        <w:rPr>
          <w:rFonts w:cs="TIMES NEW ROMAN TUR" w:ascii="TIMES NEW ROMAN TUR" w:hAnsi="TIMES NEW ROMAN TUR"/>
          <w:b/>
        </w:rPr>
        <w:tab/>
        <w:tab/>
        <w:tab/>
        <w:tab/>
        <w:tab/>
        <w:tab/>
        <w:t>)</w:t>
      </w:r>
    </w:p>
    <w:p>
      <w:pPr>
        <w:pStyle w:val="Normal"/>
        <w:ind w:firstLine="720" w:start="720" w:end="0"/>
        <w:rPr>
          <w:rFonts w:ascii="TIMES NEW ROMAN TUR" w:hAnsi="TIMES NEW ROMAN TUR" w:cs="TIMES NEW ROMAN TUR"/>
          <w:b/>
        </w:rPr>
      </w:pPr>
      <w:r>
        <w:rPr>
          <w:rFonts w:cs="TIMES NEW ROMAN TUR" w:ascii="TIMES NEW ROMAN TUR" w:hAnsi="TIMES NEW ROMAN TUR"/>
          <w:b/>
        </w:rPr>
        <w:t>v.</w:t>
        <w:tab/>
        <w:tab/>
        <w:tab/>
        <w:tab/>
        <w:t>)</w:t>
        <w:tab/>
        <w:t xml:space="preserve">Docket No. </w:t>
        <w:tab/>
        <w:t>EL00-95-045</w:t>
      </w:r>
    </w:p>
    <w:p>
      <w:pPr>
        <w:pStyle w:val="Normal"/>
        <w:ind w:firstLine="720" w:start="3600" w:end="0"/>
        <w:rPr>
          <w:rFonts w:ascii="TIMES NEW ROMAN TUR" w:hAnsi="TIMES NEW ROMAN TUR" w:cs="TIMES NEW ROMAN TUR"/>
          <w:b/>
        </w:rPr>
      </w:pPr>
      <w:r>
        <w:rPr>
          <w:rFonts w:cs="TIMES NEW ROMAN TUR" w:ascii="TIMES NEW ROMAN TUR" w:hAnsi="TIMES NEW ROMAN TUR"/>
          <w:b/>
        </w:rPr>
        <w:t>)</w:t>
        <w:tab/>
        <w:tab/>
        <w:t xml:space="preserve">         </w:t>
        <w:tab/>
        <w:t xml:space="preserve"> </w:t>
      </w:r>
    </w:p>
    <w:p>
      <w:pPr>
        <w:pStyle w:val="Normal"/>
        <w:ind w:hanging="720" w:start="720" w:end="0"/>
        <w:rPr>
          <w:b/>
          <w:bCs/>
        </w:rPr>
      </w:pPr>
      <w:r>
        <w:rPr>
          <w:b/>
          <w:bCs/>
        </w:rPr>
        <w:t>Sellers of Energy and Ancillary Services</w:t>
        <w:tab/>
        <w:t>)</w:t>
      </w:r>
    </w:p>
    <w:p>
      <w:pPr>
        <w:pStyle w:val="Normal"/>
        <w:ind w:hanging="720" w:start="720" w:end="0"/>
        <w:rPr>
          <w:b/>
          <w:bCs/>
        </w:rPr>
      </w:pPr>
      <w:r>
        <w:rPr>
          <w:b/>
          <w:bCs/>
        </w:rPr>
        <w:t>Into Markets Operated by the California</w:t>
        <w:tab/>
        <w:t>)</w:t>
      </w:r>
    </w:p>
    <w:p>
      <w:pPr>
        <w:pStyle w:val="Normal"/>
        <w:ind w:hanging="720" w:start="720" w:end="0"/>
        <w:rPr>
          <w:b/>
          <w:bCs/>
        </w:rPr>
      </w:pPr>
      <w:r>
        <w:rPr>
          <w:b/>
          <w:bCs/>
        </w:rPr>
        <w:t xml:space="preserve">Independent System Operator and the </w:t>
        <w:tab/>
        <w:t>)</w:t>
      </w:r>
    </w:p>
    <w:p>
      <w:pPr>
        <w:pStyle w:val="Normal"/>
        <w:ind w:hanging="720" w:start="720" w:end="0"/>
        <w:rPr>
          <w:b/>
          <w:bCs/>
        </w:rPr>
      </w:pPr>
      <w:r>
        <w:rPr>
          <w:b/>
          <w:bCs/>
        </w:rPr>
        <w:t>California Power Exchange,</w:t>
        <w:tab/>
        <w:tab/>
        <w:t>)</w:t>
      </w:r>
    </w:p>
    <w:p>
      <w:pPr>
        <w:pStyle w:val="Normal"/>
        <w:ind w:hanging="720" w:start="720" w:end="0"/>
        <w:rPr>
          <w:b/>
          <w:bCs/>
        </w:rPr>
      </w:pPr>
      <w:r>
        <w:rPr>
          <w:b/>
          <w:bCs/>
        </w:rPr>
        <w:tab/>
        <w:tab/>
        <w:tab/>
        <w:t>Respondents.</w:t>
        <w:tab/>
        <w:tab/>
        <w:t>)</w:t>
      </w:r>
    </w:p>
    <w:p>
      <w:pPr>
        <w:pStyle w:val="Normal"/>
        <w:ind w:firstLine="720" w:start="3600" w:end="0"/>
        <w:rPr>
          <w:b/>
          <w:bCs/>
        </w:rPr>
      </w:pPr>
      <w:r>
        <w:rPr>
          <w:rFonts w:cs="TIMES NEW ROMAN TUR" w:ascii="TIMES NEW ROMAN TUR" w:hAnsi="TIMES NEW ROMAN TUR"/>
          <w:b/>
        </w:rPr>
        <w:t>)</w:t>
        <w:tab/>
        <w:tab/>
        <w:t xml:space="preserve">    </w:t>
        <w:tab/>
      </w:r>
    </w:p>
    <w:p>
      <w:pPr>
        <w:pStyle w:val="Normal"/>
        <w:ind w:hanging="720" w:start="720" w:end="0"/>
        <w:rPr>
          <w:b/>
          <w:bCs/>
        </w:rPr>
      </w:pPr>
      <w:r>
        <w:rPr>
          <w:b/>
          <w:bCs/>
        </w:rPr>
        <w:t>Investigation of Practices of the California)</w:t>
      </w:r>
    </w:p>
    <w:p>
      <w:pPr>
        <w:pStyle w:val="Normal"/>
        <w:ind w:hanging="720" w:start="720" w:end="0"/>
        <w:rPr>
          <w:b/>
          <w:bCs/>
        </w:rPr>
      </w:pPr>
      <w:r>
        <w:rPr>
          <w:b/>
          <w:bCs/>
        </w:rPr>
        <w:t>Independent System Operator and the</w:t>
        <w:tab/>
        <w:t>)</w:t>
        <w:tab/>
        <w:t xml:space="preserve">Docket No. </w:t>
        <w:tab/>
        <w:t>EL00-98-042</w:t>
      </w:r>
    </w:p>
    <w:p>
      <w:pPr>
        <w:pStyle w:val="Normal"/>
        <w:rPr>
          <w:b/>
          <w:bCs/>
        </w:rPr>
      </w:pPr>
      <w:r>
        <w:rPr>
          <w:b/>
          <w:bCs/>
        </w:rPr>
        <w:t>California Power Exchange</w:t>
        <w:tab/>
        <w:tab/>
        <w:tab/>
        <w:t>)</w:t>
      </w:r>
    </w:p>
    <w:p>
      <w:pPr>
        <w:pStyle w:val="Normal"/>
        <w:ind w:hanging="720" w:start="720" w:end="0"/>
        <w:rPr>
          <w:rFonts w:ascii="TIMES NEW ROMAN TUR" w:hAnsi="TIMES NEW ROMAN TUR" w:cs="TIMES NEW ROMAN TUR"/>
          <w:b/>
          <w:bCs/>
          <w:u w:val="single"/>
        </w:rPr>
      </w:pPr>
      <w:r>
        <w:rPr>
          <w:rFonts w:cs="TIMES NEW ROMAN TUR" w:ascii="TIMES NEW ROMAN TUR" w:hAnsi="TIMES NEW ROMAN TUR"/>
          <w:b/>
          <w:bCs/>
          <w:u w:val="single"/>
        </w:rPr>
      </w:r>
    </w:p>
    <w:p>
      <w:pPr>
        <w:pStyle w:val="Normal"/>
        <w:ind w:hanging="720" w:start="720" w:end="0"/>
        <w:rPr>
          <w:rFonts w:ascii="TIMES NEW ROMAN TUR" w:hAnsi="TIMES NEW ROMAN TUR" w:cs="TIMES NEW ROMAN TUR"/>
          <w:b/>
          <w:u w:val="single"/>
        </w:rPr>
      </w:pPr>
      <w:r>
        <w:rPr>
          <w:rFonts w:cs="TIMES NEW ROMAN TUR" w:ascii="TIMES NEW ROMAN TUR" w:hAnsi="TIMES NEW ROMAN TUR"/>
          <w:b/>
          <w:u w:val="single"/>
        </w:rPr>
      </w:r>
    </w:p>
    <w:p>
      <w:pPr>
        <w:pStyle w:val="Normal"/>
        <w:ind w:hanging="720" w:start="720" w:end="0"/>
        <w:jc w:val="center"/>
        <w:rPr>
          <w:rFonts w:ascii="TIMES NEW ROMAN TUR" w:hAnsi="TIMES NEW ROMAN TUR" w:cs="TIMES NEW ROMAN TUR"/>
          <w:b/>
        </w:rPr>
      </w:pPr>
      <w:r>
        <w:rPr>
          <w:rFonts w:cs="TIMES NEW ROMAN TUR" w:ascii="TIMES NEW ROMAN TUR" w:hAnsi="TIMES NEW ROMAN TUR"/>
          <w:b/>
        </w:rPr>
        <w:t>Summary of Responsive Testimony of William S. Casey</w:t>
      </w:r>
    </w:p>
    <w:p>
      <w:pPr>
        <w:pStyle w:val="Normal"/>
        <w:ind w:hanging="720" w:start="720" w:end="0"/>
        <w:jc w:val="center"/>
        <w:rPr>
          <w:rFonts w:ascii="TIMES NEW ROMAN TUR" w:hAnsi="TIMES NEW ROMAN TUR" w:cs="TIMES NEW ROMAN TUR"/>
          <w:b/>
        </w:rPr>
      </w:pPr>
      <w:r>
        <w:rPr>
          <w:rFonts w:cs="TIMES NEW ROMAN TUR" w:ascii="TIMES NEW ROMAN TUR" w:hAnsi="TIMES NEW ROMAN TUR"/>
          <w:b/>
        </w:rPr>
        <w:t>On Behalf of Portland General Electric Company</w:t>
      </w:r>
    </w:p>
    <w:p>
      <w:pPr>
        <w:pStyle w:val="Normal"/>
        <w:ind w:hanging="720" w:start="720" w:end="0"/>
        <w:jc w:val="center"/>
        <w:rPr>
          <w:rFonts w:ascii="TIMES NEW ROMAN TUR" w:hAnsi="TIMES NEW ROMAN TUR" w:cs="TIMES NEW ROMAN TUR"/>
          <w:b/>
          <w:u w:val="single"/>
        </w:rPr>
      </w:pPr>
      <w:r>
        <w:rPr>
          <w:rFonts w:cs="TIMES NEW ROMAN TUR" w:ascii="TIMES NEW ROMAN TUR" w:hAnsi="TIMES NEW ROMAN TUR"/>
          <w:b/>
          <w:u w:val="single"/>
        </w:rPr>
      </w:r>
    </w:p>
    <w:p>
      <w:pPr>
        <w:pStyle w:val="Normal"/>
        <w:ind w:hanging="720" w:start="720" w:end="0"/>
        <w:rPr>
          <w:rFonts w:ascii="TIMES NEW ROMAN TUR" w:hAnsi="TIMES NEW ROMAN TUR" w:cs="TIMES NEW ROMAN TUR"/>
          <w:b/>
          <w:bCs/>
          <w:u w:val="single"/>
        </w:rPr>
      </w:pPr>
      <w:r>
        <w:rPr>
          <w:rFonts w:cs="TIMES NEW ROMAN TUR" w:ascii="TIMES NEW ROMAN TUR" w:hAnsi="TIMES NEW ROMAN TUR"/>
          <w:b/>
          <w:bCs/>
          <w:u w:val="single"/>
        </w:rPr>
      </w:r>
    </w:p>
    <w:p>
      <w:pPr>
        <w:pStyle w:val="BodyTextIndent3"/>
        <w:spacing w:lineRule="auto" w:line="480"/>
        <w:ind w:end="691"/>
        <w:rPr/>
      </w:pPr>
      <w:r>
        <w:rPr/>
        <w:t xml:space="preserve">Mr. Casey testifies to the volumes and prices of energy that Portland General sold to the California ISO pursuant to orders of the U.S. Department of Energy under Section 202(c) of the Federal Power Act.  PGE-1 at 2-3.  He explains that Portland General's records show a total volume of 38,771 MWH sold under these orders for a total revenue of $18,761,943.76, as contrasted to the volumes of 3,685 MWH shown in the testimony of Ms. Ean O'Neill on behalf of the ISO, for a total revenue of $1,863,121.74.  The total difference is 35,086 MWH and $16,898,822.02 in revenues.  </w:t>
      </w:r>
      <w:r>
        <w:rPr>
          <w:i/>
          <w:iCs/>
        </w:rPr>
        <w:t>Id</w:t>
      </w:r>
      <w:r>
        <w:rPr/>
        <w:t xml:space="preserve">. at 3-4.  He explains the discrepancy by pointing out that the ISO only listed sales as being made under the DOE orders when ISO personnel made notes in their records that scheduler conversations mentioned the DOE orders.  </w:t>
      </w:r>
      <w:r>
        <w:rPr>
          <w:i/>
          <w:iCs/>
        </w:rPr>
        <w:t>Id</w:t>
      </w:r>
      <w:r>
        <w:rPr/>
        <w:t xml:space="preserve">. at 4.  Mr. Casey explains that the ISO’s method of identifying sales made pursuant to DOE orders is inaccurate, especially given that a formal process was in place for much of the period at issue.  Id. at 8-9.  Mr. Casey describes this formal certification and response process that formed the basis of these sales on and after December 20, 2000.  </w:t>
      </w:r>
      <w:r>
        <w:rPr>
          <w:i/>
          <w:iCs/>
        </w:rPr>
        <w:t>Id</w:t>
      </w:r>
      <w:r>
        <w:rPr/>
        <w:t xml:space="preserve">. at 4-7.  He submits both the daily written documentation by the ISO and also Portland General’s daily written response for this period, and he explains Portland General’s understanding of transactions from December 14-20.  </w:t>
      </w:r>
      <w:r>
        <w:rPr>
          <w:i/>
          <w:iCs/>
        </w:rPr>
        <w:t>Id</w:t>
      </w:r>
      <w:r>
        <w:rPr/>
        <w:t xml:space="preserve">. at 4-5.  Further, he  describes routine trading floor activity and presents evidence that Ms. O'Neill's calculations are based on incomplete and inaccurate recordkeeping on the part of the ISO,  based on the actual tape recordings of ISO/Portland General scheduler conversations kept by Portland General in the regular course of business, and he explains that the criteria now adopted by the ISO to identify DOE sales were never communicated to Portland General.  </w:t>
      </w:r>
      <w:r>
        <w:rPr>
          <w:i/>
          <w:iCs/>
        </w:rPr>
        <w:t>Id</w:t>
      </w:r>
      <w:r>
        <w:rPr/>
        <w:t>. at 7-9.</w:t>
      </w:r>
    </w:p>
    <w:p>
      <w:pPr>
        <w:pStyle w:val="BodyTextIndent3"/>
        <w:spacing w:lineRule="auto" w:line="480"/>
        <w:ind w:end="691"/>
        <w:rPr/>
      </w:pPr>
      <w:r>
        <w:rPr/>
        <w:t xml:space="preserve">Mr. Casey also identifies four instances where the prices listed by the ISO do not match the prices in Portland General’s records.  He describes Portland General’s general pricing policies, presents evidence in the nature of taped conversations to show that they were communicated to the ISO, and explains the discrepancies in detail.  </w:t>
      </w:r>
      <w:r>
        <w:rPr>
          <w:i/>
          <w:iCs/>
        </w:rPr>
        <w:t>Id</w:t>
      </w:r>
      <w:r>
        <w:rPr/>
        <w:t xml:space="preserve">. at 10-12.  Mr. Casey also explains why it is necessary to address in this phase of the proceeding the volumes and prices of sales made by Portland General pursuant to the DOE orders.  </w:t>
      </w:r>
      <w:r>
        <w:rPr>
          <w:i/>
          <w:iCs/>
        </w:rPr>
        <w:t>Id</w:t>
      </w:r>
      <w:r>
        <w:rPr/>
        <w:t xml:space="preserve">. at 12.  Finally, Mr. Casey sponsors an exhibit regarding an instance where the ISO purchased power from Portland General instead of turning on a more expensive unit in California.  </w:t>
      </w:r>
      <w:r>
        <w:rPr>
          <w:i/>
          <w:iCs/>
        </w:rPr>
        <w:t>Id</w:t>
      </w:r>
      <w:r>
        <w:rPr/>
        <w:t>.</w:t>
      </w:r>
    </w:p>
    <w:sectPr>
      <w:type w:val="nextPage"/>
      <w:pgSz w:w="12240" w:h="15840"/>
      <w:pgMar w:left="1800" w:right="864" w:gutter="0" w:header="0" w:top="1440" w:footer="0" w:bottom="72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TUR">
    <w:charset w:val="a2" w:characterSet="windows-1254"/>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color w:val="000000"/>
    </w:rPr>
  </w:style>
  <w:style w:type="character" w:styleId="WW8Num6z6">
    <w:name w:val="WW8Num6z6"/>
    <w:qFormat/>
    <w:rPr/>
  </w:style>
  <w:style w:type="character" w:styleId="DefaultParagraphFont">
    <w:name w:val="Default Paragraph Font"/>
    <w:qFormat/>
    <w:rPr/>
  </w:style>
  <w:style w:type="character" w:styleId="PageNumber">
    <w:name w:val="page number"/>
    <w:basedOn w:val="DefaultParagraphFont"/>
    <w:rPr/>
  </w:style>
  <w:style w:type="character" w:styleId="TOCMark">
    <w:name w:val="TOC_Mark"/>
    <w:basedOn w:val="DefaultParagraphFont"/>
    <w:qFormat/>
    <w:rPr>
      <w:vanish/>
      <w:color w:val="FF0000"/>
    </w:rPr>
  </w:style>
  <w:style w:type="character" w:styleId="LineNumber">
    <w:name w:val="line number"/>
    <w:basedOn w:val="DefaultParagraphFont"/>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ldHeading">
    <w:name w:val="Bold Heading"/>
    <w:basedOn w:val="Normal"/>
    <w:next w:val="Normal"/>
    <w:qFormat/>
    <w:pPr>
      <w:spacing w:before="0" w:after="240"/>
    </w:pPr>
    <w:rPr>
      <w:b/>
    </w:rPr>
  </w:style>
  <w:style w:type="paragraph" w:styleId="BoldUnderlineHeading">
    <w:name w:val="BoldUnderline Heading"/>
    <w:basedOn w:val="Normal"/>
    <w:next w:val="Normal"/>
    <w:qFormat/>
    <w:pPr>
      <w:spacing w:before="0" w:after="240"/>
    </w:pPr>
    <w:rPr>
      <w:b/>
      <w:u w:val="single"/>
    </w:rPr>
  </w:style>
  <w:style w:type="paragraph" w:styleId="CenterBoldHeading">
    <w:name w:val="CenterBold Heading"/>
    <w:basedOn w:val="Normal"/>
    <w:next w:val="Normal"/>
    <w:qFormat/>
    <w:pPr>
      <w:spacing w:before="0" w:after="240"/>
      <w:jc w:val="center"/>
    </w:pPr>
    <w:rPr>
      <w:b/>
    </w:rPr>
  </w:style>
  <w:style w:type="paragraph" w:styleId="CenterHeading">
    <w:name w:val="Center Heading"/>
    <w:basedOn w:val="Normal"/>
    <w:next w:val="Normal"/>
    <w:qFormat/>
    <w:pPr>
      <w:spacing w:before="0" w:after="240"/>
      <w:jc w:val="center"/>
    </w:pPr>
    <w:rPr/>
  </w:style>
  <w:style w:type="paragraph" w:styleId="CenterUnderlineHeading">
    <w:name w:val="CenterUnderline Heading"/>
    <w:basedOn w:val="Normal"/>
    <w:next w:val="Normal"/>
    <w:qFormat/>
    <w:pPr>
      <w:spacing w:before="0" w:after="240"/>
      <w:jc w:val="center"/>
    </w:pPr>
    <w:rPr>
      <w:u w:val="single"/>
    </w:rPr>
  </w:style>
  <w:style w:type="paragraph" w:styleId="DoublePara">
    <w:name w:val="Double Para"/>
    <w:basedOn w:val="Normal"/>
    <w:qFormat/>
    <w:pPr>
      <w:spacing w:lineRule="auto" w:line="480"/>
      <w:ind w:firstLine="1440" w:start="0" w:end="0"/>
    </w:pPr>
    <w:rPr/>
  </w:style>
  <w:style w:type="paragraph" w:styleId="DoubleSpace">
    <w:name w:val="Double Space"/>
    <w:basedOn w:val="Normal"/>
    <w:qFormat/>
    <w:pPr>
      <w:spacing w:lineRule="auto" w:line="480"/>
    </w:pPr>
    <w:rPr/>
  </w:style>
  <w:style w:type="paragraph" w:styleId="CalLineNums">
    <w:name w:val="CalLineNums"/>
    <w:basedOn w:val="Normal"/>
    <w:qFormat/>
    <w:pPr>
      <w:spacing w:lineRule="auto" w:line="418"/>
      <w:jc w:val="end"/>
    </w:pPr>
    <w:rPr>
      <w:b/>
      <w:bCs/>
      <w:szCs w:val="20"/>
    </w:rPr>
  </w:style>
  <w:style w:type="paragraph" w:styleId="Quote">
    <w:name w:val="Quote"/>
    <w:basedOn w:val="Normal"/>
    <w:qFormat/>
    <w:pPr>
      <w:spacing w:before="0" w:after="240"/>
      <w:ind w:hanging="0" w:start="720" w:end="720"/>
    </w:pPr>
    <w:rPr/>
  </w:style>
  <w:style w:type="paragraph" w:styleId="QuoteIndent">
    <w:name w:val="Quote Indent"/>
    <w:basedOn w:val="Normal"/>
    <w:qFormat/>
    <w:pPr>
      <w:spacing w:before="0" w:after="240"/>
      <w:ind w:firstLine="720" w:start="720" w:end="720"/>
    </w:pPr>
    <w:rPr/>
  </w:style>
  <w:style w:type="paragraph" w:styleId="ReferenceLine">
    <w:name w:val="Reference Line"/>
    <w:basedOn w:val="Normal"/>
    <w:qFormat/>
    <w:pPr>
      <w:spacing w:lineRule="atLeast" w:line="220" w:before="0" w:after="220"/>
    </w:pPr>
    <w:rPr>
      <w:rFonts w:ascii="Arial" w:hAnsi="Arial" w:cs="Arial"/>
      <w:spacing w:val="-5"/>
      <w:sz w:val="20"/>
    </w:rPr>
  </w:style>
  <w:style w:type="paragraph" w:styleId="SignatureBlock">
    <w:name w:val="Signature Block"/>
    <w:basedOn w:val="Normal"/>
    <w:qFormat/>
    <w:pPr>
      <w:ind w:hanging="0" w:start="4320" w:end="0"/>
    </w:pPr>
    <w:rPr/>
  </w:style>
  <w:style w:type="paragraph" w:styleId="SinglePara">
    <w:name w:val="Single Para"/>
    <w:basedOn w:val="Normal"/>
    <w:qFormat/>
    <w:pPr>
      <w:spacing w:before="0" w:after="240"/>
      <w:ind w:firstLine="1440" w:start="0" w:end="0"/>
    </w:pPr>
    <w:rPr/>
  </w:style>
  <w:style w:type="paragraph" w:styleId="UnderlineHeading">
    <w:name w:val="Underline Heading"/>
    <w:basedOn w:val="Normal"/>
    <w:next w:val="Normal"/>
    <w:qFormat/>
    <w:pPr>
      <w:spacing w:before="0" w:after="240"/>
    </w:pPr>
    <w:rPr>
      <w:u w:val="single"/>
    </w:rPr>
  </w:style>
  <w:style w:type="paragraph" w:styleId="Default1">
    <w:name w:val="Default1"/>
    <w:basedOn w:val="Normal"/>
    <w:next w:val="Normal"/>
    <w:qFormat/>
    <w:pPr>
      <w:numPr>
        <w:ilvl w:val="0"/>
        <w:numId w:val="1"/>
      </w:numPr>
      <w:spacing w:before="0" w:after="240"/>
      <w:outlineLvl w:val="0"/>
    </w:pPr>
    <w:rPr/>
  </w:style>
  <w:style w:type="paragraph" w:styleId="Default2">
    <w:name w:val="Default2"/>
    <w:basedOn w:val="Normal"/>
    <w:qFormat/>
    <w:pPr>
      <w:numPr>
        <w:ilvl w:val="0"/>
        <w:numId w:val="1"/>
      </w:numPr>
      <w:spacing w:before="0" w:after="240"/>
      <w:outlineLvl w:val="1"/>
    </w:pPr>
    <w:rPr/>
  </w:style>
  <w:style w:type="paragraph" w:styleId="Default3">
    <w:name w:val="Default3"/>
    <w:basedOn w:val="Normal"/>
    <w:qFormat/>
    <w:pPr>
      <w:numPr>
        <w:ilvl w:val="0"/>
        <w:numId w:val="1"/>
      </w:numPr>
      <w:tabs>
        <w:tab w:val="clear" w:pos="720"/>
      </w:tabs>
      <w:spacing w:before="0" w:after="240"/>
      <w:outlineLvl w:val="2"/>
    </w:pPr>
    <w:rPr/>
  </w:style>
  <w:style w:type="paragraph" w:styleId="Default4">
    <w:name w:val="Default4"/>
    <w:basedOn w:val="Normal"/>
    <w:qFormat/>
    <w:pPr>
      <w:numPr>
        <w:ilvl w:val="0"/>
        <w:numId w:val="1"/>
      </w:numPr>
      <w:spacing w:before="0" w:after="240"/>
      <w:ind w:hanging="720" w:start="2880" w:end="0"/>
      <w:outlineLvl w:val="3"/>
    </w:pPr>
    <w:rPr/>
  </w:style>
  <w:style w:type="paragraph" w:styleId="Default5">
    <w:name w:val="Default5"/>
    <w:basedOn w:val="Normal"/>
    <w:qFormat/>
    <w:pPr>
      <w:numPr>
        <w:ilvl w:val="0"/>
        <w:numId w:val="1"/>
      </w:numPr>
      <w:spacing w:before="0" w:after="240"/>
      <w:outlineLvl w:val="4"/>
    </w:pPr>
    <w:rPr/>
  </w:style>
  <w:style w:type="paragraph" w:styleId="FootnoteText">
    <w:name w:val="footnote text"/>
    <w:basedOn w:val="Normal"/>
    <w:pPr>
      <w:spacing w:before="0" w:after="120"/>
      <w:ind w:hanging="360" w:start="360" w:end="0"/>
    </w:pPr>
    <w:rPr>
      <w:szCs w:val="2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BodyTextIndent">
    <w:name w:val="Body Text Indent"/>
    <w:basedOn w:val="Normal"/>
    <w:pPr>
      <w:spacing w:lineRule="auto" w:line="209" w:before="0" w:after="240"/>
      <w:ind w:hanging="0" w:start="360" w:end="0"/>
    </w:pPr>
    <w:rPr>
      <w:szCs w:val="20"/>
    </w:rPr>
  </w:style>
  <w:style w:type="paragraph" w:styleId="BodyText2">
    <w:name w:val="Body Text 2"/>
    <w:basedOn w:val="Normal"/>
    <w:qFormat/>
    <w:pPr>
      <w:spacing w:lineRule="auto" w:line="418" w:before="0" w:after="120"/>
    </w:pPr>
    <w:rPr>
      <w:szCs w:val="20"/>
    </w:rPr>
  </w:style>
  <w:style w:type="paragraph" w:styleId="BodyTextIndent2">
    <w:name w:val="Body Text Indent 2"/>
    <w:basedOn w:val="Normal"/>
    <w:qFormat/>
    <w:pPr>
      <w:spacing w:lineRule="auto" w:line="418" w:before="0" w:after="240"/>
      <w:ind w:hanging="0" w:start="360" w:end="0"/>
    </w:pPr>
    <w:rPr>
      <w:szCs w:val="20"/>
    </w:rPr>
  </w:style>
  <w:style w:type="paragraph" w:styleId="BodyTextIndent3">
    <w:name w:val="Body Text Indent 3"/>
    <w:basedOn w:val="Normal"/>
    <w:qFormat/>
    <w:pPr>
      <w:tabs>
        <w:tab w:val="clear" w:pos="720"/>
        <w:tab w:val="left" w:pos="8880" w:leader="none"/>
      </w:tabs>
      <w:ind w:firstLine="720" w:start="0" w:end="696"/>
    </w:pPr>
    <w:rPr>
      <w:rFonts w:ascii="TIMES NEW ROMAN TUR" w:hAnsi="TIMES NEW ROMAN TUR" w:cs="TIMES NEW ROMAN TU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2001-11-07T22:29:00Z</dcterms:created>
  <dc:creator/>
  <dc:description/>
  <dc:language>en-CA</dc:language>
  <cp:lastModifiedBy>USER</cp:lastModifiedBy>
  <cp:lastPrinted>2001-11-08T15:14:00Z</cp:lastPrinted>
  <dcterms:modified xsi:type="dcterms:W3CDTF">2001-11-08T20:39:00Z</dcterms:modified>
  <cp:revision>15</cp:revision>
  <dc:subject/>
  <dc:title/>
</cp:coreProperties>
</file>