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360"/>
        <w:rPr/>
      </w:pPr>
      <w:r>
        <w:rPr/>
        <w:t>UNITED STATES OF AMERICA</w:t>
      </w:r>
    </w:p>
    <w:p>
      <w:pPr>
        <w:pStyle w:val="Normal"/>
        <w:ind w:end="-360"/>
        <w:jc w:val="center"/>
        <w:rPr>
          <w:b/>
        </w:rPr>
      </w:pPr>
      <w:r>
        <w:rPr>
          <w:b/>
        </w:rPr>
        <w:t xml:space="preserve">BEFORE THE </w:t>
      </w:r>
    </w:p>
    <w:p>
      <w:pPr>
        <w:pStyle w:val="Normal"/>
        <w:ind w:end="-360"/>
        <w:jc w:val="center"/>
        <w:rPr>
          <w:b/>
        </w:rPr>
      </w:pPr>
      <w:r>
        <w:rPr>
          <w:b/>
        </w:rPr>
        <w:t>FEDERAL ENERGY REGULATORY COMMISSION</w:t>
      </w:r>
    </w:p>
    <w:p>
      <w:pPr>
        <w:pStyle w:val="Normal"/>
        <w:tabs>
          <w:tab w:val="clear" w:pos="720"/>
          <w:tab w:val="left" w:pos="7200" w:leader="none"/>
        </w:tabs>
        <w:ind w:end="-360"/>
        <w:jc w:val="center"/>
        <w:rPr>
          <w:b/>
        </w:rPr>
      </w:pPr>
      <w:r>
        <w:rPr>
          <w:b/>
        </w:rPr>
      </w:r>
    </w:p>
    <w:p>
      <w:pPr>
        <w:pStyle w:val="Normal"/>
        <w:tabs>
          <w:tab w:val="clear" w:pos="720"/>
          <w:tab w:val="left" w:pos="7200" w:leader="none"/>
        </w:tabs>
        <w:ind w:end="-360"/>
        <w:jc w:val="center"/>
        <w:rPr>
          <w:b/>
        </w:rPr>
      </w:pPr>
      <w:r>
        <w:rPr>
          <w:b/>
        </w:rPr>
      </w:r>
    </w:p>
    <w:p>
      <w:pPr>
        <w:pStyle w:val="Normal"/>
        <w:tabs>
          <w:tab w:val="clear" w:pos="720"/>
          <w:tab w:val="left" w:pos="5040" w:leader="none"/>
          <w:tab w:val="left" w:pos="7200" w:leader="none"/>
        </w:tabs>
        <w:ind w:end="-360"/>
        <w:jc w:val="both"/>
        <w:rPr>
          <w:b/>
        </w:rPr>
      </w:pPr>
      <w:r>
        <w:rPr>
          <w:b/>
        </w:rPr>
        <w:t>Puget Sound Energy, Inc.,</w:t>
        <w:tab/>
        <w:t>)</w:t>
      </w:r>
    </w:p>
    <w:p>
      <w:pPr>
        <w:pStyle w:val="Normal"/>
        <w:tabs>
          <w:tab w:val="clear" w:pos="720"/>
          <w:tab w:val="left" w:pos="5040" w:leader="none"/>
          <w:tab w:val="left" w:pos="7200" w:leader="none"/>
        </w:tabs>
        <w:ind w:end="-360"/>
        <w:jc w:val="both"/>
        <w:rPr>
          <w:b/>
        </w:rPr>
      </w:pPr>
      <w:r>
        <w:rPr>
          <w:b/>
        </w:rPr>
        <w:tab/>
        <w:t>)</w:t>
      </w:r>
    </w:p>
    <w:p>
      <w:pPr>
        <w:pStyle w:val="Normal"/>
        <w:tabs>
          <w:tab w:val="clear" w:pos="720"/>
          <w:tab w:val="left" w:pos="5040" w:leader="none"/>
          <w:tab w:val="left" w:pos="7200" w:leader="none"/>
        </w:tabs>
        <w:ind w:end="-360"/>
        <w:jc w:val="both"/>
        <w:rPr>
          <w:b/>
        </w:rPr>
      </w:pPr>
      <w:r>
        <w:rPr>
          <w:b/>
        </w:rPr>
        <w:t>Complainant,</w:t>
        <w:tab/>
        <w:t>)</w:t>
      </w:r>
    </w:p>
    <w:p>
      <w:pPr>
        <w:pStyle w:val="Normal"/>
        <w:tabs>
          <w:tab w:val="clear" w:pos="720"/>
          <w:tab w:val="left" w:pos="5040" w:leader="none"/>
          <w:tab w:val="left" w:pos="7200" w:leader="none"/>
        </w:tabs>
        <w:ind w:end="-360"/>
        <w:jc w:val="both"/>
        <w:rPr>
          <w:b/>
        </w:rPr>
      </w:pPr>
      <w:r>
        <w:rPr>
          <w:b/>
        </w:rPr>
        <w:tab/>
        <w:t>)</w:t>
      </w:r>
    </w:p>
    <w:p>
      <w:pPr>
        <w:pStyle w:val="Normal"/>
        <w:tabs>
          <w:tab w:val="clear" w:pos="720"/>
          <w:tab w:val="left" w:pos="5040" w:leader="none"/>
          <w:tab w:val="left" w:pos="5760" w:leader="none"/>
          <w:tab w:val="left" w:pos="7200" w:leader="none"/>
        </w:tabs>
        <w:ind w:end="-360"/>
        <w:jc w:val="both"/>
        <w:rPr>
          <w:b/>
        </w:rPr>
      </w:pPr>
      <w:r>
        <w:rPr>
          <w:b/>
        </w:rPr>
        <w:t>v.</w:t>
        <w:tab/>
        <w:t>)</w:t>
        <w:tab/>
        <w:t>Docket Nos.</w:t>
        <w:tab/>
        <w:t>EL01-10-000</w:t>
      </w:r>
    </w:p>
    <w:p>
      <w:pPr>
        <w:pStyle w:val="Normal"/>
        <w:tabs>
          <w:tab w:val="clear" w:pos="720"/>
          <w:tab w:val="left" w:pos="5040" w:leader="none"/>
          <w:tab w:val="left" w:pos="5760" w:leader="none"/>
          <w:tab w:val="left" w:pos="7200" w:leader="none"/>
        </w:tabs>
        <w:ind w:end="-360"/>
        <w:jc w:val="both"/>
        <w:rPr>
          <w:b/>
        </w:rPr>
      </w:pPr>
      <w:r>
        <w:rPr>
          <w:b/>
        </w:rPr>
        <w:tab/>
        <w:t>)</w:t>
        <w:tab/>
        <w:tab/>
        <w:t>EL01-10-001</w:t>
      </w:r>
    </w:p>
    <w:p>
      <w:pPr>
        <w:pStyle w:val="Normal"/>
        <w:tabs>
          <w:tab w:val="clear" w:pos="720"/>
          <w:tab w:val="left" w:pos="5040" w:leader="none"/>
          <w:tab w:val="left" w:pos="7200" w:leader="none"/>
        </w:tabs>
        <w:ind w:end="-360"/>
        <w:jc w:val="both"/>
        <w:rPr>
          <w:b/>
        </w:rPr>
      </w:pPr>
      <w:r>
        <w:rPr>
          <w:b/>
        </w:rPr>
        <w:t>All Jurisdictional Sellers of Energy and/or</w:t>
        <w:tab/>
        <w:t>)</w:t>
      </w:r>
    </w:p>
    <w:p>
      <w:pPr>
        <w:pStyle w:val="Normal"/>
        <w:tabs>
          <w:tab w:val="clear" w:pos="720"/>
          <w:tab w:val="left" w:pos="5040" w:leader="none"/>
          <w:tab w:val="left" w:pos="7200" w:leader="none"/>
        </w:tabs>
        <w:ind w:end="-360"/>
        <w:jc w:val="both"/>
        <w:rPr>
          <w:b/>
        </w:rPr>
      </w:pPr>
      <w:r>
        <w:rPr>
          <w:b/>
        </w:rPr>
        <w:t>Capacity at Wholesale Into Electric Energy</w:t>
        <w:tab/>
        <w:t>)</w:t>
      </w:r>
    </w:p>
    <w:p>
      <w:pPr>
        <w:pStyle w:val="Normal"/>
        <w:tabs>
          <w:tab w:val="clear" w:pos="720"/>
          <w:tab w:val="left" w:pos="5040" w:leader="none"/>
          <w:tab w:val="left" w:pos="7200" w:leader="none"/>
        </w:tabs>
        <w:ind w:end="-360"/>
        <w:jc w:val="both"/>
        <w:rPr>
          <w:b/>
        </w:rPr>
      </w:pPr>
      <w:r>
        <w:rPr>
          <w:b/>
        </w:rPr>
        <w:t>and/or Capacity Markets in the Pacific</w:t>
        <w:tab/>
        <w:t>)</w:t>
      </w:r>
    </w:p>
    <w:p>
      <w:pPr>
        <w:pStyle w:val="Normal"/>
        <w:tabs>
          <w:tab w:val="clear" w:pos="720"/>
          <w:tab w:val="left" w:pos="5040" w:leader="none"/>
          <w:tab w:val="left" w:pos="7200" w:leader="none"/>
        </w:tabs>
        <w:ind w:end="-360"/>
        <w:jc w:val="both"/>
        <w:rPr>
          <w:b/>
        </w:rPr>
      </w:pPr>
      <w:r>
        <w:rPr>
          <w:b/>
        </w:rPr>
        <w:t>Northwest Including Parties to the Western</w:t>
        <w:tab/>
        <w:t>)</w:t>
      </w:r>
    </w:p>
    <w:p>
      <w:pPr>
        <w:pStyle w:val="Normal"/>
        <w:tabs>
          <w:tab w:val="clear" w:pos="720"/>
          <w:tab w:val="left" w:pos="5040" w:leader="none"/>
          <w:tab w:val="left" w:pos="7200" w:leader="none"/>
        </w:tabs>
        <w:ind w:end="-360"/>
        <w:jc w:val="both"/>
        <w:rPr>
          <w:b/>
        </w:rPr>
      </w:pPr>
      <w:r>
        <w:rPr>
          <w:b/>
        </w:rPr>
        <w:t>Systems Power Pool Agreement.</w:t>
        <w:tab/>
        <w:t>)</w:t>
      </w:r>
    </w:p>
    <w:p>
      <w:pPr>
        <w:pStyle w:val="Normal"/>
        <w:tabs>
          <w:tab w:val="clear" w:pos="720"/>
          <w:tab w:val="left" w:pos="7200" w:leader="none"/>
        </w:tabs>
        <w:ind w:end="-360"/>
        <w:jc w:val="both"/>
        <w:rPr>
          <w:b/>
        </w:rPr>
      </w:pPr>
      <w:r>
        <w:rPr>
          <w:b/>
        </w:rPr>
      </w:r>
    </w:p>
    <w:p>
      <w:pPr>
        <w:pStyle w:val="Normal"/>
        <w:ind w:end="-360"/>
        <w:jc w:val="both"/>
        <w:rPr>
          <w:b/>
        </w:rPr>
      </w:pPr>
      <w:r>
        <w:rPr>
          <w:b/>
        </w:rPr>
      </w:r>
    </w:p>
    <w:p>
      <w:pPr>
        <w:pStyle w:val="Heading1"/>
        <w:ind w:hanging="0" w:start="0" w:end="-360"/>
        <w:rPr>
          <w:sz w:val="26"/>
        </w:rPr>
      </w:pPr>
      <w:r>
        <w:rPr>
          <w:sz w:val="26"/>
        </w:rPr>
        <w:t xml:space="preserve">POST-HEARING BRIEF </w:t>
        <w:br/>
        <w:t>OF THE TRANSACTION FINALITY GROUP</w:t>
      </w:r>
    </w:p>
    <w:p>
      <w:pPr>
        <w:pStyle w:val="Normal"/>
        <w:ind w:end="-360"/>
        <w:jc w:val="both"/>
        <w:rPr>
          <w:b/>
          <w:sz w:val="26"/>
        </w:rPr>
      </w:pPr>
      <w:r>
        <w:rPr>
          <w:b/>
          <w:sz w:val="26"/>
        </w:rPr>
      </w:r>
    </w:p>
    <w:p>
      <w:pPr>
        <w:pStyle w:val="BodyTextIndent"/>
        <w:ind w:end="-360"/>
        <w:rPr/>
      </w:pPr>
      <w:r>
        <w:rPr/>
        <w:t>TO:</w:t>
        <w:tab/>
        <w:t xml:space="preserve">The Honorable Carmen A. Cintron </w:t>
      </w:r>
    </w:p>
    <w:p>
      <w:pPr>
        <w:pStyle w:val="BodyText"/>
        <w:ind w:hanging="0" w:end="0"/>
        <w:rPr/>
      </w:pPr>
      <w:r>
        <w:rPr/>
      </w:r>
    </w:p>
    <w:p>
      <w:pPr>
        <w:pStyle w:val="BodyText"/>
        <w:rPr/>
      </w:pPr>
      <w:r>
        <w:rPr/>
        <w:t>Pursuant to the Order Establishing Procedural Schedule issued August 2, 2001, the Transaction Finality Group (“TFG”) respectfully submits its post-hearing brief.</w:t>
      </w:r>
      <w:r>
        <w:rPr>
          <w:rStyle w:val="FootnoteCharacters"/>
          <w:rStyle w:val="FootnoteReference"/>
          <w:sz w:val="24"/>
        </w:rPr>
        <w:footnoteReference w:id="2"/>
      </w:r>
      <w:r>
        <w:rPr/>
        <w:t xml:space="preserve"> </w:t>
        <w:br/>
      </w:r>
    </w:p>
    <w:p>
      <w:pPr>
        <w:pStyle w:val="OutlineStyle1"/>
        <w:numPr>
          <w:ilvl w:val="0"/>
          <w:numId w:val="8"/>
        </w:numPr>
        <w:ind w:hanging="0" w:start="0"/>
        <w:rPr>
          <w:b w:val="false"/>
          <w:bCs/>
        </w:rPr>
      </w:pPr>
      <w:r>
        <w:rPr/>
        <w:t>STATEMENT OF THE CASE</w:t>
      </w:r>
    </w:p>
    <w:p>
      <w:pPr>
        <w:pStyle w:val="BodyText"/>
        <w:rPr/>
      </w:pPr>
      <w:r>
        <w:rPr/>
        <w:t>The unusual preliminary evidentiary hearing in this case was initiated to give Pacific Northwest parties an unprecedented opportunity to demonstrate whether unjust and unreasonable prices were charged in bilateral spot market sales in the region over a several month period.  Out of dozens of purchasers in that market, however, only a few Pacific Northwest parties even attempted to make a showing that prices were unjust and unreasonable and that refunds are appropriate.  The overwhelming majority of participants in the Pacific Northwest market believe that refunds are not appropriate and that these proceedings should be terminated.</w:t>
      </w:r>
    </w:p>
    <w:p>
      <w:pPr>
        <w:pStyle w:val="BodyText"/>
        <w:rPr/>
      </w:pPr>
      <w:r>
        <w:rPr/>
        <w:t xml:space="preserve">The few parties that attempted to demonstrate that refunds are appropriate failed to do so.  Although the hearing produced evidence that many buyers of power in the Pacific Northwest (“PNW”) during the relevant period paid prices that were high due to a number of factors, only unsupported allegations – no actual evidence – were offered that prices were unjust and unreasonable or that sellers (during any period) exercised market power or acted anticompetitively in PNW spot markets.  Nor is there evidence of dysfunction or infirmity in the PNW spot power market during the relevant time period.   To the contrary, the evidence depicts a well-established and well-functioning bilateral spot market of many buyers and sellers.  Substantial evidence shows this market performed as a competitive bilateral spot market would be expected to perform in conditions of resource scarcity.  High prices invited the entry of new supplies and suppliers and induced a reduction in demand, and the supply-demand imbalance righted itself in relatively short order. </w:t>
      </w:r>
    </w:p>
    <w:p>
      <w:pPr>
        <w:pStyle w:val="BodyText"/>
        <w:rPr/>
      </w:pPr>
      <w:r>
        <w:rPr/>
        <w:t xml:space="preserve">High prices are not </w:t>
      </w:r>
      <w:r>
        <w:rPr>
          <w:i/>
          <w:iCs/>
        </w:rPr>
        <w:t>per se</w:t>
      </w:r>
      <w:r>
        <w:rPr/>
        <w:t xml:space="preserve"> unjust and unreasonable prices, particularly with respect to a bilateral spot market that comprises a small portion of the total energy transactions and deliveries in the Pacific Northwest.  All the theories advanced by the five PNW refund proponents (and the California Parties) fail to recognize the core fact of the PNW bilateral spot market:  Most buyers also sold energy during hours of high prices.  Equity therefore would require unraveling all the hundreds of thousands of spot transactions during the relevant period before refund liability could be determined.  Any remedy will unfairly discriminate against certain sellers who were also buyers at high prices.  Moreover, any deviation from standard industry definitions of “spot” markets would only add to the severe market distortions caused by such an effort and compound the complexities of any such calculations.  The evidence here demonstrates only that a few parties, based upon market procurement strategies, fared badly in the market during the period in question and that the PNW spot market as a whole performed well.  Under these circumstances, there is no basis in law or policy for the wholesale disruption of the PNW markets that would result from further proceedings in this case.</w:t>
      </w:r>
    </w:p>
    <w:p>
      <w:pPr>
        <w:pStyle w:val="BodyText"/>
        <w:rPr/>
      </w:pPr>
      <w:r>
        <w:rPr>
          <w:szCs w:val="16"/>
        </w:rPr>
        <w:t xml:space="preserve">For these reasons, the members of the TFG – which includes the majority of net purchasers during the relevant period – are not seeking refunds.  Rather, each TFG member understood the risk and volatility of the spot market and, more importantly, each member of the TFG  understands that claimants’ attempt to undo the hundreds of thousands of voluntarily negotiated spot market transactions during the relevant period will cause irreparable harm to the competitive wholesale electricity market in the PNW and raise the cost of all spot market transactions in the future.  </w:t>
      </w:r>
      <w:r>
        <w:rPr/>
        <w:t>Accordingly, refunds cannot equitably be order nor legally be implemented.</w:t>
      </w:r>
    </w:p>
    <w:p>
      <w:pPr>
        <w:pStyle w:val="BodyText"/>
        <w:rPr/>
      </w:pPr>
      <w:r>
        <w:rPr/>
        <w:t xml:space="preserve">Based on the record in this preliminary hearing, the following conclusions are justified: </w:t>
      </w:r>
    </w:p>
    <w:p>
      <w:pPr>
        <w:pStyle w:val="ListBullet31"/>
        <w:numPr>
          <w:ilvl w:val="0"/>
          <w:numId w:val="6"/>
        </w:numPr>
        <w:ind w:hanging="0" w:start="0"/>
        <w:rPr/>
      </w:pPr>
      <w:r>
        <w:rPr/>
        <w:t>The PNW electricity market is that part of the larger eleven-state Western Systems Coordinating Council (“WSCC”) that is defined by the Pacific Northwest Electric Power Planning and Conservation Act.</w:t>
      </w:r>
    </w:p>
    <w:p>
      <w:pPr>
        <w:pStyle w:val="ListBullet31"/>
        <w:numPr>
          <w:ilvl w:val="0"/>
          <w:numId w:val="6"/>
        </w:numPr>
        <w:ind w:hanging="0" w:start="0"/>
        <w:rPr/>
      </w:pPr>
      <w:r>
        <w:rPr/>
        <w:t>The PNW electricity market is a mature, competitive market, comprised of a large universe of sellers and buyers that offer all of the traditional products that can be used to balance a supply portfolio and the risks of fluctuating prices.</w:t>
      </w:r>
    </w:p>
    <w:p>
      <w:pPr>
        <w:pStyle w:val="ListBullet31"/>
        <w:numPr>
          <w:ilvl w:val="0"/>
          <w:numId w:val="6"/>
        </w:numPr>
        <w:ind w:hanging="0" w:start="0"/>
        <w:rPr/>
      </w:pPr>
      <w:r>
        <w:rPr/>
        <w:t>Wholesale electricity commerce in the PNW is conducted through bilateral contracts, predominantly pursuant to the Western System Power Pool Agreement, entered into between willing sellers and buyers throughout the WSCC, not through a centralized, multilateral exchange.</w:t>
      </w:r>
    </w:p>
    <w:p>
      <w:pPr>
        <w:pStyle w:val="ListBullet31"/>
        <w:numPr>
          <w:ilvl w:val="0"/>
          <w:numId w:val="6"/>
        </w:numPr>
        <w:ind w:hanging="0" w:start="0"/>
        <w:rPr/>
      </w:pPr>
      <w:r>
        <w:rPr/>
        <w:t>Consistent with practice and usage in nearly all commodity markets, the spot market is the market for immediate delivery, which for bilateral electricity sales in the PNW comprises all sales for 24 hours or less that are entered into one day in advance or, before weekends, holidays, or WSCC scheduler conferences, up to 48 hours in advance.</w:t>
      </w:r>
    </w:p>
    <w:p>
      <w:pPr>
        <w:pStyle w:val="ListBullet31"/>
        <w:numPr>
          <w:ilvl w:val="0"/>
          <w:numId w:val="6"/>
        </w:numPr>
        <w:ind w:hanging="0" w:start="0"/>
        <w:rPr/>
      </w:pPr>
      <w:r>
        <w:rPr/>
        <w:t>Spot market sales are distinguished by the fact that, once entered into, they are immediately scheduled for delivery.</w:t>
      </w:r>
    </w:p>
    <w:p>
      <w:pPr>
        <w:pStyle w:val="ListBullet31"/>
        <w:numPr>
          <w:ilvl w:val="0"/>
          <w:numId w:val="6"/>
        </w:numPr>
        <w:ind w:hanging="0" w:start="0"/>
        <w:rPr/>
      </w:pPr>
      <w:r>
        <w:rPr/>
        <w:t>The spot market for bilateral sales of electricity in the PNW does not include forward or term sales or futures contracts, none of which are for immediate delivery.</w:t>
      </w:r>
    </w:p>
    <w:p>
      <w:pPr>
        <w:pStyle w:val="ListBullet31"/>
        <w:numPr>
          <w:ilvl w:val="0"/>
          <w:numId w:val="6"/>
        </w:numPr>
        <w:ind w:hanging="0" w:start="0"/>
        <w:rPr/>
      </w:pPr>
      <w:r>
        <w:rPr/>
        <w:t>Although large in number, spot market transactions in the PNW comprise a small portion of power and energy deliveries in the PNW, in stark contrast to the pervasive impact on consumers in California of transactions through that state's centralized spot market.</w:t>
      </w:r>
    </w:p>
    <w:p>
      <w:pPr>
        <w:pStyle w:val="ListBullet31"/>
        <w:numPr>
          <w:ilvl w:val="0"/>
          <w:numId w:val="6"/>
        </w:numPr>
        <w:ind w:hanging="0" w:start="0"/>
        <w:rPr/>
      </w:pPr>
      <w:r>
        <w:rPr/>
        <w:t>A severe drought in the PNW had reduced hydroelectric power available to the PNW market by _____ percent during the relevant period, putting upward pressure on prices.</w:t>
      </w:r>
    </w:p>
    <w:p>
      <w:pPr>
        <w:pStyle w:val="ListBullet31"/>
        <w:numPr>
          <w:ilvl w:val="0"/>
          <w:numId w:val="6"/>
        </w:numPr>
        <w:ind w:hanging="0" w:start="0"/>
        <w:rPr/>
      </w:pPr>
      <w:r>
        <w:rPr/>
        <w:t>The price of natural gas delivered into the PNW during the relevant period peaked at 30 times what it had been one year earlier, also putting upward pressure on electricity prices.</w:t>
      </w:r>
    </w:p>
    <w:p>
      <w:pPr>
        <w:pStyle w:val="ListBullet31"/>
        <w:numPr>
          <w:ilvl w:val="0"/>
          <w:numId w:val="6"/>
        </w:numPr>
        <w:ind w:hanging="0" w:start="0"/>
        <w:rPr/>
      </w:pPr>
      <w:r>
        <w:rPr/>
        <w:t>Another factor putting upward pressure on prices was that the PNW experienced a substantial increase in demand that was not matched by an equivalent increase in new generation capacity.</w:t>
      </w:r>
    </w:p>
    <w:p>
      <w:pPr>
        <w:pStyle w:val="ListBullet31"/>
        <w:numPr>
          <w:ilvl w:val="0"/>
          <w:numId w:val="6"/>
        </w:numPr>
        <w:ind w:hanging="0" w:start="0"/>
        <w:rPr/>
      </w:pPr>
      <w:r>
        <w:rPr/>
        <w:t>The just and reasonable prices for spot market bilateral wholesale sales of electricity in the PNW during the relevant period were the prices that willing sellers and willing buyers agreed to accept and pay, respectively.</w:t>
      </w:r>
    </w:p>
    <w:p>
      <w:pPr>
        <w:pStyle w:val="ListBullet31"/>
        <w:numPr>
          <w:ilvl w:val="0"/>
          <w:numId w:val="6"/>
        </w:numPr>
        <w:ind w:hanging="0" w:start="0"/>
        <w:rPr/>
      </w:pPr>
      <w:r>
        <w:rPr/>
        <w:t>During the relevant time period, willing sellers and willing buyers made hundreds of thousands of spot market bilateral sales, which in the aggregate comprise a complex web of transactions involving virtually all sellers in the West.</w:t>
      </w:r>
    </w:p>
    <w:p>
      <w:pPr>
        <w:pStyle w:val="ListBullet31"/>
        <w:numPr>
          <w:ilvl w:val="0"/>
          <w:numId w:val="6"/>
        </w:numPr>
        <w:ind w:hanging="0" w:start="0"/>
        <w:rPr/>
      </w:pPr>
      <w:r>
        <w:rPr/>
        <w:t>Only five PNW utilities among hundreds of buyers in the PNW bilateral spot market seek refunds to relieve them of the consequences of their economic decisions.</w:t>
      </w:r>
    </w:p>
    <w:p>
      <w:pPr>
        <w:pStyle w:val="ListBullet31"/>
        <w:numPr>
          <w:ilvl w:val="0"/>
          <w:numId w:val="6"/>
        </w:numPr>
        <w:ind w:hanging="0" w:start="0"/>
        <w:rPr/>
      </w:pPr>
      <w:r>
        <w:rPr/>
        <w:t xml:space="preserve">In a bilateral market, prices, terms, and conditions are individually negotiated and thus, every transaction reflects the unique circumstances and commercial needs of the affected buyer and seller.  </w:t>
      </w:r>
    </w:p>
    <w:p>
      <w:pPr>
        <w:pStyle w:val="ListBullet31"/>
        <w:numPr>
          <w:ilvl w:val="0"/>
          <w:numId w:val="6"/>
        </w:numPr>
        <w:ind w:hanging="0" w:start="0"/>
        <w:rPr/>
      </w:pPr>
      <w:r>
        <w:rPr/>
        <w:t>The net buyers of electricity in the PNW bilateral spot market during the relevant period include a large number of buyers who do not believe refunds should be ordered, but who either reserved their rights or who submitted offers of proof of the amounts they would be owed under the refund theories advanced by those seeking refunds.</w:t>
      </w:r>
    </w:p>
    <w:p>
      <w:pPr>
        <w:pStyle w:val="ListBullet31"/>
        <w:numPr>
          <w:ilvl w:val="0"/>
          <w:numId w:val="6"/>
        </w:numPr>
        <w:ind w:hanging="0" w:start="0"/>
        <w:rPr/>
      </w:pPr>
      <w:r>
        <w:rPr>
          <w:szCs w:val="16"/>
        </w:rPr>
        <w:t>It is conceded that market participants did not have market power, acting only as price takers, buying and selling electricity in voluntary PNW bilateral spot market transactions at prices set by conditions of electricity supply and demand.</w:t>
      </w:r>
    </w:p>
    <w:p>
      <w:pPr>
        <w:pStyle w:val="ListBullet31"/>
        <w:numPr>
          <w:ilvl w:val="0"/>
          <w:numId w:val="6"/>
        </w:numPr>
        <w:ind w:hanging="0" w:start="0"/>
        <w:rPr/>
      </w:pPr>
      <w:r>
        <w:rPr/>
        <w:t>There is no evidence that any TFG member exercised or was able to exercise market power in the PNW during the relevant period.</w:t>
      </w:r>
    </w:p>
    <w:p>
      <w:pPr>
        <w:pStyle w:val="ListBullet31"/>
        <w:numPr>
          <w:ilvl w:val="0"/>
          <w:numId w:val="6"/>
        </w:numPr>
        <w:ind w:hanging="0" w:start="0"/>
        <w:rPr/>
      </w:pPr>
      <w:r>
        <w:rPr/>
        <w:t>There is no evidence that any TFG member violated any condition or limitation of its market-based tariff or rate schedule or that any violated agreements entered into under the WSPP Agreement.</w:t>
      </w:r>
    </w:p>
    <w:p>
      <w:pPr>
        <w:pStyle w:val="Normal"/>
        <w:ind w:start="1440" w:end="0"/>
        <w:rPr/>
      </w:pPr>
      <w:r>
        <w:rPr/>
      </w:r>
    </w:p>
    <w:p>
      <w:pPr>
        <w:pStyle w:val="OutlineStyle1"/>
        <w:numPr>
          <w:ilvl w:val="0"/>
          <w:numId w:val="8"/>
        </w:numPr>
        <w:ind w:hanging="0" w:start="0"/>
        <w:rPr/>
      </w:pPr>
      <w:r>
        <w:rPr/>
        <w:t>INTRODUCTION</w:t>
      </w:r>
    </w:p>
    <w:p>
      <w:pPr>
        <w:pStyle w:val="OutlineStyle2"/>
        <w:numPr>
          <w:ilvl w:val="1"/>
          <w:numId w:val="8"/>
        </w:numPr>
        <w:ind w:hanging="0" w:start="0"/>
        <w:rPr/>
      </w:pPr>
      <w:r>
        <w:rPr/>
        <w:t>Background of the Case</w:t>
      </w:r>
    </w:p>
    <w:p>
      <w:pPr>
        <w:pStyle w:val="BodyText"/>
        <w:rPr/>
      </w:pPr>
      <w:r>
        <w:rPr/>
        <w:t>On July 25, 2001, the Commission established a “preliminary evidentiary proceeding. . .to facilitate development of a factual record on whether there may have been unjust and unreasonable charges for spot market bilateral sales in the Pacific Northwest for the period beginning December 25, 2000 through June 20, 2001.”</w:t>
      </w:r>
      <w:r>
        <w:rPr>
          <w:rStyle w:val="FootnoteCharacters"/>
          <w:rStyle w:val="FootnoteReference"/>
          <w:sz w:val="24"/>
        </w:rPr>
        <w:footnoteReference w:id="3"/>
      </w:r>
      <w:r>
        <w:rPr/>
        <w:t xml:space="preserve">  This preliminary proceeding purports to be related to a complaint filed on October 26, 2000 by Puget Sound Energy, Inc. (“Puget”).  Puget requested an order that “prospectively caps the prices for wholesale sales of energy or capacity </w:t>
      </w:r>
      <w:r>
        <w:rPr>
          <w:i/>
          <w:iCs/>
        </w:rPr>
        <w:t>into</w:t>
      </w:r>
      <w:r>
        <w:rPr/>
        <w:t xml:space="preserve"> the Pacific Northwest” (“PNW”), as defined in 16 U.S.C. § 839a(14) (the “Pacific Northwest Electric Power Planning and Conservation Act” or “NW Power Planning Act”), at a level equal to the lowest price caps allowed in California markets operated by the California Independent System Operator Corporation (the “Cal ISO” or “ISO”) or the California Power Exchange Corporation (the “Cal PX” or “PX”).</w:t>
      </w:r>
      <w:r>
        <w:rPr>
          <w:rStyle w:val="FootnoteCharacters"/>
          <w:rStyle w:val="FootnoteReference"/>
        </w:rPr>
        <w:footnoteReference w:id="4"/>
      </w:r>
      <w:r>
        <w:rPr/>
        <w:t xml:space="preserve">  </w:t>
      </w:r>
    </w:p>
    <w:p>
      <w:pPr>
        <w:pStyle w:val="BodyText"/>
        <w:rPr/>
      </w:pPr>
      <w:r>
        <w:rPr/>
        <w:t>The Commission dismissed Puget’s Complaint on December 15, 2000, finding that not a single instance of market power had been documented.</w:t>
      </w:r>
      <w:r>
        <w:rPr>
          <w:rStyle w:val="FootnoteCharacters"/>
          <w:rStyle w:val="FootnoteReference"/>
          <w:sz w:val="24"/>
        </w:rPr>
        <w:footnoteReference w:id="5"/>
      </w:r>
      <w:r>
        <w:rPr/>
        <w:t xml:space="preserve">  The Commission also reasoned that such a price cap regime was impracticable given the market structure in the PNW.  Notwithstanding its dismissal of the Complaint and the fact that the core remedy requested by Puget in the Complaint was granted in the July 19 Order, the Commission in the July 25 Order questioned “whether there may have been unjust and unreasonable charges for spot market sales in the Pacific Northwest for the period beginning December 25, 2000 through June 20, 2001.”</w:t>
      </w:r>
      <w:r>
        <w:rPr>
          <w:rStyle w:val="FootnoteCharacters"/>
          <w:rStyle w:val="FootnoteReference"/>
        </w:rPr>
        <w:footnoteReference w:id="6"/>
      </w:r>
      <w:r>
        <w:rPr/>
        <w:t xml:space="preserve">  It directed that a factual record be established that examines “the volume of the transactions, the identification of net sellers and net buyers, the prices and terms and conditions of the sales contracts, and the extent of potential refunds.”</w:t>
      </w:r>
      <w:r>
        <w:rPr>
          <w:rStyle w:val="FootnoteCharacters"/>
          <w:rStyle w:val="FootnoteReference"/>
          <w:sz w:val="24"/>
        </w:rPr>
        <w:footnoteReference w:id="7"/>
      </w:r>
      <w:r>
        <w:rPr/>
        <w:t xml:space="preserve">  The Presiding Judge was ordered to “make a recommendation and certify the record and findings of fact to the Commission within seven (7) days after the close of the discussions.”</w:t>
      </w:r>
      <w:r>
        <w:rPr>
          <w:rStyle w:val="FootnoteCharacters"/>
          <w:rStyle w:val="FootnoteReference"/>
          <w:sz w:val="24"/>
        </w:rPr>
        <w:footnoteReference w:id="8"/>
      </w:r>
    </w:p>
    <w:p>
      <w:pPr>
        <w:pStyle w:val="OutlineStyle2"/>
        <w:numPr>
          <w:ilvl w:val="1"/>
          <w:numId w:val="8"/>
        </w:numPr>
        <w:ind w:hanging="0" w:start="0"/>
        <w:rPr/>
      </w:pPr>
      <w:r>
        <w:rPr/>
        <w:t>This Proceeding Is Preliminary in Nature.</w:t>
      </w:r>
    </w:p>
    <w:p>
      <w:pPr>
        <w:pStyle w:val="BodyText"/>
        <w:rPr/>
      </w:pPr>
      <w:r>
        <w:rPr/>
        <w:t xml:space="preserve">The Commission conceived of this proceeding as a “preliminary investigation,” establishing an exceedingly compressed time frame for the Presiding Judge to assemble information and make a recommendation.  No comprehensive calculation of refunds could possibly be reached consistent with the Administrative Procedure Act (“APA”), 5 U.S.C. § 551, </w:t>
      </w:r>
      <w:r>
        <w:rPr>
          <w:i/>
        </w:rPr>
        <w:t>et seq.</w:t>
      </w:r>
      <w:r>
        <w:rPr>
          <w:iCs/>
        </w:rPr>
        <w:t xml:space="preserve">, and none could have been intended, in light of the fact that procedures essential to due process, when individual rights of parties are to be fixed, were absent from this case.  </w:t>
      </w:r>
      <w:r>
        <w:rPr/>
        <w:t>Due to these restrictions and the fact that the largest refund claim (for sales to the California Department of Water Resources (the “CDWR”)) is made by other parties and CDWR is not a party subject to effective discovery, members of the TFG have been deprived of an adequate opportunity to obtain and test even the basic facts underlying claimants' calculations of potential refunds.  With regard to such refund calculations, the compressed time frame has precluded a full and fair hearing that meets the required elements for due process that must precede refund orders.</w:t>
      </w:r>
      <w:r>
        <w:rPr>
          <w:rStyle w:val="FootnoteCharacters"/>
          <w:rStyle w:val="FootnoteReference"/>
        </w:rPr>
        <w:footnoteReference w:id="9"/>
      </w:r>
      <w:r>
        <w:rPr/>
        <w:t xml:space="preserve">  Any contention that specific refunds should be ordered is untenable and must be rejected.</w:t>
      </w:r>
      <w:r>
        <w:rPr>
          <w:rStyle w:val="FootnoteCharacters"/>
          <w:rStyle w:val="FootnoteReference"/>
          <w:sz w:val="24"/>
        </w:rPr>
        <w:footnoteReference w:id="10"/>
      </w:r>
      <w:r>
        <w:rPr/>
        <w:t xml:space="preserve">  </w:t>
      </w:r>
    </w:p>
    <w:p>
      <w:pPr>
        <w:pStyle w:val="BodyText"/>
        <w:rPr/>
      </w:pPr>
      <w:r>
        <w:rPr/>
        <w:t>Rather, the Presiding Judge should focus her report on recommendations and findings assessing whether evidence has been presented that the PNW spot market was flawed, whether there is credible evidence of market power or unlawful activities on the part of buyers or sellers in that market, and whether, given the totality of circumstances, retroactive price setting would be lawful and in the public interest.  As the hearing showed, refund proponents failed to meet their burden of showing that further proceedings to consider refunds serve the public interest.  To the contrary, the record demonstrates that during the period in question, prices in the PNW reflected traditional, accepted market forces, particularly scarcity of supply.  The market has already self-corrected and no further Commission action is warranted other than terminating the docket.</w:t>
      </w:r>
    </w:p>
    <w:p>
      <w:pPr>
        <w:pStyle w:val="OutlineStyle2"/>
        <w:numPr>
          <w:ilvl w:val="1"/>
          <w:numId w:val="8"/>
        </w:numPr>
        <w:ind w:hanging="0" w:start="0"/>
        <w:rPr/>
      </w:pPr>
      <w:r>
        <w:rPr/>
        <w:t>The Scope of the Proceeding is Framed by Puget’s Complaint.</w:t>
      </w:r>
    </w:p>
    <w:p>
      <w:pPr>
        <w:pStyle w:val="BodyText"/>
        <w:rPr/>
      </w:pPr>
      <w:r>
        <w:rPr/>
        <w:t xml:space="preserve">The Presiding Judge's consideration whether refunds are “lawful or appropriate” must fall within the scope of Puget’s Complaint requesting relief under Section 206 of the Federal Power Act (“FPA”), 16 U.S.C. 791a </w:t>
      </w:r>
      <w:r>
        <w:rPr>
          <w:i/>
          <w:iCs/>
        </w:rPr>
        <w:t>et. seq.</w:t>
      </w:r>
      <w:r>
        <w:rPr/>
        <w:t xml:space="preserve">  Four aspects of the Complaint are pertinent:</w:t>
      </w:r>
    </w:p>
    <w:p>
      <w:pPr>
        <w:pStyle w:val="ListNumber3"/>
        <w:numPr>
          <w:ilvl w:val="0"/>
          <w:numId w:val="3"/>
        </w:numPr>
        <w:ind w:hanging="0" w:start="0"/>
        <w:rPr/>
      </w:pPr>
      <w:r>
        <w:rPr/>
        <w:t xml:space="preserve">The Complaint requests relief only for sales </w:t>
      </w:r>
      <w:r>
        <w:rPr>
          <w:i/>
          <w:iCs/>
        </w:rPr>
        <w:t>into</w:t>
      </w:r>
      <w:r>
        <w:rPr/>
        <w:t xml:space="preserve"> (not “out of” or “through” or even “in”) markets in the Pacific Northwest</w:t>
      </w:r>
      <w:r>
        <w:rPr>
          <w:rStyle w:val="FootnoteCharacters"/>
          <w:rStyle w:val="FootnoteReference"/>
        </w:rPr>
        <w:footnoteReference w:id="11"/>
      </w:r>
      <w:r>
        <w:rPr/>
        <w:t xml:space="preserve"> as the unambiguous intent of the Complaint is to protect load serving utilities and ultimate customers located in the PNW;</w:t>
      </w:r>
    </w:p>
    <w:p>
      <w:pPr>
        <w:pStyle w:val="ListNumber3"/>
        <w:numPr>
          <w:ilvl w:val="0"/>
          <w:numId w:val="3"/>
        </w:numPr>
        <w:ind w:hanging="0" w:start="0"/>
        <w:rPr/>
      </w:pPr>
      <w:r>
        <w:rPr/>
        <w:t>The Complaint defines the PNW as the region set forth in the Pacific Northwest Electric Power Planning and Conservation Act;</w:t>
      </w:r>
    </w:p>
    <w:p>
      <w:pPr>
        <w:pStyle w:val="ListNumber3"/>
        <w:numPr>
          <w:ilvl w:val="0"/>
          <w:numId w:val="3"/>
        </w:numPr>
        <w:ind w:hanging="0" w:start="0"/>
        <w:rPr/>
      </w:pPr>
      <w:r>
        <w:rPr/>
        <w:t xml:space="preserve">The Complaint requests </w:t>
      </w:r>
      <w:r>
        <w:rPr>
          <w:i/>
          <w:iCs/>
        </w:rPr>
        <w:t>only</w:t>
      </w:r>
      <w:r>
        <w:rPr/>
        <w:t xml:space="preserve"> prospective relief; and,</w:t>
      </w:r>
    </w:p>
    <w:p>
      <w:pPr>
        <w:pStyle w:val="ListNumber3"/>
        <w:numPr>
          <w:ilvl w:val="0"/>
          <w:numId w:val="3"/>
        </w:numPr>
        <w:ind w:hanging="0" w:start="0"/>
        <w:rPr/>
      </w:pPr>
      <w:r>
        <w:rPr/>
        <w:t xml:space="preserve">The Complaint asks that the Commission fix rates at levels </w:t>
      </w:r>
      <w:r>
        <w:rPr>
          <w:i/>
          <w:iCs/>
        </w:rPr>
        <w:t>equivalent</w:t>
      </w:r>
      <w:r>
        <w:rPr/>
        <w:t xml:space="preserve"> to that ordered in the California dockets.</w:t>
      </w:r>
    </w:p>
    <w:p>
      <w:pPr>
        <w:pStyle w:val="BodyText"/>
        <w:rPr/>
      </w:pPr>
      <w:r>
        <w:rPr/>
        <w:t>Intervenors in a complaint proceeding must, as the Presiding Judge has ordered “take the record as they find it.”</w:t>
      </w:r>
      <w:r>
        <w:rPr>
          <w:rStyle w:val="FootnoteCharacters"/>
          <w:rStyle w:val="FootnoteReference"/>
        </w:rPr>
        <w:footnoteReference w:id="12"/>
      </w:r>
      <w:r>
        <w:rPr/>
        <w:t xml:space="preserve">  Long-standing precedent establishes that intervenors cannot be substituted for a complainant under Section 206 and may not broaden the scope of the complaint as filed.  Instead, the appropriate remedy for such claimants is to file their own complaint.</w:t>
      </w:r>
      <w:r>
        <w:rPr>
          <w:rStyle w:val="FootnoteCharacters"/>
          <w:rStyle w:val="FootnoteReference"/>
        </w:rPr>
        <w:footnoteReference w:id="13"/>
      </w:r>
      <w:r>
        <w:rPr/>
        <w:t xml:space="preserve">  If the California parties desire to have sales “out of” the Pacific Northwest and “into California” examined, their remedy is to file their own complaint.  If members of the Net Purchasers Group (the “NPG”) desire to expand the universe of transactions under review to include non-spot market sales, they also must file a new complaint.  Refund claimants lawfully cannot be allowed to expand the scope of Puget's Complaint by inventing a new definition of “spot market” based solely on expediency, without any basis in generally accepted definitions in this market, other financial and industrial markets, or respected economic treatises.  In sum, the specifics of Puget's Complaint frame the jurisdiction of the Commission under Section 206 and define the parameters for the issues properly in this proceeding.</w:t>
      </w:r>
    </w:p>
    <w:p>
      <w:pPr>
        <w:pStyle w:val="OutlineStyle2"/>
        <w:numPr>
          <w:ilvl w:val="1"/>
          <w:numId w:val="8"/>
        </w:numPr>
        <w:ind w:hanging="0" w:start="0"/>
        <w:rPr/>
      </w:pPr>
      <w:r>
        <w:rPr/>
        <w:t>California’s Claims Are Disposed of in Docket No. EL00-95.</w:t>
      </w:r>
    </w:p>
    <w:p>
      <w:pPr>
        <w:pStyle w:val="BodyText"/>
        <w:rPr/>
      </w:pPr>
      <w:r>
        <w:rPr/>
        <w:t>The Commission’s July 25 Order considered and specifically denied refunds for CDWR’s bilateral transactions (</w:t>
      </w:r>
      <w:r>
        <w:rPr>
          <w:i/>
        </w:rPr>
        <w:t>i.e.,</w:t>
      </w:r>
      <w:r>
        <w:rPr/>
        <w:t xml:space="preserve"> transactions outside of the centralized ISO and PX markets).</w:t>
      </w:r>
      <w:r>
        <w:rPr>
          <w:rStyle w:val="FootnoteCharacters"/>
          <w:rStyle w:val="FootnoteReference"/>
          <w:sz w:val="24"/>
        </w:rPr>
        <w:footnoteReference w:id="14"/>
      </w:r>
      <w:r>
        <w:rPr/>
        <w:t xml:space="preserve">  Seeking to circumvent that decision, the California Parties now attempt to have the Presiding Judge broaden the scope of the Puget Complaint to include bilateral sales into markets in California through the California Department of Water Resources (“CDWR”).  This is inappropriate given that all electricity purchased by CDWR is consumed in California and paid for entirely by California customers.  Section V </w:t>
      </w:r>
      <w:r>
        <w:rPr>
          <w:i/>
          <w:iCs/>
        </w:rPr>
        <w:t>infra</w:t>
      </w:r>
      <w:r>
        <w:rPr/>
        <w:t xml:space="preserve"> addresses the issues raised by the California parties' participation in this proceeding.</w:t>
      </w:r>
    </w:p>
    <w:p>
      <w:pPr>
        <w:pStyle w:val="OutlineStyle1"/>
        <w:numPr>
          <w:ilvl w:val="0"/>
          <w:numId w:val="8"/>
        </w:numPr>
        <w:ind w:hanging="0" w:start="0"/>
        <w:rPr/>
      </w:pPr>
      <w:r>
        <w:rPr/>
        <w:t>SUMMARY OF THE LEGAL STANDARDS THAT CONTROL THIS PROCEEDING</w:t>
      </w:r>
    </w:p>
    <w:p>
      <w:pPr>
        <w:pStyle w:val="OutlineStyle2"/>
        <w:numPr>
          <w:ilvl w:val="1"/>
          <w:numId w:val="8"/>
        </w:numPr>
        <w:ind w:hanging="0" w:start="0"/>
        <w:rPr/>
      </w:pPr>
      <w:r>
        <w:rPr/>
        <w:t>The Prospective Nature of Section 206 Investigations -- the Requirement of a “Refund Effective Date”</w:t>
      </w:r>
    </w:p>
    <w:p>
      <w:pPr>
        <w:pStyle w:val="BodyText"/>
        <w:rPr/>
      </w:pPr>
      <w:r>
        <w:rPr/>
        <w:t>The July 25 Order makes clear that the controlling legal standards for this proceeding are set forth in Section 206 of the FPA.</w:t>
      </w:r>
      <w:r>
        <w:rPr>
          <w:rStyle w:val="FootnoteCharacters"/>
          <w:rStyle w:val="FootnoteReference"/>
        </w:rPr>
        <w:footnoteReference w:id="15"/>
      </w:r>
      <w:r>
        <w:rPr/>
        <w:t xml:space="preserve">  As explained in the November 1, 2000 Order,</w:t>
      </w:r>
      <w:r>
        <w:rPr>
          <w:rStyle w:val="FootnoteCharacters"/>
          <w:rStyle w:val="FootnoteReference"/>
        </w:rPr>
        <w:footnoteReference w:id="16"/>
      </w:r>
      <w:r>
        <w:rPr/>
        <w:t xml:space="preserve"> the Commission's authority under Section 206 is circumscribed by the filed rate doctrine and its corollary prohibition against retroactive ratemaking, both derived from Sections 205 and 206.</w:t>
      </w:r>
      <w:r>
        <w:rPr>
          <w:rStyle w:val="FootnoteCharacters"/>
          <w:rStyle w:val="FootnoteReference"/>
        </w:rPr>
        <w:footnoteReference w:id="17"/>
      </w:r>
      <w:r>
        <w:rPr/>
        <w:t xml:space="preserve">  Together, they “stand for the propositions that a utility may charge only those rates that are on file with and approved by the Commission,” and conversely, that the Commission may not alter those filed rates retrospectively.</w:t>
      </w:r>
      <w:r>
        <w:rPr>
          <w:rStyle w:val="FootnoteCharacters"/>
          <w:rStyle w:val="FootnoteReference"/>
        </w:rPr>
        <w:footnoteReference w:id="18"/>
      </w:r>
    </w:p>
    <w:p>
      <w:pPr>
        <w:pStyle w:val="BodyText"/>
        <w:rPr/>
      </w:pPr>
      <w:r>
        <w:rPr/>
        <w:t>Section 206(b) does allow for modification of the filed rate, but only for periods after a “refund effective date,” which shall not be earlier than the date 60 days after the filing of a complaint or the publication by the Commission's intention to initiate an investigation, nor later than 5 months after the expiration of such 60-day period.</w:t>
      </w:r>
      <w:r>
        <w:rPr>
          <w:rStyle w:val="FootnoteCharacters"/>
          <w:rStyle w:val="FootnoteReference"/>
        </w:rPr>
        <w:footnoteReference w:id="19"/>
      </w:r>
      <w:r>
        <w:rPr/>
        <w:t xml:space="preserve"> </w:t>
      </w:r>
      <w:r>
        <w:rPr>
          <w:i/>
          <w:iCs/>
        </w:rPr>
        <w:t xml:space="preserve"> </w:t>
      </w:r>
      <w:r>
        <w:rPr/>
        <w:t xml:space="preserve"> Either way, refunds can only be authorized on a prospective basis after a lawfully established refund effective date.  No refund effective date has ever been established in this proceeding; nor can one be established retroactively.</w:t>
      </w:r>
    </w:p>
    <w:p>
      <w:pPr>
        <w:pStyle w:val="OutlineStyle2"/>
        <w:numPr>
          <w:ilvl w:val="1"/>
          <w:numId w:val="8"/>
        </w:numPr>
        <w:ind w:hanging="0" w:start="0"/>
        <w:rPr>
          <w:i/>
          <w:i/>
        </w:rPr>
      </w:pPr>
      <w:r>
        <w:rPr/>
        <w:t xml:space="preserve">Burden of Proof and the “Public Interest” Standard of the </w:t>
      </w:r>
      <w:r>
        <w:rPr>
          <w:i/>
        </w:rPr>
        <w:t>Mobile-Sierra Doctrine</w:t>
      </w:r>
    </w:p>
    <w:p>
      <w:pPr>
        <w:pStyle w:val="BodyText"/>
        <w:rPr/>
      </w:pPr>
      <w:r>
        <w:rPr/>
        <w:t xml:space="preserve">Assuming, </w:t>
      </w:r>
      <w:r>
        <w:rPr>
          <w:i/>
          <w:iCs/>
        </w:rPr>
        <w:t>arguendo,</w:t>
      </w:r>
      <w:r>
        <w:rPr/>
        <w:t xml:space="preserve"> that retroactive refunds lawfully could be ordered, the burden is on the proponents of refunds (and the Commission should it attempt to order refunds) to show, based upon substantial evidence, that refunds are appropriate.</w:t>
      </w:r>
      <w:r>
        <w:rPr>
          <w:rStyle w:val="FootnoteCharacters"/>
          <w:rStyle w:val="FootnoteReference"/>
        </w:rPr>
        <w:footnoteReference w:id="20"/>
      </w:r>
      <w:r>
        <w:rPr/>
        <w:t xml:space="preserve">  Because virtually all of the sales at issue were made pursuant to the WSPP umbrella contract, the Commission's burden extends beyond a demonstration that the existing rates were “just and reasonable” under Section 206(a).  Rather, in accordance with the landmark </w:t>
      </w:r>
      <w:r>
        <w:rPr>
          <w:i/>
          <w:iCs/>
        </w:rPr>
        <w:t>Mobile-Sierra</w:t>
      </w:r>
      <w:r>
        <w:rPr/>
        <w:t xml:space="preserve"> cases decided in tandem by the Supreme Court in 1956,</w:t>
      </w:r>
      <w:r>
        <w:rPr>
          <w:rStyle w:val="FootnoteCharacters"/>
          <w:rStyle w:val="FootnoteReference"/>
        </w:rPr>
        <w:footnoteReference w:id="21"/>
      </w:r>
      <w:r>
        <w:rPr/>
        <w:t xml:space="preserve"> the Commission must demonstrate that refunds are in the "public interest."</w:t>
      </w:r>
    </w:p>
    <w:p>
      <w:pPr>
        <w:pStyle w:val="BodyText"/>
        <w:rPr/>
      </w:pPr>
      <w:r>
        <w:rPr/>
        <w:t>Under the “public interest” standard, the Commission can modify a contractually-agreed upon rate only where the existing structure might “impair the financial ability of the public utility to continue its service, cast upon other consumers an excessive burden, or be unduly discriminatory.”</w:t>
      </w:r>
      <w:r>
        <w:rPr>
          <w:rStyle w:val="FootnoteCharacters"/>
          <w:rStyle w:val="FootnoteReference"/>
        </w:rPr>
        <w:footnoteReference w:id="22"/>
      </w:r>
      <w:r>
        <w:rPr/>
        <w:t xml:space="preserve">  To determine whether refunds would be lawful or appropriate, the Commission must weigh the possible benefits to a small minority of market participants against the harm refunds would have on the efficiency and effectiveness of the market and the cascading consequences if potentially millions of closed “final transactions” are reopened.</w:t>
      </w:r>
    </w:p>
    <w:p>
      <w:pPr>
        <w:pStyle w:val="OutlineStyle1"/>
        <w:numPr>
          <w:ilvl w:val="0"/>
          <w:numId w:val="8"/>
        </w:numPr>
        <w:ind w:hanging="0" w:start="0"/>
        <w:rPr/>
      </w:pPr>
      <w:r>
        <w:rPr/>
        <w:t>ARGUMENT ON ISSUES</w:t>
      </w:r>
    </w:p>
    <w:p>
      <w:pPr>
        <w:pStyle w:val="OutlineStyle2"/>
        <w:numPr>
          <w:ilvl w:val="1"/>
          <w:numId w:val="8"/>
        </w:numPr>
        <w:ind w:hanging="0" w:start="0"/>
        <w:rPr/>
      </w:pPr>
      <w:r>
        <w:rPr/>
        <w:t>What Were “Spot Market Bilateral Sales” in the Pacific Northwest as Defined in the Pacific Northwest Electric Power Planning and Conservation Act, 16 U.S.C. § 839a(14), During the Period Beginning December 25, 2000 Through June 20, 2001?</w:t>
      </w:r>
    </w:p>
    <w:p>
      <w:pPr>
        <w:pStyle w:val="OutlineStyle3"/>
        <w:numPr>
          <w:ilvl w:val="2"/>
          <w:numId w:val="8"/>
        </w:numPr>
        <w:tabs>
          <w:tab w:val="left" w:pos="2160" w:leader="none"/>
        </w:tabs>
        <w:rPr/>
      </w:pPr>
      <w:r>
        <w:rPr/>
        <w:t>The “spot market” is the market for transactions of 24 hours or less for immediate delivery; that is, deliveries occur within 24 hours or less after the transaction has been negotiated, with exceptions for weekends, holidays and WSCC scheduler conferences.</w:t>
      </w:r>
    </w:p>
    <w:p>
      <w:pPr>
        <w:pStyle w:val="BodyText"/>
        <w:rPr/>
      </w:pPr>
      <w:r>
        <w:rPr/>
        <w:t xml:space="preserve">Although the series of orders issued in the </w:t>
      </w:r>
      <w:r>
        <w:rPr>
          <w:i/>
          <w:iCs/>
        </w:rPr>
        <w:t>San Diego</w:t>
      </w:r>
      <w:r>
        <w:rPr/>
        <w:t xml:space="preserve"> docket consistently define the spot market as the market for transaction of 24 hours or less, the July 25 Order questions whether that the definition of spot market for the PNW may be different.</w:t>
      </w:r>
      <w:r>
        <w:rPr>
          <w:rStyle w:val="FootnoteCharacters"/>
          <w:rStyle w:val="FootnoteReference"/>
        </w:rPr>
        <w:footnoteReference w:id="23"/>
      </w:r>
      <w:r>
        <w:rPr/>
        <w:t xml:space="preserve">  The evidence establishes that the appropriate definition of “spot market” in the PNW means one-time contracts for </w:t>
      </w:r>
      <w:r>
        <w:rPr>
          <w:i/>
          <w:iCs/>
        </w:rPr>
        <w:t>immediate</w:t>
      </w:r>
      <w:r>
        <w:rPr/>
        <w:t xml:space="preserve"> delivery of electrical energy.  An overwhelming majority of market participants have testified that “only transactions of no longer than 24 hours in length, entered into no more than 24 hours in advance [of delivery] . . . are spot market transactions.”  Exh. AU-1 at 4:62-64; </w:t>
      </w:r>
      <w:r>
        <w:rPr>
          <w:i/>
        </w:rPr>
        <w:t xml:space="preserve">see also </w:t>
      </w:r>
      <w:r>
        <w:rPr>
          <w:iCs/>
        </w:rPr>
        <w:t xml:space="preserve">Exh. </w:t>
      </w:r>
      <w:r>
        <w:rPr/>
        <w:t>ENR-1 at 8:22</w:t>
        <w:noBreakHyphen/>
        <w:t>24, 9:1</w:t>
        <w:noBreakHyphen/>
        <w:t>2; Exhs. ENR-26 through [ENR-29].</w:t>
      </w:r>
    </w:p>
    <w:p>
      <w:pPr>
        <w:pStyle w:val="BodyText"/>
        <w:rPr/>
      </w:pPr>
      <w:r>
        <w:rPr/>
        <w:t>In the PNW “spot market” means the sale of power for immediate delivery:</w:t>
      </w:r>
    </w:p>
    <w:p>
      <w:pPr>
        <w:pStyle w:val="ListBullet4"/>
        <w:numPr>
          <w:ilvl w:val="0"/>
          <w:numId w:val="5"/>
        </w:numPr>
        <w:rPr/>
      </w:pPr>
      <w:r>
        <w:rPr/>
        <w:t>“</w:t>
      </w:r>
      <w:r>
        <w:rPr/>
        <w:t>The definition of ‘spot’ transaction is typically defined to be transactions for immediate delivery, at prevailing prices.”  Exh. ENR-10 at 6:7</w:t>
        <w:noBreakHyphen/>
        <w:t>8; 8:13</w:t>
        <w:noBreakHyphen/>
        <w:t>16.</w:t>
      </w:r>
    </w:p>
    <w:p>
      <w:pPr>
        <w:pStyle w:val="ListBullet4"/>
        <w:numPr>
          <w:ilvl w:val="0"/>
          <w:numId w:val="5"/>
        </w:numPr>
        <w:rPr/>
      </w:pPr>
      <w:r>
        <w:rPr/>
        <w:t>“</w:t>
      </w:r>
      <w:r>
        <w:rPr/>
        <w:t>[A] spot market transaction in the [Pacific Northwest] region [is] a transaction with a duration of 24 hours or less that is prescheduled no more than 24 hours in advance of delivery.” Exh. AE-1 at 14:21</w:t>
        <w:noBreakHyphen/>
        <w:t>23.</w:t>
      </w:r>
    </w:p>
    <w:p>
      <w:pPr>
        <w:pStyle w:val="ListBullet4"/>
        <w:numPr>
          <w:ilvl w:val="0"/>
          <w:numId w:val="5"/>
        </w:numPr>
        <w:rPr/>
      </w:pPr>
      <w:r>
        <w:rPr/>
        <w:t>“</w:t>
      </w:r>
      <w:r>
        <w:rPr/>
        <w:t>[S]pot transactions are the result of a purchaser's need to buy elasticity on an immediate real-time basis.  Thus, spot transactions have been for durations of 24 hours or less and have been consummated almost on an immediate basis. . .The only exception that is commonly accepted in the Western Systems Coordinating Council is in relation to the daily spot market.  That exception occurs when the consummation of the transaction is intended to happen immediately after a weekend day, holiday, or a WSCC scheduler conference.”  Exh. IE-1 at 11:19-12:8.</w:t>
      </w:r>
    </w:p>
    <w:p>
      <w:pPr>
        <w:pStyle w:val="ListBullet4"/>
        <w:numPr>
          <w:ilvl w:val="0"/>
          <w:numId w:val="5"/>
        </w:numPr>
        <w:rPr/>
      </w:pPr>
      <w:r>
        <w:rPr/>
        <w:t>Spot market transactions are “[t]ransactions entered into with a duration of 24 hours or less . . . In the PNW and [WSCC]  region generally, the spot market is limited to 24 hours sales.  I am aware of no industry standard that considers transactions longer than 24 hours to be spot market transactions.”  Exh. RED-1 at 7:13</w:t>
        <w:noBreakHyphen/>
        <w:t>20.</w:t>
      </w:r>
    </w:p>
    <w:p>
      <w:pPr>
        <w:pStyle w:val="ListBullet4"/>
        <w:numPr>
          <w:ilvl w:val="0"/>
          <w:numId w:val="5"/>
        </w:numPr>
        <w:rPr/>
      </w:pPr>
      <w:r>
        <w:rPr/>
        <w:t>“</w:t>
      </w:r>
      <w:r>
        <w:rPr/>
        <w:t>The spot markets for the bilateral trading of electricity are understood to be the real</w:t>
        <w:noBreakHyphen/>
        <w:t>time and prescheduled or day</w:t>
        <w:noBreakHyphen/>
        <w:t>ahead markets.”  Exh. ENR-1 at 8:22</w:t>
        <w:noBreakHyphen/>
        <w:t>9:2.</w:t>
      </w:r>
    </w:p>
    <w:p>
      <w:pPr>
        <w:pStyle w:val="ListBullet4"/>
        <w:numPr>
          <w:ilvl w:val="0"/>
          <w:numId w:val="5"/>
        </w:numPr>
        <w:rPr/>
      </w:pPr>
      <w:r>
        <w:rPr/>
        <w:t>“</w:t>
      </w:r>
      <w:r>
        <w:rPr/>
        <w:t>The key concept in the definition of spot markets and prices is ‘immediacy.’” Exh. ENR-25 at 4.</w:t>
      </w:r>
    </w:p>
    <w:p>
      <w:pPr>
        <w:pStyle w:val="ListBullet4"/>
        <w:numPr>
          <w:ilvl w:val="0"/>
          <w:numId w:val="5"/>
        </w:numPr>
        <w:rPr/>
      </w:pPr>
      <w:r>
        <w:rPr/>
        <w:t>Spot market transactions “are entered the day-of or day-prior to delivery … are 24 hours or less … provide for deliveries in a specific hour or hours up to 24 hours in advance … [and] … [s]pot market contracts almost always go to delivery.”  Exh. PWX-1 at 24:9-19.</w:t>
      </w:r>
    </w:p>
    <w:p>
      <w:pPr>
        <w:pStyle w:val="BodyText"/>
        <w:rPr>
          <w:b/>
          <w:bCs/>
        </w:rPr>
      </w:pPr>
      <w:r>
        <w:rPr/>
        <w:t xml:space="preserve">The correctness of this definition is evidenced by the multitude of similar industry definitions, as well as the definition used by the Commission and its Staff.  As the evidence shows, NYMEX, Bonneville Power Administration, the California </w:t>
      </w:r>
      <w:r>
        <w:rPr>
          <w:caps/>
        </w:rPr>
        <w:t xml:space="preserve">ISO, </w:t>
      </w:r>
      <w:r>
        <w:rPr/>
        <w:t xml:space="preserve">and the Canadian Electricity Trends and Issues all define “spot market” in terms of sales for “immediate delivery.”  </w:t>
      </w:r>
      <w:r>
        <w:rPr>
          <w:i/>
        </w:rPr>
        <w:t xml:space="preserve">See </w:t>
      </w:r>
      <w:r>
        <w:rPr>
          <w:iCs/>
        </w:rPr>
        <w:t xml:space="preserve">Exh. </w:t>
      </w:r>
      <w:r>
        <w:rPr/>
        <w:t>S-1 at 13:3</w:t>
        <w:noBreakHyphen/>
        <w:t>15:8; Exh. SMD-1 at 6:3</w:t>
        <w:noBreakHyphen/>
        <w:t xml:space="preserve">7:15; Exhs. ENR-26 through [ENR-29]. </w:t>
      </w:r>
      <w:r>
        <w:rPr>
          <w:i/>
        </w:rPr>
        <w:t xml:space="preserve"> </w:t>
      </w:r>
      <w:r>
        <w:rPr/>
        <w:t>The Commission, itself in several orders in the EL00</w:t>
        <w:noBreakHyphen/>
        <w:t>95 docket, has defined “spot market” as sales that are 24 hours or less, which are entered into the day of or day prior to delivery.</w:t>
      </w:r>
      <w:r>
        <w:rPr>
          <w:rStyle w:val="FootnoteCharacters"/>
          <w:rStyle w:val="FootnoteReference"/>
        </w:rPr>
        <w:footnoteReference w:id="24"/>
      </w:r>
      <w:r>
        <w:rPr/>
        <w:t xml:space="preserve"> </w:t>
      </w:r>
      <w:r>
        <w:rPr>
          <w:i/>
          <w:iCs/>
        </w:rPr>
        <w:t xml:space="preserve"> </w:t>
      </w:r>
      <w:r>
        <w:rPr/>
        <w:t xml:space="preserve">Furthermore, the Commission’s Staff has previously defined “spot market” for purposes of electricity sales as “[a] market where goods are traded for immediate delivery.”  Exh. TFG-26; </w:t>
      </w:r>
      <w:r>
        <w:rPr>
          <w:i/>
        </w:rPr>
        <w:t>see also</w:t>
      </w:r>
      <w:r>
        <w:rPr/>
        <w:t xml:space="preserve"> Tr. at 1222:25</w:t>
        <w:noBreakHyphen/>
        <w:t xml:space="preserve">1230:8.  </w:t>
      </w:r>
    </w:p>
    <w:p>
      <w:pPr>
        <w:pStyle w:val="BodyText"/>
        <w:rPr/>
      </w:pPr>
      <w:r>
        <w:rPr/>
        <w:t>Thus, “immediate delivery” is an important criterion of many spot markets. As noted by Mr. Adamson, electricity is deliverable immediately, unlike other commodities such as coal, which is typically shipped in vast quantities by train, barge or ship.  Exh. ENR-25 at 3:</w:t>
      </w:r>
    </w:p>
    <w:p>
      <w:pPr>
        <w:pStyle w:val="BodyText"/>
        <w:spacing w:lineRule="auto" w:line="240"/>
        <w:rPr/>
      </w:pPr>
      <w:r>
        <w:rPr/>
        <w:t xml:space="preserve">Electricity is delivered simultaneously with production, via the high voltage </w:t>
        <w:tab/>
        <w:t xml:space="preserve">transmission system.  For this reason, spot market definitions for electricity are </w:t>
        <w:tab/>
        <w:t xml:space="preserve">generally defined (such as the Real-Time Market of the California ISO referred to by </w:t>
        <w:tab/>
        <w:t xml:space="preserve">Ms. Tingle-Stewart at 16) as operating on very short-time horizons.  As delivery is </w:t>
        <w:tab/>
        <w:t xml:space="preserve">instantaneous in electricity, the defining characteristic of electricity spot market </w:t>
        <w:tab/>
        <w:t xml:space="preserve">transactions is the timing of scheduling of transactions.  The underlying scheduling </w:t>
        <w:tab/>
        <w:t xml:space="preserve">process for delivery in the PNW operates on a daily basis.  This supports my </w:t>
        <w:tab/>
        <w:t xml:space="preserve">fundamental conclusion that a 24-hour or less ahead (with weekend, holiday and </w:t>
        <w:tab/>
        <w:t xml:space="preserve">WSCC scheduler conference exceptions) definition is the appropriate one for the </w:t>
        <w:tab/>
        <w:t xml:space="preserve">PNW bilateral spot market in electricity.  </w:t>
      </w:r>
    </w:p>
    <w:p>
      <w:pPr>
        <w:pStyle w:val="BodyText"/>
        <w:spacing w:lineRule="auto" w:line="240"/>
        <w:rPr/>
      </w:pPr>
      <w:r>
        <w:rPr/>
      </w:r>
    </w:p>
    <w:p>
      <w:pPr>
        <w:pStyle w:val="BodyText"/>
        <w:spacing w:lineRule="auto" w:line="240"/>
        <w:ind w:hanging="0" w:end="0"/>
        <w:rPr/>
      </w:pPr>
      <w:r>
        <w:rPr/>
        <w:t>Exh. ENR-25 at 3.</w:t>
      </w:r>
    </w:p>
    <w:p>
      <w:pPr>
        <w:pStyle w:val="BodyText"/>
        <w:spacing w:lineRule="auto" w:line="240"/>
        <w:rPr/>
      </w:pPr>
      <w:r>
        <w:rPr/>
      </w:r>
    </w:p>
    <w:p>
      <w:pPr>
        <w:pStyle w:val="BodyText"/>
        <w:rPr/>
      </w:pPr>
      <w:r>
        <w:rPr/>
        <w:t>Cross</w:t>
        <w:noBreakHyphen/>
        <w:t xml:space="preserve">examination of witnesses supporting this view only bolsters this point.  For example, Mr. Adamson testified:  </w:t>
      </w:r>
    </w:p>
    <w:p>
      <w:pPr>
        <w:pStyle w:val="Quote"/>
        <w:rPr/>
      </w:pPr>
      <w:r>
        <w:rPr/>
        <w:t>[M]y judgment about the appropriate definition of the spot market really had two components, an economic one and a practical one….  In terms of the practical one,. . .how I tried to verify my understanding of the market, . . . I conducted a telephone survey with four traders, [and] [t]here’s also kind of an e</w:t>
        <w:noBreakHyphen/>
        <w:t>mail survey that went out.  . . . [From that,] it is my conclusion, as I describe in my rebuttal testimony on page 4, that the 24-hour</w:t>
        <w:noBreakHyphen/>
        <w:t>or</w:t>
        <w:noBreakHyphen/>
        <w:t xml:space="preserve">less market meets the correct economic definition of a spot market.  </w:t>
      </w:r>
    </w:p>
    <w:p>
      <w:pPr>
        <w:pStyle w:val="BodyText"/>
        <w:ind w:hanging="0" w:end="0"/>
        <w:rPr/>
      </w:pPr>
      <w:r>
        <w:rPr/>
        <w:t>Tr. at 1112:10-1113:3.  Likewise, Mr. Van Vactor testified:</w:t>
      </w:r>
    </w:p>
    <w:p>
      <w:pPr>
        <w:pStyle w:val="Quote"/>
        <w:rPr/>
      </w:pPr>
      <w:r>
        <w:rPr/>
        <w:t>[T]he opinion we’re trying to offer [about the definition of spot market] is based on our experience in other markets, our experience in other regions and so on and so forth, [all of which] gives a fairly objective definition of what the spot market is.  And it is by and large, across a whole set of markets, a daily market.  It is not a year-long [or] month-long market.</w:t>
      </w:r>
    </w:p>
    <w:p>
      <w:pPr>
        <w:pStyle w:val="BodyText"/>
        <w:ind w:hanging="0" w:end="0"/>
        <w:rPr/>
      </w:pPr>
      <w:r>
        <w:rPr/>
        <w:t>Tr. at 1116:9</w:t>
        <w:noBreakHyphen/>
        <w:t>16.  When pressed further about the differing view of the Bonneville Power Administration's (“BPA”) witness, Mr. Adamson responded:</w:t>
      </w:r>
    </w:p>
    <w:p>
      <w:pPr>
        <w:pStyle w:val="Quote"/>
        <w:rPr/>
      </w:pPr>
      <w:r>
        <w:rPr/>
        <w:t>I do not [agree with the definition of spot market transactions used by Stephen Oliver, witness for the BPA].  Mr. Oliver would treat within-the-month and balance-of-month transactions [as] spot transactions, claiming these are not discretionary in nature….  However, this distorts the definition of spot which centers [not] on whether … the transaction is discretionary but rather whether or not [the transaction] is for immediate delivery.</w:t>
      </w:r>
    </w:p>
    <w:p>
      <w:pPr>
        <w:pStyle w:val="afterquote"/>
        <w:rPr/>
      </w:pPr>
      <w:r>
        <w:rPr/>
        <w:t>Tr. at 1118:14</w:t>
        <w:noBreakHyphen/>
        <w:t>20.</w:t>
      </w:r>
    </w:p>
    <w:p>
      <w:pPr>
        <w:pStyle w:val="BodyText"/>
        <w:rPr/>
      </w:pPr>
      <w:r>
        <w:rPr/>
        <w:t xml:space="preserve">In contrast to the testimony that “spot market” concerns sales for immediate delivery, the testimony of the claimants’ witnesses was unsupported by any structural justification, trade practice or practical distinction.  </w:t>
      </w:r>
      <w:r>
        <w:rPr>
          <w:i/>
          <w:iCs/>
        </w:rPr>
        <w:t>See, e.</w:t>
      </w:r>
      <w:r>
        <w:rPr>
          <w:i/>
        </w:rPr>
        <w:t xml:space="preserve">g., </w:t>
      </w:r>
      <w:r>
        <w:rPr/>
        <w:t>Tr. at 576:4</w:t>
        <w:noBreakHyphen/>
        <w:t>14 (under definition espoused by City of Seattle, “all of Seattle City Light’s transactions between December 25, 2000 and June 19, 2001 are considered spot market … purchase transactions”).  Even Ms. Tingle-Stewart, the Staff’s witness who advocated an expansive definition of “spot market,” stated on cross</w:t>
        <w:noBreakHyphen/>
        <w:t>examination that “spot market” for purposes of this proceeding cannot, by definition, include all sales transactions.  Tr. at 1214:22</w:t>
        <w:noBreakHyphen/>
        <w:t>1215:22.  Ms. Tingle-Stewart further stated that “typically [a] spot market is usually 24 hours or less”and identified no structural distinctions of the PNW markets that would justify a definition different than the “typical” one.  Tr. at 1215:20-22.</w:t>
      </w:r>
    </w:p>
    <w:p>
      <w:pPr>
        <w:pStyle w:val="BodyText"/>
        <w:rPr/>
      </w:pPr>
      <w:r>
        <w:rPr/>
        <w:t>If the Commission had intended to conduct an inquiry into the prices charged for all transactions in the PNW, it could readily have done so; instead, it limited the inquiry to “spot market” transactions.  Its guidance should not now be discarded to sweep in nearly all transactions under the rubric of an artificially expanded definition.  The testimony of Dr. Tabors shows that by expanding the definition of spot market to include contracts of a year or more, these claimants increased their potential claim by a magnitude of more than ten:</w:t>
      </w:r>
    </w:p>
    <w:p>
      <w:pPr>
        <w:pStyle w:val="Quote"/>
        <w:rPr/>
      </w:pPr>
      <w:r>
        <w:rPr/>
        <w:t>My Exhibit PWX-13 quantifies the impact of applying this definition [of spot market] to the refund claims of … NPG entities who are serving load in the Northwest.  This exhibit shows that 94% of these NPG claims are eliminated if the proper definition of a spot market transaction is applied as a screen to their purchase data during the potential refund period (December 25, 2000 through June 20, 2001).  This reduces their total claim from $460,668,382 to $25,410,505.</w:t>
      </w:r>
    </w:p>
    <w:p>
      <w:pPr>
        <w:pStyle w:val="BodyText"/>
        <w:ind w:hanging="0" w:end="0"/>
        <w:rPr/>
      </w:pPr>
      <w:r>
        <w:rPr/>
        <w:t xml:space="preserve">Exh. PWX-12 at 5:12-18; </w:t>
      </w:r>
      <w:r>
        <w:rPr>
          <w:i/>
        </w:rPr>
        <w:t xml:space="preserve">see also </w:t>
      </w:r>
      <w:r>
        <w:rPr/>
        <w:t>Exh. TFG-23A.  Dr. Tabors again notes this correlation:</w:t>
      </w:r>
    </w:p>
    <w:p>
      <w:pPr>
        <w:pStyle w:val="Quote"/>
        <w:rPr/>
      </w:pPr>
      <w:r>
        <w:rPr/>
        <w:t xml:space="preserve">It is interesting to note that only 1% of Seattle City Light’s proposed refunds are attributable to its spot purchases and well less than 40% of Tacoma’s refunds are due to its spot purchases.  </w:t>
      </w:r>
      <w:r>
        <w:rPr>
          <w:i/>
          <w:iCs/>
        </w:rPr>
        <w:t>Thus, the bulk of the refunds they are seeking are attributable to the prices they paid under their forward contracts!</w:t>
      </w:r>
    </w:p>
    <w:p>
      <w:pPr>
        <w:pStyle w:val="BodyText"/>
        <w:ind w:hanging="0" w:end="0"/>
        <w:rPr/>
      </w:pPr>
      <w:r>
        <w:rPr/>
        <w:t>Exh. PWX-1 at 23:6-9 (emphasis in original).  Moreover, the cross-examination of NPG witness Ms. Green revealed the existence of important differences between daily market transactions and month-ahead or longer transactions:  “Under traditional practice, none of the hourly transactions are [sic] recorded on paper.  There simply isn’t time to deal with that…. [In contrast,] monthly deals do have written confirmation.”  Tr. at 582:14-25.  Ms. Green also admitted that the City of Seattle has different personnel assigned to the “forward” desk to conduct these different functions.  Tr. at 580:9</w:t>
        <w:noBreakHyphen/>
        <w:t>581:19.  The Deputy Director of California Department of Water Resources, who professed “quite extensive” on-the-job experience, defined spot market as “normally 24 hours or less.”  Tr. at 986:9-10; 898:14</w:t>
        <w:noBreakHyphen/>
        <w:t xml:space="preserve">18; </w:t>
      </w:r>
      <w:r>
        <w:rPr>
          <w:i/>
          <w:iCs/>
        </w:rPr>
        <w:t>see also</w:t>
      </w:r>
      <w:r>
        <w:rPr/>
        <w:t xml:space="preserve"> </w:t>
      </w:r>
      <w:r>
        <w:rPr>
          <w:i/>
        </w:rPr>
        <w:t>id.</w:t>
      </w:r>
      <w:r>
        <w:rPr/>
        <w:t xml:space="preserve"> at 902:21</w:t>
        <w:noBreakHyphen/>
        <w:t>904:3; 916:6</w:t>
        <w:noBreakHyphen/>
        <w:t xml:space="preserve">917:3.  </w:t>
      </w:r>
    </w:p>
    <w:p>
      <w:pPr>
        <w:pStyle w:val="BodyText"/>
        <w:rPr/>
      </w:pPr>
      <w:r>
        <w:rPr/>
        <w:t>Dr. Tabors explained that spot market contracts and forward contracts have different characteristics.  He corrected the Staff’s contention that spot market could mean up to one year:</w:t>
      </w:r>
    </w:p>
    <w:p>
      <w:pPr>
        <w:pStyle w:val="Quote"/>
        <w:rPr/>
      </w:pPr>
      <w:r>
        <w:rPr/>
        <w:t xml:space="preserve">Staff has focused on price to the exclusion of all other contract terms and conditions, such as quantity and availability of supply.  For example, as I stated in my responsive testimony, the fact that a forward contract has an indexed price does not serve to convert the forward contract into a spot contract.  </w:t>
      </w:r>
    </w:p>
    <w:p>
      <w:pPr>
        <w:pStyle w:val="afterquote"/>
        <w:rPr/>
      </w:pPr>
      <w:r>
        <w:rPr/>
        <w:t>Exh. PWX-12 at 9:13-16.</w:t>
      </w:r>
    </w:p>
    <w:p>
      <w:pPr>
        <w:pStyle w:val="BodyText"/>
        <w:rPr/>
      </w:pPr>
      <w:r>
        <w:rPr/>
        <w:t>Mr. Stelzer, trading manager of Avista Energy's power trading activities, explained that “the bilateral wholesale electric market is broken down into the term (or forward) market and the spot market which encompasses the day-ahead and real-time market.” Exh. AE-1 at 7:15-17.  He described the types of products in the forward market which are n ot considered spot but which are for delivery terms of greater than 24 hours.  “This [forward] market includes:  weekly products, balance-of-the-month products, monthly products, quarterly products, annual products and multi-year products.”  Exh. AE-1 at 7:21-22.</w:t>
      </w:r>
    </w:p>
    <w:p>
      <w:pPr>
        <w:pStyle w:val="BodyText"/>
        <w:rPr/>
      </w:pPr>
      <w:r>
        <w:rPr/>
        <w:t xml:space="preserve">Dr. Tabors' testimony illustrated the significant differences between spot market transactions and forward contracts:  </w:t>
      </w:r>
    </w:p>
    <w:p>
      <w:pPr>
        <w:pStyle w:val="Quote"/>
        <w:rPr/>
      </w:pPr>
      <w:r>
        <w:rPr/>
        <w:t xml:space="preserve">A spot market bilateral contract for electricity differs from a forward market bilateral contract for electricity in many respects, and therefore represents a different “product” from the perspective of both a buyer and a seller.  These differences include: </w:t>
      </w:r>
    </w:p>
    <w:p>
      <w:pPr>
        <w:pStyle w:val="ListBullet4"/>
        <w:numPr>
          <w:ilvl w:val="0"/>
          <w:numId w:val="5"/>
        </w:numPr>
        <w:rPr/>
      </w:pPr>
      <w:r>
        <w:rPr/>
        <w:t>Timing of the contractual commitment.  Spot market transactions are entered the day-of or day-prior to delivery, forward market transactions may be entered days to years prior to delivery.</w:t>
      </w:r>
    </w:p>
    <w:p>
      <w:pPr>
        <w:pStyle w:val="ListBullet4"/>
        <w:numPr>
          <w:ilvl w:val="0"/>
          <w:numId w:val="5"/>
        </w:numPr>
        <w:rPr/>
      </w:pPr>
      <w:r>
        <w:rPr/>
        <w:t>Duration of the commitment.  Spot market transactions are 24 hours or less, forward market transactions may be for multiple years.</w:t>
      </w:r>
    </w:p>
    <w:p>
      <w:pPr>
        <w:pStyle w:val="ListBullet4"/>
        <w:numPr>
          <w:ilvl w:val="0"/>
          <w:numId w:val="5"/>
        </w:numPr>
        <w:rPr/>
      </w:pPr>
      <w:r>
        <w:rPr/>
        <w:t>The hours in which electricity will be delivered.  Spot market transactions provide for deliveries in a specific hour or hours up to 24 hours in advance.  Forward market transactions provide for deliveries in blocks of heavy load hours (HLH), light load hours (LLH) or all hours (flat) for durations of balance of month, month, quarter, annual or multiple years.</w:t>
      </w:r>
    </w:p>
    <w:p>
      <w:pPr>
        <w:pStyle w:val="ListBullet4"/>
        <w:numPr>
          <w:ilvl w:val="0"/>
          <w:numId w:val="5"/>
        </w:numPr>
        <w:rPr/>
      </w:pPr>
      <w:r>
        <w:rPr/>
        <w:t>[Physical Delivery.]  Spot market contracts almost always go to delivery whereas forward contracts can be, and frequently are, traded several times prior to delivery.  This ability to trade forward contracts gives their buyers the ability to continuously “fine tune” their portfolio of advance supplies to match changing expectations regarding their actual requirements and the availability of other resources to meet those requirements.</w:t>
      </w:r>
    </w:p>
    <w:p>
      <w:pPr>
        <w:pStyle w:val="Quote"/>
        <w:rPr/>
      </w:pPr>
      <w:r>
        <w:rPr/>
        <w:t xml:space="preserve">As a result of these key differences, the value of electricity under each type of transaction will be different.  The Commission recognized the differences in value between spot market transactions and forward market transactions in its December 15 Order.  Thus, it is unlikely that in any given hour a buyer with a portfolio of contracts will be paying the same price for electricity bought under a bilateral spot market contract as it is paying for electricity bought under a bilateral forward contract, even if it is buying the identical quantity in each market in a given hour from the same seller.  </w:t>
      </w:r>
    </w:p>
    <w:p>
      <w:pPr>
        <w:pStyle w:val="afterquote"/>
        <w:rPr/>
      </w:pPr>
      <w:r>
        <w:rPr/>
        <w:t>Exh. PWX-1 at 24-25.  Mr. Stelzer further distinguished a spot market contract from a forward contract with a pricing mechanism indexed or referrenced to spot prices:</w:t>
      </w:r>
    </w:p>
    <w:p>
      <w:pPr>
        <w:pStyle w:val="Quote"/>
        <w:rPr/>
      </w:pPr>
      <w:r>
        <w:rPr/>
        <w:t xml:space="preserve">Volume and other essential terms in an indexed contract are decided on a long-term basis and the buyer has simply and voluntarily chosen a pricing option (one among many) in a long-term contract which has some reference to the spot market.  Where a buyer elects to have its purchases under a long-term contract indexed to the spot market, the buyer may believe that the price for this product in the forward market is higher than what the price of the spot market will be when the electricity is actually delivered.  Alternatively, the buyer may not be concerned so much about price as it is about electricity not being available when it comes time to buy . . . and elects to lock-in delivery under the forward contract.  </w:t>
      </w:r>
    </w:p>
    <w:p>
      <w:pPr>
        <w:pStyle w:val="Quote"/>
        <w:ind w:start="0" w:end="720"/>
        <w:rPr/>
      </w:pPr>
      <w:r>
        <w:rPr/>
        <w:t>Exh. AE-1 at 10.</w:t>
      </w:r>
    </w:p>
    <w:p>
      <w:pPr>
        <w:pStyle w:val="BodyText"/>
        <w:rPr>
          <w:b/>
          <w:bCs/>
        </w:rPr>
      </w:pPr>
      <w:r>
        <w:rPr/>
        <w:t xml:space="preserve">Finally, Mr. Oliver from BPA, in describing the contract underlying the refund claim of Northern Wasco County People’s Utility District (“Northern Wasco”) explains:  </w:t>
      </w:r>
    </w:p>
    <w:p>
      <w:pPr>
        <w:pStyle w:val="BodyText"/>
        <w:spacing w:lineRule="auto" w:line="240"/>
        <w:ind w:hanging="0" w:start="720" w:end="0"/>
        <w:rPr/>
      </w:pPr>
      <w:r>
        <w:rPr/>
        <w:t>Northern Wasco elected . . . to serve approximately 30% of its firm load needs through a surplus firm power sale agreement providing for the purchase of a cost-based product that had a price tied to the Mid-Columbia Index . . . because they thought this rate would be lower than the cost-based federal power over the long run.  These contracts are not spot market transactions.  They are long-term firm power contracts that were indexed to spot market, at the election of Northern Wasco.</w:t>
      </w:r>
    </w:p>
    <w:p>
      <w:pPr>
        <w:pStyle w:val="BodyText"/>
        <w:spacing w:lineRule="auto" w:line="240"/>
        <w:ind w:hanging="0" w:end="0"/>
        <w:rPr/>
      </w:pPr>
      <w:r>
        <w:rPr/>
      </w:r>
    </w:p>
    <w:p>
      <w:pPr>
        <w:pStyle w:val="BodyText"/>
        <w:spacing w:lineRule="auto" w:line="240"/>
        <w:ind w:hanging="0" w:end="0"/>
        <w:rPr/>
      </w:pPr>
      <w:r>
        <w:rPr/>
        <w:t>Exh. BPA-1 at 8.</w:t>
      </w:r>
    </w:p>
    <w:p>
      <w:pPr>
        <w:pStyle w:val="BodyText"/>
        <w:spacing w:lineRule="auto" w:line="240"/>
        <w:ind w:hanging="0" w:end="0"/>
        <w:rPr/>
      </w:pPr>
      <w:r>
        <w:rPr/>
      </w:r>
    </w:p>
    <w:p>
      <w:pPr>
        <w:pStyle w:val="BodyText"/>
        <w:rPr/>
      </w:pPr>
      <w:r>
        <w:rPr/>
        <w:t xml:space="preserve">Evidence of record confirms the customary and proper definition of “spot market.” It means sales for immediate delivery; it is distinct from other products.  Immediate delivery in the PNW is defined by scheduling practices.  Thus, the evidence demonstrates that for the PNW wholesale electrical market, “spot market” sales are those sales made 24 hours or less in advance of delivery for a duration of 24 hours or less, except for holidays, weekends or scheduling coordinator conferences, in which cases the sale may be made 48 hours in advance of delivery, but delivery is nonetheless scheduled immediately.  No other reasonable or credible definition has been established.  </w:t>
      </w:r>
    </w:p>
    <w:p>
      <w:pPr>
        <w:pStyle w:val="OutlineStyle3"/>
        <w:numPr>
          <w:ilvl w:val="2"/>
          <w:numId w:val="8"/>
        </w:numPr>
        <w:tabs>
          <w:tab w:val="left" w:pos="2160" w:leader="none"/>
        </w:tabs>
        <w:rPr/>
      </w:pPr>
      <w:r>
        <w:rPr/>
        <w:t>“</w:t>
      </w:r>
      <w:r>
        <w:rPr/>
        <w:t>Book-Out” transactions are outside the scope of this proceeding.</w:t>
      </w:r>
    </w:p>
    <w:p>
      <w:pPr>
        <w:pStyle w:val="BodyText"/>
        <w:rPr/>
      </w:pPr>
      <w:r>
        <w:rPr/>
        <w:t>As the spot market includes only transactions for immediate delivery, by definition the spot market cannot include financial “book-out” transactions.  Book-out transactions are transactions that, for a variety of reasons (such as the presence of transmission constraints or offsetting purchase and sale transactions), do not result in physical delivery of electricity.</w:t>
      </w:r>
      <w:r>
        <w:rPr>
          <w:rStyle w:val="FootnoteCharacters"/>
          <w:rStyle w:val="FootnoteReference"/>
        </w:rPr>
        <w:footnoteReference w:id="25"/>
      </w:r>
      <w:r>
        <w:rPr/>
        <w:t xml:space="preserve">  These transactions are instead settled financially.</w:t>
      </w:r>
      <w:r>
        <w:rPr>
          <w:rStyle w:val="FootnoteCharacters"/>
          <w:rStyle w:val="FootnoteReference"/>
        </w:rPr>
        <w:footnoteReference w:id="26"/>
      </w:r>
      <w:r>
        <w:rPr/>
        <w:t xml:space="preserve">  Since book-outs do not result in the physical delivery of electricity at any time, much less in the immediate spot market, such transactions cannot fall within the definition of spot market or the scope of this proceeding.</w:t>
      </w:r>
    </w:p>
    <w:p>
      <w:pPr>
        <w:pStyle w:val="BodyText"/>
        <w:rPr/>
      </w:pPr>
      <w:r>
        <w:rPr/>
        <w:t>The attempt by refund proponents to include book-out transactions in their claim for refunds</w:t>
      </w:r>
      <w:r>
        <w:rPr>
          <w:rStyle w:val="FootnoteCharacters"/>
          <w:rStyle w:val="FootnoteReference"/>
        </w:rPr>
        <w:footnoteReference w:id="27"/>
      </w:r>
      <w:r>
        <w:rPr/>
        <w:t xml:space="preserve"> cannot be reconciled with clear precedent that “book-out” transactions are not even subject to the Federal Power Act.  Commission precedent on this issue is clear – the Commission has asserted jurisdiction only over those transactions that result in the physical delivery of electricity.</w:t>
      </w:r>
      <w:r>
        <w:rPr>
          <w:rStyle w:val="FootnoteCharacters"/>
          <w:rStyle w:val="FootnoteReference"/>
        </w:rPr>
        <w:footnoteReference w:id="28"/>
      </w:r>
      <w:r>
        <w:rPr/>
        <w:t xml:space="preserve">  Book-outs do not, and, therefore, are not subject to Commission jurisdiction.</w:t>
      </w:r>
      <w:r>
        <w:rPr>
          <w:rStyle w:val="FootnoteCharacters"/>
          <w:rStyle w:val="FootnoteReference"/>
        </w:rPr>
        <w:footnoteReference w:id="29"/>
      </w:r>
      <w:r>
        <w:rPr/>
        <w:t xml:space="preserve">  In apparent recognition of this lack of jurisdiction, the Presiding Judge's August 9, 2001 Template Order did not require parties to include book-out transactions in the August 16 data submissions.</w:t>
      </w:r>
      <w:r>
        <w:rPr>
          <w:rStyle w:val="FootnoteCharacters"/>
          <w:rStyle w:val="FootnoteReference"/>
        </w:rPr>
        <w:footnoteReference w:id="30"/>
      </w:r>
      <w:r>
        <w:rPr/>
        <w:t xml:space="preserve">  Accordingly, no claim of refunds for book-out transactions is  properly before the Commission.</w:t>
      </w:r>
    </w:p>
    <w:p>
      <w:pPr>
        <w:pStyle w:val="OutlineStyle3"/>
        <w:numPr>
          <w:ilvl w:val="2"/>
          <w:numId w:val="8"/>
        </w:numPr>
        <w:rPr/>
      </w:pPr>
      <w:r>
        <w:rPr/>
        <w:t>The Pacific Northwest is the area defined in the Pacific Power Planning and Conservation Act.</w:t>
      </w:r>
    </w:p>
    <w:p>
      <w:pPr>
        <w:pStyle w:val="BodyText"/>
        <w:rPr/>
      </w:pPr>
      <w:r>
        <w:rPr/>
        <w:t>Both the evidence and the issues stipulated establish that the region specified by the Pacific Northwest Electric Power Planning and Conservation Act is the pertinent geographic market.  That market is:</w:t>
      </w:r>
    </w:p>
    <w:p>
      <w:pPr>
        <w:pStyle w:val="Quote"/>
        <w:rPr/>
      </w:pPr>
      <w:r>
        <w:rPr/>
        <w:tab/>
        <w:t>(A)</w:t>
        <w:tab/>
        <w:t>the area consisting of the States of Oregon, Washington, and Idaho, the portion of the State of Montana west of the Continental Divide, and such portions of the States of Nevada, Utah, and Wyoming as are within the Columbia River drainage basin; and</w:t>
      </w:r>
    </w:p>
    <w:p>
      <w:pPr>
        <w:pStyle w:val="Quote"/>
        <w:rPr/>
      </w:pPr>
      <w:r>
        <w:rPr/>
        <w:tab/>
        <w:t>(B)</w:t>
        <w:tab/>
        <w:t>Any contiguous areas, not in excess of seventy-five air miles from the area referred to in subparagraph (A) which are a part of the service area of a rural electric cooperative customer served by the Administrator on December 5, 1980 which has a distribution system from which it serves both within and without such region.</w:t>
      </w:r>
    </w:p>
    <w:p>
      <w:pPr>
        <w:pStyle w:val="afterquote"/>
        <w:rPr/>
      </w:pPr>
      <w:r>
        <w:rPr/>
        <w:t>16 U.S.C. § 839a(14).</w:t>
      </w:r>
    </w:p>
    <w:p>
      <w:pPr>
        <w:pStyle w:val="BodyText"/>
        <w:rPr/>
      </w:pPr>
      <w:r>
        <w:rPr/>
        <w:t xml:space="preserve">The testimony presented here establishes that this definition informs and guides the conduct of market participants.  This is the same definition that Puget used in its Complaint initiating this proceeding.  </w:t>
      </w:r>
      <w:r>
        <w:rPr>
          <w:i/>
        </w:rPr>
        <w:t>See</w:t>
      </w:r>
      <w:r>
        <w:rPr/>
        <w:t xml:space="preserve"> Exh. ENR-1 at 4:19-20.  As Mr. Van Vactor explained, “[t]his definition of the PNW power market is the most consistent and useful [because it] both matches the operational characteristics of the power system and waterways and also conforms to the existing political organization of the region.”  </w:t>
      </w:r>
      <w:r>
        <w:rPr>
          <w:i/>
        </w:rPr>
        <w:t xml:space="preserve">Id. </w:t>
      </w:r>
      <w:r>
        <w:rPr/>
        <w:t xml:space="preserve">at 5:14-18.  Mr. Van Vactor explained that, the NW Power Planning Act defined market is the appropriate choice here because it:  </w:t>
      </w:r>
    </w:p>
    <w:p>
      <w:pPr>
        <w:pStyle w:val="Quote"/>
        <w:rPr/>
      </w:pPr>
      <w:r>
        <w:rPr/>
        <w:t>encompasses the entirety of the U.S. portion of the Columbia River drainage basin, which is the principal source of generation for the Northwest’s utilities, a major transportation waterway, the most important source of irrigation supporting the region’s agricultural industry, and a key natural resource for recreation and preservation of wildlife.  In short, the management of rivers and the coordination of hydroelectric generation are activities that necessitate region-wide planning and cooperation for the states adjacent to the Columbia River, but need not involve other parts of the western region.  In addition, the NW Power Planning Act established the Northwest Power Planning Council with representatives appointed by the Governors of Idaho, Montana, Oregon, and Washington.  The Council is responsible for preparing Northwest Power Plans at least every five years.  The most recent was completed in 1998.  The principal reasons for these plans are to ensure that generating resources and loads in the region are balanced cost effectively, energy conservation programs are implemented, and, recently, that wild salmon runs on the Columbia River and its tributaries are preserved and enhanced.</w:t>
      </w:r>
      <w:r>
        <w:rPr>
          <w:i/>
        </w:rPr>
        <w:t xml:space="preserve"> </w:t>
      </w:r>
    </w:p>
    <w:p>
      <w:pPr>
        <w:pStyle w:val="afterquote"/>
        <w:rPr/>
      </w:pPr>
      <w:r>
        <w:rPr>
          <w:i/>
        </w:rPr>
        <w:t>Id.</w:t>
      </w:r>
      <w:r>
        <w:rPr/>
        <w:t xml:space="preserve"> at 5:14-6:10.  </w:t>
      </w:r>
    </w:p>
    <w:p>
      <w:pPr>
        <w:pStyle w:val="afterquote"/>
        <w:ind w:firstLine="720" w:end="0"/>
        <w:rPr/>
      </w:pPr>
      <w:r>
        <w:rPr/>
        <w:t>As Mr. Van Vactor further explained, the testimony suggesting a geographic definition other than that prescribed by NW Power Planning Act is misguided:</w:t>
      </w:r>
    </w:p>
    <w:p>
      <w:pPr>
        <w:pStyle w:val="Quote"/>
        <w:rPr/>
      </w:pPr>
      <w:r>
        <w:rPr/>
        <w:t xml:space="preserve">The justification of City of Seattle’s witness, Robert McCullough, for using a broader definition, the Northwest Power Planning Pool (“NWPP”) as opposed to the “PNW” in the NW Power Planning Act is problematic.  Parts of the NWPP are more heavily traded by Southwest and Southern California utilities than by Northwest utilities.  The Intermountain Power Project, for instance, sends a substantial amount of power (approximately 1,500 MW per hour) to the Los Angeles control area even though it is located in Utah, and hence is in the NWPP.  </w:t>
      </w:r>
    </w:p>
    <w:p>
      <w:pPr>
        <w:pStyle w:val="Quote"/>
        <w:rPr/>
      </w:pPr>
      <w:r>
        <w:rPr/>
        <w:t>Furthermore, all of the PNW refund proponents are located within the territory governed by the NW Power Planning Act (with the obvious exception of the California parties who are decidedly not PNW utilities); thus, adopting the broader definition of the NWPP would unnecessarily expand the investigation envisioned by the evidentiary hearing.</w:t>
      </w:r>
    </w:p>
    <w:p>
      <w:pPr>
        <w:pStyle w:val="afterquote"/>
        <w:rPr/>
      </w:pPr>
      <w:r>
        <w:rPr/>
        <w:t>Exh. ENR-1 at 6:11-24.  Notably, as Mr. Ali Yazdi explained, the definition of PNW “should be qualified as a practical matter to exclude southbound transactions at the COB and NOB delivery points for CDWR’s account.”  Exh. PWX-7a at 5:16</w:t>
        <w:noBreakHyphen/>
        <w:t xml:space="preserve">18.  This is because </w:t>
      </w:r>
    </w:p>
    <w:p>
      <w:pPr>
        <w:pStyle w:val="Quote"/>
        <w:rPr/>
      </w:pPr>
      <w:r>
        <w:rPr/>
        <w:t xml:space="preserve">[t]hese transactions are really transactions for California loads that happen to specify a delivery point at the PNW-California boundary.  The PNW delivery point in the case of CDWR transactions was based on transmission rather than load-serving considerations. </w:t>
      </w:r>
      <w:r>
        <w:rPr>
          <w:i/>
        </w:rPr>
        <w:t>Id.</w:t>
      </w:r>
      <w:r>
        <w:rPr/>
        <w:t xml:space="preserve"> at 5:18-6:2.</w:t>
      </w:r>
    </w:p>
    <w:p>
      <w:pPr>
        <w:pStyle w:val="BodyText"/>
        <w:rPr/>
      </w:pPr>
      <w:r>
        <w:rPr/>
        <w:t>California Parties' witness Mr.Green of the California Energy Resource Scheduling Division (“CERS”)</w:t>
      </w:r>
      <w:r>
        <w:rPr>
          <w:rStyle w:val="FootnoteCharacters"/>
          <w:rStyle w:val="FootnoteReference"/>
        </w:rPr>
        <w:footnoteReference w:id="31"/>
      </w:r>
      <w:r>
        <w:rPr>
          <w:bCs/>
        </w:rPr>
        <w:t xml:space="preserve"> also</w:t>
      </w:r>
      <w:r>
        <w:rPr/>
        <w:t xml:space="preserve"> admitted that COB deliveries in reality are made at the California border and that the ISO tariff specifies scheduling points for such deliveries as “Malin_[Oregon] __ 5_Round Mountain [California]” and “Captain Jack [Oregon] __ 5_Olinda [California].”  Tr. at 876:7-10.  Mr. Green also testified that NOB is an “imaginary” point and that NOB deliveries actually take place in California at the control area of the Los Angeles Department of Water and Power.  Tr. at 876:16-18.</w:t>
      </w:r>
    </w:p>
    <w:p>
      <w:pPr>
        <w:pStyle w:val="BodyText"/>
        <w:rPr/>
      </w:pPr>
      <w:r>
        <w:rPr/>
        <w:t xml:space="preserve">No one seriously disputed the definition of the PNW at the hearing.  Cross-examination of Mr. Van Vactor and the other witnesses expressing the same geographic market definition did not in any way undermine their view or the logic of it.  The Staff witness testifying as to market definitions similarly offered no contrary view of the proper geographic market:  </w:t>
      </w:r>
    </w:p>
    <w:p>
      <w:pPr>
        <w:pStyle w:val="Quote"/>
        <w:rPr/>
      </w:pPr>
      <w:r>
        <w:rPr/>
        <w:t xml:space="preserve">As stated in the Commission’s June 19, 2001 Order and as stipulated by the parties in the instant proceeding (this portion of the Stipulation was incorporated in the Presiding Judge’s August 23, 2001, order on issues), the Pacific Northwest is defined in the Pacific Northwest Electric Planning and Conservation Act, 16 U.S.C. § 839a(14).  </w:t>
      </w:r>
    </w:p>
    <w:p>
      <w:pPr>
        <w:pStyle w:val="afterquote"/>
        <w:rPr/>
      </w:pPr>
      <w:r>
        <w:rPr/>
        <w:t>Exh. S-1 at 8:7-10.</w:t>
      </w:r>
    </w:p>
    <w:p>
      <w:pPr>
        <w:pStyle w:val="BodyText"/>
        <w:rPr/>
      </w:pPr>
      <w:r>
        <w:rPr/>
        <w:t xml:space="preserve">Therefore, the evidence proves that the correction definition of the Pacific Northwest is the geographic region defined in the NW Power Planning Act and that southbound flows at COB and NOB are not sales “into” the Pacific Northwest, but into California. </w:t>
      </w:r>
    </w:p>
    <w:p>
      <w:pPr>
        <w:pStyle w:val="OutlineStyle2"/>
        <w:numPr>
          <w:ilvl w:val="1"/>
          <w:numId w:val="8"/>
        </w:numPr>
        <w:spacing w:before="240" w:after="0"/>
        <w:ind w:hanging="0" w:start="0"/>
        <w:rPr/>
      </w:pPr>
      <w:r>
        <w:rPr/>
        <w:t>May Unjust and Unreasonable Prices Have Been Charged For Spot Market Bilateral Sales In The Pacific Northwest For the Period December 25, 2000 through June 20, 2001?</w:t>
        <w:br/>
      </w:r>
    </w:p>
    <w:p>
      <w:pPr>
        <w:pStyle w:val="Normal"/>
        <w:tabs>
          <w:tab w:val="clear" w:pos="720"/>
          <w:tab w:val="left" w:pos="7200" w:leader="none"/>
        </w:tabs>
        <w:ind w:hanging="360" w:start="450" w:end="1440"/>
        <w:rPr>
          <w:b/>
        </w:rPr>
      </w:pPr>
      <w:r>
        <w:rPr>
          <w:b/>
        </w:rPr>
        <w:t>a.  What was the volume of spot market bilateral sales transactions in the Pacific Northwest for the period December 25, 2000 through June 20, 2001?</w:t>
        <w:br/>
      </w:r>
    </w:p>
    <w:p>
      <w:pPr>
        <w:pStyle w:val="Quote"/>
        <w:rPr/>
      </w:pPr>
      <w:r>
        <w:rPr/>
        <w:t>Volumetric data has been submitted to the Presiding Judge and Staff under confidential seal.</w:t>
      </w:r>
      <w:r>
        <w:rPr>
          <w:rStyle w:val="FootnoteCharacters"/>
          <w:bCs/>
        </w:rPr>
        <w:t xml:space="preserve"> </w:t>
      </w:r>
      <w:r>
        <w:rPr>
          <w:rStyle w:val="FootnoteCharacters"/>
          <w:rStyle w:val="FootnoteReference"/>
          <w:bCs/>
        </w:rPr>
        <w:footnoteReference w:id="32"/>
      </w:r>
      <w:r>
        <w:rPr>
          <w:bCs/>
        </w:rPr>
        <w:t xml:space="preserve">  Nonetheless it is clear that spot market bilateral sales transactions constituted only a small percentage of the total volume of transactions in the region because forward contracts were heavily relied upon.</w:t>
      </w:r>
    </w:p>
    <w:p>
      <w:pPr>
        <w:pStyle w:val="Normal"/>
        <w:tabs>
          <w:tab w:val="clear" w:pos="720"/>
          <w:tab w:val="left" w:pos="7470" w:leader="none"/>
        </w:tabs>
        <w:ind w:hanging="360" w:start="450" w:end="1440"/>
        <w:rPr/>
      </w:pPr>
      <w:r>
        <w:rPr>
          <w:b/>
        </w:rPr>
        <w:t>b.  What were the price, terms and conditions of the sales contracts for spot market bilateral sales transactions in the Pacific Northwest for the period December 25, 2000 through June 20, 2001?</w:t>
      </w:r>
      <w:r>
        <w:rPr>
          <w:bCs/>
        </w:rPr>
        <w:br/>
      </w:r>
    </w:p>
    <w:p>
      <w:pPr>
        <w:pStyle w:val="Quote"/>
        <w:rPr/>
      </w:pPr>
      <w:r>
        <w:rPr/>
        <w:t>Spot market bilateral sales in the PNW took place under diverse prices, terms and conditions.  Certain of this information is contained in the confidential data submission.</w:t>
      </w:r>
      <w:r>
        <w:rPr>
          <w:rStyle w:val="FootnoteCharacters"/>
          <w:rStyle w:val="FootnoteReference"/>
        </w:rPr>
        <w:footnoteReference w:id="33"/>
      </w:r>
      <w:r>
        <w:rPr/>
        <w:t xml:space="preserve">  Other information is described in Section IV.B.__ below.</w:t>
      </w:r>
    </w:p>
    <w:p>
      <w:pPr>
        <w:pStyle w:val="Normal"/>
        <w:tabs>
          <w:tab w:val="clear" w:pos="720"/>
          <w:tab w:val="left" w:pos="7200" w:leader="none"/>
        </w:tabs>
        <w:ind w:hanging="360" w:start="450" w:end="1440"/>
        <w:rPr/>
      </w:pPr>
      <w:r>
        <w:rPr>
          <w:b/>
        </w:rPr>
        <w:t>c.  Who were the net sellers and net buyers of electric energy in spot market bilateral sales transactions in the Pacific Northwest for the period December 25, 2000 through June 20, 2001?</w:t>
      </w:r>
      <w:r>
        <w:rPr>
          <w:bCs/>
        </w:rPr>
        <w:t xml:space="preserve"> </w:t>
        <w:br/>
      </w:r>
    </w:p>
    <w:p>
      <w:pPr>
        <w:pStyle w:val="Quote"/>
        <w:rPr/>
      </w:pPr>
      <w:r>
        <w:rPr/>
        <w:t>Most market participants were both buyers and sellers, often in multiple “ripple” transactions.  Calculations to determine net positions were not possible, given the available information, time and procedures.</w:t>
      </w:r>
      <w:r>
        <w:rPr>
          <w:rStyle w:val="FootnoteCharacters"/>
          <w:rStyle w:val="FootnoteReference"/>
        </w:rPr>
        <w:footnoteReference w:id="34"/>
      </w:r>
    </w:p>
    <w:p>
      <w:pPr>
        <w:pStyle w:val="Normal"/>
        <w:ind w:hanging="360" w:start="450" w:end="720"/>
        <w:rPr>
          <w:b/>
        </w:rPr>
      </w:pPr>
      <w:r>
        <w:rPr>
          <w:b/>
        </w:rPr>
        <w:t>d.  What is the appropriate methodology for determining a just and reasonable rate for transactions that occurred in the bilateral spot market in the Pacific Northwest during the relevant period?</w:t>
        <w:br/>
      </w:r>
    </w:p>
    <w:p>
      <w:pPr>
        <w:pStyle w:val="Quote"/>
        <w:rPr/>
      </w:pPr>
      <w:r>
        <w:rPr/>
        <w:t xml:space="preserve">Prices reflecting competitive market forces and based on active negotiations between buyers and sellers are just and reasonable.  </w:t>
      </w:r>
      <w:r>
        <w:rPr>
          <w:i/>
          <w:iCs/>
        </w:rPr>
        <w:t>See</w:t>
      </w:r>
      <w:r>
        <w:rPr/>
        <w:t xml:space="preserve"> Section IV.B.__ below</w:t>
      </w:r>
      <w:r>
        <w:rPr>
          <w:i/>
          <w:iCs/>
        </w:rPr>
        <w:t>.</w:t>
      </w:r>
    </w:p>
    <w:p>
      <w:pPr>
        <w:pStyle w:val="Normal"/>
        <w:ind w:hanging="360" w:start="450" w:end="1440"/>
        <w:rPr/>
      </w:pPr>
      <w:r>
        <w:rPr>
          <w:b/>
        </w:rPr>
        <w:t>e.  Did sellers of electric energy in spot market bilateral sales in the Pacific</w:t>
      </w:r>
      <w:r>
        <w:rPr>
          <w:bCs/>
        </w:rPr>
        <w:t xml:space="preserve"> </w:t>
      </w:r>
      <w:r>
        <w:rPr>
          <w:b/>
        </w:rPr>
        <w:t>Northwest for the period December 25, 2000 through June 20, 2001 charge unjust and unreasonable prices?</w:t>
      </w:r>
      <w:r>
        <w:rPr>
          <w:bCs/>
        </w:rPr>
        <w:br/>
      </w:r>
    </w:p>
    <w:p>
      <w:pPr>
        <w:pStyle w:val="Quote"/>
        <w:rPr/>
      </w:pPr>
      <w:r>
        <w:rPr/>
        <w:t xml:space="preserve">No.  Prices charged reflected scarcity conditions in a competitive market in which demand had increased but supply had not.  They are, by definition, just and reasonable.  </w:t>
      </w:r>
      <w:r>
        <w:rPr>
          <w:i/>
          <w:iCs/>
        </w:rPr>
        <w:t>See</w:t>
      </w:r>
      <w:r>
        <w:rPr/>
        <w:t xml:space="preserve"> Section IV.B.__ below.</w:t>
      </w:r>
    </w:p>
    <w:p>
      <w:pPr>
        <w:pStyle w:val="Normal"/>
        <w:spacing w:before="0" w:after="240"/>
        <w:ind w:hanging="360" w:start="450" w:end="1440"/>
        <w:rPr>
          <w:b/>
        </w:rPr>
      </w:pPr>
      <w:r>
        <w:rPr>
          <w:b/>
        </w:rPr>
        <w:t>f.  Did any such seller exercise market power, or violate any conditions of limitations of its market based tariffs or agreements entered into under the Western Systems Power Pool Agreement?</w:t>
      </w:r>
    </w:p>
    <w:p>
      <w:pPr>
        <w:pStyle w:val="Quote"/>
        <w:rPr/>
      </w:pPr>
      <w:r>
        <w:rPr/>
        <w:t xml:space="preserve">No seller exercised market power or violated any condition or limitation in its tariff or WSPP contracts.  </w:t>
      </w:r>
      <w:r>
        <w:rPr>
          <w:i/>
          <w:iCs/>
        </w:rPr>
        <w:t>See</w:t>
      </w:r>
      <w:r>
        <w:rPr/>
        <w:t xml:space="preserve"> Section IV.B._ below</w:t>
      </w:r>
      <w:r>
        <w:rPr>
          <w:i/>
          <w:iCs/>
        </w:rPr>
        <w:t>.</w:t>
      </w:r>
    </w:p>
    <w:p>
      <w:pPr>
        <w:pStyle w:val="Quote"/>
        <w:ind w:start="0" w:end="720"/>
        <w:rPr/>
      </w:pPr>
      <w:r>
        <w:rPr/>
      </w:r>
    </w:p>
    <w:p>
      <w:pPr>
        <w:pStyle w:val="BodyText"/>
        <w:ind w:hanging="0" w:end="0"/>
        <w:rPr/>
      </w:pPr>
      <w:r>
        <w:rPr/>
        <w:tab/>
        <w:tab/>
        <w:t>*</w:t>
        <w:tab/>
        <w:t>*</w:t>
        <w:tab/>
        <w:t>*</w:t>
        <w:tab/>
        <w:t>*</w:t>
        <w:tab/>
        <w:t>*</w:t>
        <w:tab/>
        <w:t>*</w:t>
        <w:tab/>
        <w:t>*</w:t>
        <w:tab/>
        <w:t>*</w:t>
        <w:tab/>
        <w:t>*</w:t>
        <w:br/>
      </w:r>
    </w:p>
    <w:p>
      <w:pPr>
        <w:pStyle w:val="BodyText"/>
        <w:rPr/>
      </w:pPr>
      <w:r>
        <w:rPr/>
        <w:t>Even if one were to ignore the serious legal prohibitions on directing retroactive refunds, any effort to argue that unjust and unreasonable prices may have been charged, can only proceed on the strength of a full understanding of the unique characteristics of the PNW market and the context in which prices evolved during the period from December 25, 2000 through June 20, 2001.</w:t>
      </w:r>
    </w:p>
    <w:p>
      <w:pPr>
        <w:pStyle w:val="OutlineStyle3"/>
        <w:numPr>
          <w:ilvl w:val="2"/>
          <w:numId w:val="8"/>
        </w:numPr>
        <w:rPr/>
      </w:pPr>
      <w:r>
        <w:rPr/>
        <w:t>Characteristics of the Pacific Northwest market reflect robust competition and a wide variety of buyers, sellers and products.</w:t>
      </w:r>
    </w:p>
    <w:p>
      <w:pPr>
        <w:pStyle w:val="BodyText"/>
        <w:rPr/>
      </w:pPr>
      <w:r>
        <w:rPr/>
        <w:t xml:space="preserve">The PNW is part of the broader Western power market.  The purchase and sale of electricity is carried out pursuant to the rules and guidance of the WSPP.  Although implementation of the WSPP was not approved until 1987, the PNW for decades has enjoyed a robust and liquid wholesale power market, which is characterized by hundreds of informed and experienced traders and multiple trading points.  </w:t>
      </w:r>
      <w:r>
        <w:rPr>
          <w:i/>
        </w:rPr>
        <w:t>See</w:t>
      </w:r>
      <w:r>
        <w:rPr>
          <w:iCs/>
        </w:rPr>
        <w:t xml:space="preserve"> </w:t>
      </w:r>
      <w:r>
        <w:rPr/>
        <w:t xml:space="preserve">Exh. ENR-1 at 3; Exh. AE-1 at 3; Western Systems Power Pool Agreement, Exh. S-6 (Original Sheet No. 91, Rate Schedule FERC No. 6, at 101-103).  As Seattle's own witness Mr. McCollough testified: </w:t>
      </w:r>
    </w:p>
    <w:p>
      <w:pPr>
        <w:pStyle w:val="BodyText"/>
        <w:spacing w:lineRule="auto" w:line="240"/>
        <w:ind w:hanging="0" w:start="720" w:end="0"/>
        <w:rPr/>
      </w:pPr>
      <w:r>
        <w:rPr/>
        <w:t>The Pacific Northwest operates as a true commodity market where prices are set by bilateral negotiations, rather than administered by a separate authority.  In this way, the Pacific Northwest far more closely approximates true commodity markets like the Chicago Board of Trade or the London Metal Exchange.</w:t>
      </w:r>
    </w:p>
    <w:p>
      <w:pPr>
        <w:pStyle w:val="BodyText"/>
        <w:spacing w:lineRule="auto" w:line="240"/>
        <w:ind w:hanging="0" w:end="0"/>
        <w:rPr/>
      </w:pPr>
      <w:r>
        <w:rPr/>
      </w:r>
    </w:p>
    <w:p>
      <w:pPr>
        <w:pStyle w:val="BodyText"/>
        <w:spacing w:lineRule="auto" w:line="240"/>
        <w:ind w:hanging="0" w:end="0"/>
        <w:rPr/>
      </w:pPr>
      <w:r>
        <w:rPr/>
        <w:t>Exh. NPG-1 at 7:14-17.</w:t>
      </w:r>
    </w:p>
    <w:p>
      <w:pPr>
        <w:pStyle w:val="BodyText"/>
        <w:spacing w:lineRule="auto" w:line="240"/>
        <w:ind w:hanging="0" w:end="0"/>
        <w:rPr/>
      </w:pPr>
      <w:r>
        <w:rPr/>
      </w:r>
    </w:p>
    <w:p>
      <w:pPr>
        <w:pStyle w:val="BodyText"/>
        <w:rPr/>
      </w:pPr>
      <w:r>
        <w:rPr/>
        <w:t>Several factors explain this phenomenon.  In terms of energy resources, over 60% of the PNW's power supply comes from hydroelectric facilities in a typical year.  Exh. ENR-1 at 8; Exh. ENR-5.  While the prevalence of hydroelectric generation provides a distinctly inexpensive source of power, it also subjects load serving entities to the vicissitudes of weather (</w:t>
      </w:r>
      <w:r>
        <w:rPr>
          <w:i/>
          <w:iCs/>
        </w:rPr>
        <w:t>i.e.,</w:t>
      </w:r>
      <w:r>
        <w:rPr/>
        <w:t xml:space="preserve"> drought and resulting low-flow conditions).  Faced with seasonal and year-to-year variations in water and storage availability, Pacific Northwest parties have long been accustomed to buying and selling with each other and with parties outside the region to ensure that supply matches demand.  Exh. AE-1 at 3.</w:t>
      </w:r>
    </w:p>
    <w:p>
      <w:pPr>
        <w:pStyle w:val="BodyText"/>
        <w:rPr/>
      </w:pPr>
      <w:r>
        <w:rPr/>
        <w:t>Following construction of the Northwest-Southwest Intertie in 1970, seasonal exchanges of power with California, Arizona and New Mexico became commonplace.  The normal water flow from May to July, coupled with a winter peaking demand profile, has enabled the PNW to export large volumes of “economy” energy during summer months, when its loads are low, but loads to the south are at their highest levels.  In return, the PNW historically has relied on surplus thermal generation from California and the Desert Southwest to supplement local supplies during winter cold spells, when loads to the north are high in comparison to loads to the south.  Exh. ENR-1 at 9.</w:t>
      </w:r>
    </w:p>
    <w:p>
      <w:pPr>
        <w:pStyle w:val="BodyText"/>
        <w:rPr/>
      </w:pPr>
      <w:r>
        <w:rPr/>
        <w:t>The presence of an extensive and comparatively uncongested transmission network (on a historical basis) also has contributed to the development of a fluid wholesale power market in the PNW.  BPA owns and operates the majority of the high voltage transmission facilities in the region.  Long before the advent of Commission Order No. 888,</w:t>
      </w:r>
      <w:r>
        <w:rPr>
          <w:rStyle w:val="FootnoteCharacters"/>
          <w:rStyle w:val="FootnoteReference"/>
        </w:rPr>
        <w:footnoteReference w:id="35"/>
      </w:r>
      <w:r>
        <w:rPr/>
        <w:t xml:space="preserve"> BPA allowed parties access to its transmission grid.  Exh. AE-1 at 3.  As a consequence, the Mid-Columbia hub in Eastern Washington is recognized as one of the most flexible trading points in the nation.  Exh. ENR-1 at 12.</w:t>
      </w:r>
    </w:p>
    <w:p>
      <w:pPr>
        <w:pStyle w:val="BodyText"/>
        <w:rPr/>
      </w:pPr>
      <w:r>
        <w:rPr/>
        <w:t>Because a robust bilateral wholesale market evolved on its own, there has never been a centralized power exchange in the PNW.  As a result, there is no single market clearing price in the region.  Exh. ENR-10 at 12.  Instead, energy is bought and sold continuously on a bilateral basis, subject only to the principles set forth in the WSPP agreement.  Each utility is free to choose how to meet its firm load requirements as it sees fit and no one is captive to a single market or a single point of supply.  As noted by Eugene Water and Electricity Board (“EWEB”) witness Spettel,  transactions “are negotiated at arms-length between willing buyers and sellers … [and] oftentimes reflect unique and specific circumstances between the parties engaged in each transaction.”  Exh. NPG-68 at 7.  See also TR. at 566-67;  Exh. ENR-1, at 13; Exh. PWX-1, at 21; Exh. BPA-1, at 22; Exh. ENR-10, at 11; Exh. IE-2, at 13; Exh. PPL-1, at 21.</w:t>
      </w:r>
    </w:p>
    <w:p>
      <w:pPr>
        <w:pStyle w:val="BodyText"/>
        <w:rPr/>
      </w:pPr>
      <w:r>
        <w:rPr/>
        <w:t>Given the availability of many traders and trading points, purchasers in the PNW have numerous options in developing a portfolio of power supply.  Depending upon their perceived needs and tolerance for risk, load-serving entities can buy power for the next hour, the next day, the balance of the month, monthly, quarterly or for a term of one or more years.  Exh. NPG-74 at 6.  As observed by Dr. Tabors, risk-averse load-serving entities can assemble a portfolio of long, medium and short-term contracts and, thereby, minimize their exposure to volatile spot market prices.  Exh. PWX-1 at 21.  In the PNW, shortages in the availability of hydroelectric generation is constantly assessed and general trends are predicted months in advance, consequently PNW purchasers tend to make extensive use of forward contracts (</w:t>
      </w:r>
      <w:r>
        <w:rPr>
          <w:i/>
          <w:iCs/>
        </w:rPr>
        <w:t>i.e.,</w:t>
      </w:r>
      <w:r>
        <w:rPr/>
        <w:t xml:space="preserve"> transactions with durations longer than 24 hours).  </w:t>
      </w:r>
      <w:r>
        <w:rPr>
          <w:b/>
          <w:bCs/>
        </w:rPr>
        <w:t xml:space="preserve">[Cite.] </w:t>
      </w:r>
      <w:r>
        <w:rPr/>
        <w:t xml:space="preserve"> Indeed, over 99% of the City of Seattle’s net purchases during the December 25, 2000-June 20, 2001 period were made under forward contracts; the corresponding figure for Tacoma Power approximates 62.5%.  Exh. PWX-3.</w:t>
      </w:r>
    </w:p>
    <w:p>
      <w:pPr>
        <w:pStyle w:val="BodyText"/>
        <w:rPr/>
      </w:pPr>
      <w:r>
        <w:rPr/>
        <w:t>Two additional characteristics of the PNW market are directly relevant to the justness and reasonableness of bilateral spot market prices in the region.  First, demand in the region is more price sensitive (that is to say, “elastic”) than in other parts of the West due, in part, to the presence of a number of energy intensive industries, such as aluminum smelting.  Exh. ENR-1 at 11.  Those consumers have exercised and, indeed, regularly exercise their ability to respond to price signals by decreasing consumption.  Second, prices, particularly in the forward markets, are extremely sensitive to movements in the cost of natural gas.  Exh. ENR-10 at 24-27.  It is, therefore, not surprising that electric prices rose dramatically in the PNW when natural gas prices skyrocketed in the latter part of 2000 and drought conditions restricted the availability of hydroelectric generation.</w:t>
      </w:r>
    </w:p>
    <w:p>
      <w:pPr>
        <w:pStyle w:val="OutlineStyle3"/>
        <w:numPr>
          <w:ilvl w:val="2"/>
          <w:numId w:val="8"/>
        </w:numPr>
        <w:rPr/>
      </w:pPr>
      <w:r>
        <w:rPr/>
        <w:t>The rationale for refunds in California is not applicable to the Pacific Northwest Market.</w:t>
      </w:r>
    </w:p>
    <w:p>
      <w:pPr>
        <w:pStyle w:val="BodyText"/>
        <w:rPr/>
      </w:pPr>
      <w:r>
        <w:rPr/>
        <w:t>The Commission’s decision to address refunds in Docket No. EL00-95-004 (the “California proceeding”) was based, at least in large measure, on its conclusion that the “electric market structure and market rules for wholesale sales of electric energy in California were seriously flawed.”</w:t>
      </w:r>
      <w:r>
        <w:rPr>
          <w:rStyle w:val="FootnoteCharacters"/>
          <w:rStyle w:val="FootnoteReference"/>
        </w:rPr>
        <w:footnoteReference w:id="36"/>
      </w:r>
      <w:r>
        <w:rPr/>
        <w:t xml:space="preserve">  The Commission found problems with (i) California’s implementation through the ISO and PX, of a mandatory single price auction mechanism, and (ii) the exclusive reliance on spot market (less than 24 hour) trades for purposes of establishing that price.  These problems distorted and exacerbated the effects of high prices that resulted when supply was tight.  Of particular relevance to this investigation, the Commission expressly declined to impose refund liability on bilateral purchases of the CDWR after the PX closed its doors:</w:t>
      </w:r>
    </w:p>
    <w:p>
      <w:pPr>
        <w:pStyle w:val="QuoteIndent"/>
        <w:ind w:hanging="0" w:end="720"/>
        <w:rPr/>
      </w:pPr>
      <w:r>
        <w:rPr/>
        <w:t>We believe imposing after-the fact refund liability on California transactions outside of the centralized ISO and PX markets is unjustified.  This is particularly true in the instant proceeding when the Commission consistently encouraged California load-serving entities to acquire a balanced portfolio of short, medium and long-term contracts.  Expanding the scope of transactions subject to refund over the period October 2, 2000, through June 20, 2001 to include transactions outside the ISO and PX centralized markets would simply hinder the ability of parties to enter into new bilateral contracts.</w:t>
      </w:r>
      <w:r>
        <w:rPr>
          <w:rStyle w:val="FootnoteCharacters"/>
          <w:rStyle w:val="FootnoteReference"/>
        </w:rPr>
        <w:footnoteReference w:id="37"/>
      </w:r>
    </w:p>
    <w:p>
      <w:pPr>
        <w:pStyle w:val="BodyText"/>
        <w:rPr/>
      </w:pPr>
      <w:r>
        <w:rPr/>
        <w:t>Multiple requests for rehearing have been filed in the California proceeding and the disputed issues addressed therein cannot and should not be relitigated here.  What can be said – indeed, must be said – is that the Commission’s rationale in its July 25 Order for ordering refunds in the California ISO and PX centralized spot markets is simply not applicable to the PNW market, but its reasoning regarding bilateral contracts is compelling outside those markets.</w:t>
      </w:r>
    </w:p>
    <w:p>
      <w:pPr>
        <w:pStyle w:val="BodyText"/>
        <w:rPr/>
      </w:pPr>
      <w:r>
        <w:rPr/>
        <w:t>The factual differences between the California ISO/PX markets and the PNW market are stark and self-evident.  In California, load-serving entities (comprised almost entirely of California’s three large investor-owned utilities) were forced to divest much of their generation, to sell power from what generation remained to the ISO/PX and then buy back all of their requirements through a centralized clearing house at an administratively determined price.  Because that price was tied to the bid of the most-expensive generating unit operating within the market at the time, it did not necessarily reflect the value placed on those transactions by any individual buyer.  Exh. PWX-1 at 16.  In addition, having to rely entirely on spot market sales, California buyers were effectively prevented from hedging their risks or balancing their portfolio through forward contracts.  In its November 1, 2000 Order,</w:t>
      </w:r>
      <w:r>
        <w:rPr>
          <w:rStyle w:val="FootnoteCharacters"/>
          <w:rStyle w:val="FootnoteReference"/>
        </w:rPr>
        <w:footnoteReference w:id="38"/>
      </w:r>
      <w:r>
        <w:rPr/>
        <w:t xml:space="preserve"> the Commission expressly found this to be a fundamental problem with the California market.  Exh. ENR-10 at 11.</w:t>
      </w:r>
    </w:p>
    <w:p>
      <w:pPr>
        <w:pStyle w:val="BodyText"/>
        <w:rPr/>
      </w:pPr>
      <w:r>
        <w:rPr/>
        <w:t xml:space="preserve">In sharp contrast, buyers in the PNW faced no such constraints.  Load-serving entities, for the most part, retained their own generation, were free to negotiate supply contracts on their own terms and conditions in spot and forward markets, and, as a consequence, paid prices that reflected the value that willing buyers and sellers placed on those transactions in the face of supply constraints.  Exh. PWX-1 at 16.  For many years PNW buyers have been free to enter into short, medium, and long-term contracts to achieve a hedged and balanced portfolio.  It is undisputed that “participants in PNW markets made their own decisions regarding purchasing strategies and contract terms, not only in the period covered by this proceeding but for years leading up to this period.”  Exh. PWX-1 at 6:14-16.  The participants “made numerous conscious decisions regarding their electricity supply strategy in the years and months prior to the period covered by this proceeding, as well as the during the period itself.”  </w:t>
      </w:r>
      <w:r>
        <w:rPr>
          <w:i/>
        </w:rPr>
        <w:t>Id.</w:t>
      </w:r>
      <w:r>
        <w:rPr/>
        <w:t xml:space="preserve"> at 7:8-10. </w:t>
      </w:r>
    </w:p>
    <w:p>
      <w:pPr>
        <w:pStyle w:val="OutlineStyle3"/>
        <w:numPr>
          <w:ilvl w:val="2"/>
          <w:numId w:val="8"/>
        </w:numPr>
        <w:rPr/>
      </w:pPr>
      <w:r>
        <w:rPr/>
        <w:t>Fundamental economic forces of supply and demand set the price levels in the PNW during the relevant period.</w:t>
      </w:r>
    </w:p>
    <w:p>
      <w:pPr>
        <w:pStyle w:val="BodyText"/>
        <w:rPr/>
      </w:pPr>
      <w:r>
        <w:rPr/>
        <w:t xml:space="preserve">All of the credible testimony shows that a confluence of unprecedented demand and supply conditions in the PNW led to increased electricity prices during December, 2000 to June, 2001.  </w:t>
      </w:r>
    </w:p>
    <w:p>
      <w:pPr>
        <w:pStyle w:val="BodyText"/>
        <w:rPr/>
      </w:pPr>
      <w:r>
        <w:rPr/>
        <w:t>The hearing record documents in detail the successive shocks that the western power market experienced leading up to and during the period at issue:</w:t>
      </w:r>
    </w:p>
    <w:p>
      <w:pPr>
        <w:pStyle w:val="Quote"/>
        <w:rPr/>
      </w:pPr>
      <w:r>
        <w:rPr/>
        <w:t xml:space="preserve">The disruption and price explosion in the WSCC from May 2000 through June 2001 were the consequence of market fundamentals, exacerbated by financial uncertainty and confusion.  There were four compounding events that caused price to rise and to remain at elevated levels for fourteen months.  In the first wave, the summer of 2000, high demand growth and hot weather combined to create capacity shortages in California, with resulting price spikes.  In the second wave, cold weather smacked the PNW earlier than expected and with much greater severity than normal.  The cold weather coincided with the season in which the natural stream-flow in the region’s hydro system is at its lowest, and with the planned reconditioning of many of California’s thermal generators due to heavy usage in the summer of 2000.  The natural gas delivery system was stretched to its limit, inventories reached historic lows, and gas prices peaked at thirty times the level of the year before.  In November and December, precipitation remained at record low levels and the power industry became increasingly anxious about the possibility of a serious drought.  The Power Planning Council’s October warning appeared all the more prescient.  In January 2001, the first formal projections on snow pack became available and provided alarming evidence of dry conditions, bringing a third wave of dread to the Western power market.  In the meantime, PG&amp;E and Southern California Edison were not able to pass on to their customers the high prices they had had to pay for power in November and December due to frozen rates imposed during market restructuring.  Both utilities defaulted on their obligations to their suppliers, including many PNW utilities.  The growing financial risk created the fourth and final wave, as essential trade shrunk and the WSCC split apart in autarky.  </w:t>
      </w:r>
    </w:p>
    <w:p>
      <w:pPr>
        <w:pStyle w:val="Quote"/>
        <w:ind w:start="0" w:end="720"/>
        <w:rPr/>
      </w:pPr>
      <w:r>
        <w:rPr/>
        <w:tab/>
        <w:t xml:space="preserve">Assailed by these shocks, the PNW market did not malfunction, as did the </w:t>
      </w:r>
    </w:p>
    <w:p>
      <w:pPr>
        <w:pStyle w:val="Quote"/>
        <w:ind w:start="0" w:end="720"/>
        <w:rPr/>
      </w:pPr>
      <w:r>
        <w:rPr/>
        <w:t>California market.  To the contrary:</w:t>
      </w:r>
    </w:p>
    <w:p>
      <w:pPr>
        <w:pStyle w:val="Quote"/>
        <w:rPr/>
      </w:pPr>
      <w:r>
        <w:rPr/>
        <w:t xml:space="preserve">The PNW was faced with an extreme and rare contraction in available supply.  To accommodate the shortage, prices rose dramatically, but that is exactly what they are supposed to do.  Higher prices provoked a drop in demand and an increase in alternative supplies.  Once it was clear that the functions of demand and supply would accommodate the projected shortfall, prices collapsed with extraordinary speed.  </w:t>
      </w:r>
    </w:p>
    <w:p>
      <w:pPr>
        <w:pStyle w:val="afterquote"/>
        <w:rPr/>
      </w:pPr>
      <w:r>
        <w:rPr/>
        <w:t xml:space="preserve">Exh. ENR-1 at 19:13-21:1; </w:t>
      </w:r>
      <w:r>
        <w:rPr>
          <w:i/>
        </w:rPr>
        <w:t>see also</w:t>
      </w:r>
      <w:r>
        <w:rPr/>
        <w:t xml:space="preserve"> Exh. NPG-16 at 16:327-17:349; Exh. IE-2 at 2:22-3:4; Exh. IE-4, Appendix F.  </w:t>
      </w:r>
    </w:p>
    <w:p>
      <w:pPr>
        <w:pStyle w:val="BodyText"/>
        <w:rPr>
          <w:b/>
          <w:bCs/>
        </w:rPr>
      </w:pPr>
      <w:r>
        <w:rPr/>
        <w:t>The market for electricity in the PNW was affected to varying degrees by these factors, all of which worked together to raise the price of electricity as is normally expected in a workably competitive market when supply is scarce.</w:t>
      </w:r>
      <w:r>
        <w:rPr>
          <w:rStyle w:val="FootnoteCharacters"/>
          <w:rStyle w:val="FootnoteReference"/>
        </w:rPr>
        <w:footnoteReference w:id="39"/>
      </w:r>
      <w:r>
        <w:rPr/>
        <w:t xml:space="preserve"> </w:t>
      </w:r>
    </w:p>
    <w:p>
      <w:pPr>
        <w:pStyle w:val="BodyText"/>
        <w:rPr>
          <w:b/>
          <w:bCs/>
        </w:rPr>
      </w:pPr>
      <w:r>
        <w:rPr/>
        <w:t xml:space="preserve">Importantly, the evidence also establishes that the PNW utilities were forewarned of supply shortages and potentially high spot prices:  </w:t>
      </w:r>
    </w:p>
    <w:p>
      <w:pPr>
        <w:pStyle w:val="BodyText"/>
        <w:spacing w:lineRule="auto" w:line="240"/>
        <w:ind w:hanging="0" w:start="720" w:end="0"/>
        <w:rPr/>
      </w:pPr>
      <w:r>
        <w:rPr/>
        <w:t>Power supply in the region is tied irrevocably to precipitation in drainage areas of the Columbia River.  From 1996 through 1999, weather patterns had produced a series of above average water flows and the surplus generation was giving misleading signals.  It had been over two decades since the region had experienced a major drought, population growth had increased demand and, perhaps unknowingly, the PNW had become increasingly dependent on seasonal trade.  Moreover, declining salmon runs and the risk of species extermination had caused the region’s policy makers to shift focus.  The commitment to save the salmon, however, required the PNW to implement new and untested hydroelectric operational modes.</w:t>
        <w:br/>
        <w:br/>
        <w:t xml:space="preserve">Early in 1999 the BPA Administrator met with the Power Planning Council (“Council”) and expressed concern that the region showed an energy deficit even under normal water conditions.  On page 2 of the Council[‘s] “Northwest Power Supply Adequacy/Reliability Study” of March 6, 2000, it was reported that the BPA study revealed that in eighty percent of the simulated historical water flows there was a projected deficit averaging 2,500 megawatts per hour for September while thirty-six percent of the scenarios for the month of February had an average deficit of 3,800 megawatts per hour.  On page 3, the Council reported that its own analysis had reached nearly identical conclusions. . . .  The Council’s white paper was accompanied by a “Keep The Lights On” conference attended by executives from many PNW utilities.  At the conference the BPA Administrator again warned of inadequate supply.  Moreover, the audience was warned about the impact of fish preservation requirements on dam operations as well as planned curtailments of the federal transmission system.  In its March 6, 2000 edition, </w:t>
      </w:r>
      <w:r>
        <w:rPr>
          <w:i/>
        </w:rPr>
        <w:t>Clearing Up</w:t>
      </w:r>
      <w:r>
        <w:rPr/>
        <w:t xml:space="preserve"> reported that Seattle City Light Superintendent Gary Zarker took the threat of shortages seriously and “that the region should approach the reliability situation ‘as if the crisis had already occurred.’”</w:t>
      </w:r>
    </w:p>
    <w:p>
      <w:pPr>
        <w:pStyle w:val="BodyText"/>
        <w:spacing w:lineRule="auto" w:line="240"/>
        <w:ind w:firstLine="60" w:start="720" w:end="0"/>
        <w:rPr/>
      </w:pPr>
      <w:r>
        <w:rPr/>
      </w:r>
    </w:p>
    <w:p>
      <w:pPr>
        <w:pStyle w:val="afterquote"/>
        <w:rPr/>
      </w:pPr>
      <w:r>
        <w:rPr/>
        <w:t>Exh. ENR-1 at 13:22-15:2.</w:t>
      </w:r>
    </w:p>
    <w:p>
      <w:pPr>
        <w:pStyle w:val="BodyText"/>
        <w:rPr/>
      </w:pPr>
      <w:r>
        <w:rPr/>
        <w:t xml:space="preserve">Even the refund proponents' evidence establishes that drought conditions were severe and affected wholesale electrical energy prices:  </w:t>
      </w:r>
    </w:p>
    <w:p>
      <w:pPr>
        <w:pStyle w:val="ListBullet4"/>
        <w:numPr>
          <w:ilvl w:val="0"/>
          <w:numId w:val="5"/>
        </w:numPr>
        <w:rPr/>
      </w:pPr>
      <w:r>
        <w:rPr/>
        <w:t>“</w:t>
      </w:r>
      <w:r>
        <w:rPr/>
        <w:t xml:space="preserve">While power prices have been high, the Pacific Northwest also experienced one of the driest years on record which in turn reduced the amount of power available from Pacific Northwest hydroelectric projects . . . Power prices would be expected to be lower in years where more normal precipitation increases the supply of electricity, thus depressing power prices in average or better-than-average hydrological conditions.”  Exh. NPG-74 at 9:24-11:5.  </w:t>
      </w:r>
    </w:p>
    <w:p>
      <w:pPr>
        <w:pStyle w:val="ListBullet4"/>
        <w:numPr>
          <w:ilvl w:val="0"/>
          <w:numId w:val="5"/>
        </w:numPr>
        <w:rPr/>
      </w:pPr>
      <w:r>
        <w:rPr/>
        <w:t>“</w:t>
      </w:r>
      <w:r>
        <w:rPr/>
        <w:t xml:space="preserve">In October, 2000, the utility received less than normal rainfall, and in November and December our drainage basin received significantly less than half of the statistical average precipitation for these months . . . These shortfalls forced SCL on the market for additional purchases at even higher prices.”  Exh. NPG-4 at 14:305-310.  </w:t>
      </w:r>
    </w:p>
    <w:p>
      <w:pPr>
        <w:pStyle w:val="ListBullet4"/>
        <w:numPr>
          <w:ilvl w:val="0"/>
          <w:numId w:val="5"/>
        </w:numPr>
        <w:rPr/>
      </w:pPr>
      <w:r>
        <w:rPr/>
        <w:t>“</w:t>
      </w:r>
      <w:r>
        <w:rPr/>
        <w:t>The ultimate blow to the western wholesale electricity market came when winter rains failed to materialize.  A dry fall turned into a dry winter and left the Pacific Northwest running on empty reservoirs by spring.  The traditional trading patterns between California and its northern neighbors – electricity shipped from the Northwest to California in the summer and returned by California to the Northwest in the winter – failed.”  Exh. NPG-16 at 16:361-366.</w:t>
      </w:r>
    </w:p>
    <w:p>
      <w:pPr>
        <w:pStyle w:val="BodyText"/>
        <w:rPr/>
      </w:pPr>
      <w:r>
        <w:rPr/>
        <w:t>As NPG witness Ms. Green testified, Seattle would typically prepare for potential electricity shortages by monitoring water levels:</w:t>
      </w:r>
    </w:p>
    <w:p>
      <w:pPr>
        <w:pStyle w:val="Quote"/>
        <w:ind w:hanging="360" w:start="1440" w:end="720"/>
        <w:rPr/>
      </w:pPr>
      <w:r>
        <w:rPr>
          <w:b/>
        </w:rPr>
        <w:t>Q:</w:t>
      </w:r>
      <w:r>
        <w:rPr/>
        <w:tab/>
        <w:t>Do you know when Seattle City Light realized that low water year was about to materialize for 2001?</w:t>
      </w:r>
    </w:p>
    <w:p>
      <w:pPr>
        <w:pStyle w:val="Quote"/>
        <w:ind w:hanging="360" w:start="1440" w:end="720"/>
        <w:rPr>
          <w:b/>
          <w:bCs/>
        </w:rPr>
      </w:pPr>
      <w:r>
        <w:rPr>
          <w:b/>
        </w:rPr>
        <w:t>A :</w:t>
        <w:tab/>
      </w:r>
      <w:r>
        <w:rPr/>
        <w:t>Most of our precipitation comes in the months of October through March, so October was the first month in which we were expecting significant precipitation in which it did not occur.  In November, we had a similar shortfall.  In December, we also had a shortfall.  And then, as my testimony indicates, the snow surveys that we viewed, and have done for 50 years, showed a declining water position every month that we measured the snow.</w:t>
      </w:r>
    </w:p>
    <w:p>
      <w:pPr>
        <w:pStyle w:val="afterquote"/>
        <w:rPr/>
      </w:pPr>
      <w:r>
        <w:rPr/>
        <w:t>Tr. at 592:19-593:4.</w:t>
      </w:r>
    </w:p>
    <w:p>
      <w:pPr>
        <w:pStyle w:val="BodyText"/>
        <w:rPr/>
      </w:pPr>
      <w:r>
        <w:rPr/>
        <w:t>As Ms. Green and others acknowledged, in 2000 and 2001, the PNW experienced the worst drought in the last 50 years.  See Tr. at 592:19</w:t>
        <w:noBreakHyphen/>
        <w:t xml:space="preserve">593:4; </w:t>
      </w:r>
      <w:r>
        <w:rPr>
          <w:i/>
        </w:rPr>
        <w:t>see also</w:t>
      </w:r>
      <w:r>
        <w:rPr/>
        <w:t xml:space="preserve"> Tr. at 610:20</w:t>
        <w:noBreakHyphen/>
        <w:t>611:10.  Combined with increased demand from population and technology growth (“one dot</w:t>
        <w:noBreakHyphen/>
        <w:t>com company can use 20</w:t>
        <w:noBreakHyphen/>
        <w:t>40 megawatts per day, the same as the entire [Seattle</w:t>
        <w:noBreakHyphen/>
        <w:t>Tacoma] airport.”), this drought caused an unprecedented increase in prices.  Tr. at 610:20</w:t>
        <w:noBreakHyphen/>
        <w:t xml:space="preserve">611:10.   </w:t>
      </w:r>
    </w:p>
    <w:p>
      <w:pPr>
        <w:pStyle w:val="BodyText"/>
        <w:tabs>
          <w:tab w:val="clear" w:pos="720"/>
          <w:tab w:val="left" w:pos="936" w:leader="none"/>
        </w:tabs>
        <w:rPr/>
      </w:pPr>
      <w:r>
        <w:rPr/>
        <w:t xml:space="preserve">In addition, in California, increased demand, unavailable generation, and credit concerns with California buyers all exacerbated the situation.  As Clark Public Utility’s witness Gary Saleba testified: </w:t>
      </w:r>
    </w:p>
    <w:p>
      <w:pPr>
        <w:pStyle w:val="Quote"/>
        <w:rPr/>
      </w:pPr>
      <w:r>
        <w:rPr/>
        <w:t xml:space="preserve">Several factors combined to exacerbate the problem: the fact that significant amounts of capacity were out of service in California for maintenance or other reasons; the fact that financial crises facing California’s two largest purchasing entities (both IOUs) led some sellers to withhold supply because of inadequate credit assurances; and the collapse of the California PX Day Ahead market. </w:t>
      </w:r>
    </w:p>
    <w:p>
      <w:pPr>
        <w:pStyle w:val="afterquote"/>
        <w:rPr/>
      </w:pPr>
      <w:r>
        <w:rPr/>
        <w:t>Exh. NPG-53 at 5:4-10.</w:t>
      </w:r>
    </w:p>
    <w:p>
      <w:pPr>
        <w:pStyle w:val="BodyText"/>
        <w:rPr/>
      </w:pPr>
      <w:r>
        <w:rPr/>
        <w:t xml:space="preserve">The record also establishes that increased demand for electricity contributed to increased input costs (i.e., higher demand for electricity resulted in higher demand for natural gas, causing the price for gas to increase):  </w:t>
      </w:r>
    </w:p>
    <w:p>
      <w:pPr>
        <w:pStyle w:val="ListBullet4"/>
        <w:numPr>
          <w:ilvl w:val="0"/>
          <w:numId w:val="5"/>
        </w:numPr>
        <w:rPr/>
      </w:pPr>
      <w:r>
        <w:rPr/>
        <w:t>“</w:t>
      </w:r>
      <w:r>
        <w:rPr/>
        <w:t xml:space="preserve">[P]rice increases [for wholesale electricity] are attributed to a number of basic factors – unprecedentedly [sic] high gas prices; strong economic activity in the WSCC region that had absorbed much of the excess capacity in the region; and low hydropower output due to drought conditions, especially in the Pacific Northwest.”  Exh. NPG-53 at 5:18-21.  </w:t>
      </w:r>
    </w:p>
    <w:p>
      <w:pPr>
        <w:pStyle w:val="ListBullet4"/>
        <w:numPr>
          <w:ilvl w:val="0"/>
          <w:numId w:val="5"/>
        </w:numPr>
        <w:rPr/>
      </w:pPr>
      <w:r>
        <w:rPr/>
        <w:t xml:space="preserve">“… </w:t>
      </w:r>
      <w:r>
        <w:rPr/>
        <w:t>spot and forward electricity prices in the PNW over the relevant period can largely be explained by low water availability and very high natural gas prices.”  Exh. ENR-10 at 5:3-5.</w:t>
      </w:r>
    </w:p>
    <w:p>
      <w:pPr>
        <w:pStyle w:val="ListBullet4"/>
        <w:numPr>
          <w:ilvl w:val="0"/>
          <w:numId w:val="5"/>
        </w:numPr>
        <w:rPr/>
      </w:pPr>
      <w:r>
        <w:rPr/>
        <w:t>“</w:t>
      </w:r>
      <w:r>
        <w:rPr/>
        <w:t xml:space="preserve">A large amount of the price increase in forward electricity markets in the Pacific Northwest can be explained by rapid increases in forward delivered gas prices in the region over the winter period.”  </w:t>
      </w:r>
      <w:r>
        <w:rPr>
          <w:i/>
        </w:rPr>
        <w:t>Id.</w:t>
      </w:r>
      <w:r>
        <w:rPr/>
        <w:t xml:space="preserve"> at 5:7-9.</w:t>
      </w:r>
    </w:p>
    <w:p>
      <w:pPr>
        <w:pStyle w:val="ListBullet4"/>
        <w:numPr>
          <w:ilvl w:val="0"/>
          <w:numId w:val="5"/>
        </w:numPr>
        <w:rPr/>
      </w:pPr>
      <w:r>
        <w:rPr/>
        <w:t>“</w:t>
      </w:r>
      <w:r>
        <w:rPr/>
        <w:t xml:space="preserve">In addition to dramatic changes in market conditions for natural gas in the Northwest, a second major factor that must be considered is the impact of hydrological conditions…. Just as the natural gas market was making it more costly to offer forward electricity contracts, the weather was reducing the ability of hydroelectric operators to enter into such forward commitments.  Available supply was therefore contracting, which put further upward pressure on prices.”  </w:t>
      </w:r>
      <w:r>
        <w:rPr>
          <w:i/>
        </w:rPr>
        <w:t>Id.</w:t>
      </w:r>
      <w:r>
        <w:rPr/>
        <w:t xml:space="preserve"> at 28:4-5, 12-15.</w:t>
      </w:r>
    </w:p>
    <w:p>
      <w:pPr>
        <w:pStyle w:val="OutlineStyle3"/>
        <w:numPr>
          <w:ilvl w:val="2"/>
          <w:numId w:val="8"/>
        </w:numPr>
        <w:rPr/>
      </w:pPr>
      <w:r>
        <w:rPr/>
        <w:t>A large number of buyers, sellers and available products, and a robust supply and demand response, characterized the PNW power market.</w:t>
      </w:r>
    </w:p>
    <w:p>
      <w:pPr>
        <w:pStyle w:val="afterquote"/>
        <w:ind w:firstLine="720" w:end="0"/>
        <w:rPr/>
      </w:pPr>
      <w:r>
        <w:rPr/>
        <w:t>The record evidence amply demonstrates that the PNW market for spot sales of electrical energy was at all times between December 25, 2000 to June 20, 2001 competitive and functional.  Dr. Tabors explained why:</w:t>
      </w:r>
    </w:p>
    <w:p>
      <w:pPr>
        <w:pStyle w:val="Quote"/>
        <w:rPr/>
      </w:pPr>
      <w:r>
        <w:rPr/>
        <w:t xml:space="preserve">[P]rices within the Pacific Northwest are established through bilateral contracts.  Buyers are not captive to a single market and certainly not a single point of supply.  There are multiple trading points in the Pacific Northwest and individual trades can take place at any other point that the two trading partners might choose.  The result is that the structure of the Pacific Northwest spot market is functional and is inherently more competitive and far more flexible than was or is the California spot market.  Participants in the Pacific Northwest market had a vast number of alternatives for purchases that were not available in the California market.  </w:t>
      </w:r>
    </w:p>
    <w:p>
      <w:pPr>
        <w:pStyle w:val="afterquote"/>
        <w:rPr/>
      </w:pPr>
      <w:r>
        <w:rPr/>
        <w:t>Exh. PWX-1 at 20:16-21:3.</w:t>
      </w:r>
    </w:p>
    <w:p>
      <w:pPr>
        <w:pStyle w:val="BodyText"/>
        <w:rPr/>
      </w:pPr>
      <w:r>
        <w:rPr/>
        <w:t xml:space="preserve">Dr. Tabors’ analysis and conclusion is fully consistent with that of other experts.  Dr. Jones explained that, the “classic definition of a competitive market is a market that relies on the interaction of many informed buyers and sellers such that no single buyer or seller can institute and profitably sustain a significant increase in price.”  Exh. PPL-1 at 7:12-14.  Using this rule, Dr. Jones found no evidence to support claims that the PNW market was other than  workably competitive:  </w:t>
      </w:r>
    </w:p>
    <w:p>
      <w:pPr>
        <w:pStyle w:val="Quote"/>
        <w:rPr/>
      </w:pPr>
      <w:r>
        <w:rPr/>
        <w:t>Based on my analysis, I conclude . . . the actions of sellers and the prevailing prices in the PNW are fully consistent with a competitive market and are an attempt on the part of buyers and sellers to allocate scarce resources efficiently.</w:t>
      </w:r>
    </w:p>
    <w:p>
      <w:pPr>
        <w:pStyle w:val="Quote"/>
        <w:ind w:firstLine="720" w:end="720"/>
        <w:rPr/>
      </w:pPr>
      <w:r>
        <w:rPr/>
        <w:tab/>
        <w:tab/>
        <w:tab/>
        <w:t>*</w:t>
        <w:tab/>
        <w:t>*</w:t>
        <w:tab/>
        <w:t>*</w:t>
      </w:r>
    </w:p>
    <w:p>
      <w:pPr>
        <w:pStyle w:val="Quote"/>
        <w:rPr/>
      </w:pPr>
      <w:r>
        <w:rPr/>
        <w:t xml:space="preserve">There has been no showing of market power or other evidence indicating members of the TFG did any thing other than reflect their competitive market expectations in their bilateral contracts.  </w:t>
      </w:r>
    </w:p>
    <w:p>
      <w:pPr>
        <w:pStyle w:val="afterquote"/>
        <w:rPr/>
      </w:pPr>
      <w:r>
        <w:rPr/>
        <w:t>Exh. PPL-1 at i.</w:t>
      </w:r>
    </w:p>
    <w:p>
      <w:pPr>
        <w:pStyle w:val="BodyText"/>
        <w:rPr/>
      </w:pPr>
      <w:r>
        <w:rPr/>
        <w:t xml:space="preserve">Dr. Jones explains that in the PNW, buyers and sellers of wholesale electricity can, at any time, negotiate using established and transparent terms.  </w:t>
      </w:r>
      <w:r>
        <w:rPr>
          <w:i/>
        </w:rPr>
        <w:t>Id.</w:t>
      </w:r>
      <w:r>
        <w:rPr/>
        <w:t xml:space="preserve"> at 7:14-18.  He explained that prices during the relevant period were a function of normal supply and demand conditions, which were largely unprecedented: </w:t>
      </w:r>
    </w:p>
    <w:p>
      <w:pPr>
        <w:pStyle w:val="Quote"/>
        <w:rPr/>
      </w:pPr>
      <w:r>
        <w:rPr/>
        <w:t>The prices set by the marketplace from December 2000 through June 2001 reflect the actions of buyers and sellers in a competitive market responding to forces other than market power.</w:t>
      </w:r>
    </w:p>
    <w:p>
      <w:pPr>
        <w:pStyle w:val="Quote"/>
        <w:rPr/>
      </w:pPr>
      <w:r>
        <w:rPr/>
        <w:tab/>
        <w:tab/>
        <w:tab/>
        <w:tab/>
        <w:t>*</w:t>
        <w:tab/>
        <w:t>*</w:t>
        <w:tab/>
        <w:t>*</w:t>
      </w:r>
    </w:p>
    <w:p>
      <w:pPr>
        <w:pStyle w:val="Quote"/>
        <w:rPr/>
      </w:pPr>
      <w:r>
        <w:rPr/>
        <w:t xml:space="preserve">[A]fter years of abundant generation capacity that caused prices to remain low, the market began to change in the late 1990’s as continued growth in electricity demand began to ‘bump against’ the ability of low-cost generators to meet peak load requirements at existing prices.  </w:t>
      </w:r>
    </w:p>
    <w:p>
      <w:pPr>
        <w:pStyle w:val="afterquote"/>
        <w:rPr/>
      </w:pPr>
      <w:r>
        <w:rPr>
          <w:i/>
          <w:iCs/>
        </w:rPr>
        <w:t>Id.</w:t>
      </w:r>
      <w:r>
        <w:rPr/>
        <w:t xml:space="preserve"> at 12:15-14:13; 29:12-15; 13:15-18.</w:t>
      </w:r>
    </w:p>
    <w:p>
      <w:pPr>
        <w:pStyle w:val="BodyText"/>
        <w:rPr/>
      </w:pPr>
      <w:r>
        <w:rPr/>
        <w:t xml:space="preserve">However, Dr. Jones, along with nearly all other witnesses, determined that the PNW market, confronted with these conditions, performed just as a workably competitive market would.  </w:t>
      </w:r>
    </w:p>
    <w:p>
      <w:pPr>
        <w:pStyle w:val="ListBullet4"/>
        <w:numPr>
          <w:ilvl w:val="0"/>
          <w:numId w:val="5"/>
        </w:numPr>
        <w:rPr/>
      </w:pPr>
      <w:r>
        <w:rPr/>
        <w:t>“</w:t>
      </w:r>
      <w:r>
        <w:rPr/>
        <w:t>As prices increased during 2000-2001, investors/suppliers responded, proposing new capacity additions.  On the demand side of the price signal, consumers went to work, reducing energy use and adopting conservation techniques….  As a consequence of this competitive response, prices for electricity in the PNW have fallen dramatically.”  Exh. PPL-1 at 14:7-13.</w:t>
      </w:r>
    </w:p>
    <w:p>
      <w:pPr>
        <w:pStyle w:val="ListBullet4"/>
        <w:numPr>
          <w:ilvl w:val="0"/>
          <w:numId w:val="5"/>
        </w:numPr>
        <w:rPr/>
      </w:pPr>
      <w:r>
        <w:rPr/>
        <w:t>“</w:t>
      </w:r>
      <w:r>
        <w:rPr/>
        <w:t xml:space="preserve">Notwithstanding the shortages of energy in the Pacific Northwest, the market was sufficiently competitive to enable purchasers to be selective about the energy product that they were purchasing.  As a consequence, purchasers were able to dictate certain key terms of transactions to sellers, such as firmness and point of delivery.”  Exh. PSCO-1 at 11:12-16.  </w:t>
      </w:r>
    </w:p>
    <w:p>
      <w:pPr>
        <w:pStyle w:val="ListBullet4"/>
        <w:numPr>
          <w:ilvl w:val="0"/>
          <w:numId w:val="5"/>
        </w:numPr>
        <w:rPr/>
      </w:pPr>
      <w:r>
        <w:rPr/>
        <w:t>Port of Seattle reported in May 2001, “[m]any experts are forecasting not only sustained periods of high prices but also shortages of electricity in 2001.  Staff believes it is critical that we not only take measures to reduce the cost of electricity through conservation…, but find a reliable and stable source of electricity for the Airport’s future needs.”  Exh. TFG-8 at 1, PS 1570.</w:t>
      </w:r>
    </w:p>
    <w:p>
      <w:pPr>
        <w:pStyle w:val="ListBullet4"/>
        <w:numPr>
          <w:ilvl w:val="0"/>
          <w:numId w:val="5"/>
        </w:numPr>
        <w:rPr/>
      </w:pPr>
      <w:r>
        <w:rPr/>
        <w:t>Port of Seattle also reported “[f]our different companies have approached us on … the option of self-generation….   Implementing energy conservation projects and programs [has] reduced [our] consumption by over 10% already and may get to 15% in another month.  Long term we believe we can reduce energy consumption by 20</w:t>
        <w:noBreakHyphen/>
        <w:t xml:space="preserve">25% from our current base.”  Exh. TFG-5 at PS 1529.  </w:t>
      </w:r>
    </w:p>
    <w:p>
      <w:pPr>
        <w:pStyle w:val="BodyText"/>
        <w:ind w:hanging="0" w:end="0"/>
        <w:rPr/>
      </w:pPr>
      <w:r>
        <w:rPr/>
        <w:t>As a result of these fully predictable market responses, the supply and demand were restored to balance in short order.  Mr. Van Vactor also explains how the Western power market crises moderated:</w:t>
      </w:r>
    </w:p>
    <w:p>
      <w:pPr>
        <w:pStyle w:val="Quote"/>
        <w:rPr/>
      </w:pPr>
      <w:r>
        <w:rPr/>
        <w:t>The Western power crisis has alleviated due to a significant drop in consumption.  In the PNW, many industrial customers agreed to shut their plants down and sell the power back to the supplier.  In California, the long-postponed retail rate increase finally went into effect in June [2001].  That combined with a conservation program dropped demand by more than five percent.  At the same time new, and more efficient, generating resources came on-line.  Summer weather returned more or less to normal and spot prices have returned to normal levels.</w:t>
        <w:br/>
        <w:br/>
        <w:t>The PNW was faced with an extreme and rare contraction in available supply.  To accommodate the shortage, prices rose dramatically, but that is exactly what they are supposed to do.  Higher prices provoked a drop in demand and an increase in alternative supplies.  Once it was clear that the function of demand and supply would accommodate the projected shortfall, prices collapsed with extraordinary speed.  Exh. ENR-9, compares an index of the price of the third quarter 2001 forward contract power delivered to Mid-C to an index of “Dot-Com” stock prices.  Once the western power market corrected it did so with a vengeance reflecting, once again, unpredictable Mother Nature and the awesome power of markets to accommodate her.</w:t>
      </w:r>
    </w:p>
    <w:p>
      <w:pPr>
        <w:pStyle w:val="afterquote"/>
        <w:rPr/>
      </w:pPr>
      <w:r>
        <w:rPr/>
        <w:t xml:space="preserve">Exh. ENR-1 at 20:13-21:6.  </w:t>
      </w:r>
    </w:p>
    <w:p>
      <w:pPr>
        <w:pStyle w:val="afterquote"/>
        <w:rPr/>
      </w:pPr>
      <w:r>
        <w:rPr/>
        <w:t>Dr. Tabors observed the same moderation of the market:</w:t>
      </w:r>
    </w:p>
    <w:p>
      <w:pPr>
        <w:pStyle w:val="Quote"/>
        <w:rPr/>
      </w:pPr>
      <w:r>
        <w:rPr/>
        <w:t>[T]he bilateral markets in the PNW, . . . which have been in existence for more than two decades, worked through a confluence of adverse circumstances in 2000 and 2001, and have now regained equilibrium.  Conservation resulted from price signals, demand was reduced, load was shed, and prices came down.  These are not indications of a broken market in the PNW, but of one that works.  It should be left alone to function.</w:t>
      </w:r>
    </w:p>
    <w:p>
      <w:pPr>
        <w:pStyle w:val="afterquote"/>
        <w:rPr/>
      </w:pPr>
      <w:r>
        <w:rPr/>
        <w:t>Exh. PWX-12 at 10:6-11.  Additionally, Dr. Jones observed:</w:t>
      </w:r>
    </w:p>
    <w:p>
      <w:pPr>
        <w:pStyle w:val="BodyText"/>
        <w:spacing w:lineRule="auto" w:line="240"/>
        <w:ind w:hanging="0" w:start="720" w:end="0"/>
        <w:rPr/>
      </w:pPr>
      <w:r>
        <w:rPr/>
        <w:t>The price signals sent to buyers and sellers in the spot market for electricity in the PNW are sufficiently strong to cause forces to be put into place that will change the structure and nature of the wholesale market so that the price spikes are unlikely to reoccur.</w:t>
      </w:r>
    </w:p>
    <w:p>
      <w:pPr>
        <w:pStyle w:val="BodyText"/>
        <w:spacing w:lineRule="auto" w:line="240"/>
        <w:ind w:hanging="0" w:end="0"/>
        <w:rPr/>
      </w:pPr>
      <w:r>
        <w:rPr/>
      </w:r>
    </w:p>
    <w:p>
      <w:pPr>
        <w:pStyle w:val="BodyText"/>
        <w:spacing w:lineRule="auto" w:line="240"/>
        <w:ind w:hanging="0" w:end="0"/>
        <w:rPr/>
      </w:pPr>
      <w:r>
        <w:rPr/>
        <w:t>Exh. PPL-1, p.5.</w:t>
      </w:r>
    </w:p>
    <w:p>
      <w:pPr>
        <w:pStyle w:val="BodyText"/>
        <w:spacing w:lineRule="auto" w:line="240"/>
        <w:rPr/>
      </w:pPr>
      <w:r>
        <w:rPr/>
      </w:r>
    </w:p>
    <w:p>
      <w:pPr>
        <w:pStyle w:val="BodyText"/>
        <w:rPr/>
      </w:pPr>
      <w:r>
        <w:rPr/>
        <w:t xml:space="preserve">Moreover, on cross-examination, the claimants’ witness, Dr. Mason, conceded that sellers who engaged in the business of marketing electrical power face no barriers to entry.  </w:t>
      </w:r>
      <w:r>
        <w:rPr>
          <w:i/>
        </w:rPr>
        <w:t>See</w:t>
      </w:r>
      <w:r>
        <w:rPr/>
        <w:t xml:space="preserve"> Tr. at 770:24</w:t>
        <w:noBreakHyphen/>
        <w:t xml:space="preserve">772:3.  Dr. Mason testified unconditionally that for sellers who are marketers that “[t]here are no barriers to prevent them [from] buy[ing] and resell[ing].”  </w:t>
      </w:r>
      <w:r>
        <w:rPr>
          <w:i/>
        </w:rPr>
        <w:t>Id.</w:t>
      </w:r>
    </w:p>
    <w:p>
      <w:pPr>
        <w:pStyle w:val="BodyText"/>
        <w:ind w:hanging="0" w:end="0"/>
        <w:rPr/>
      </w:pPr>
      <w:r>
        <w:rPr/>
        <w:t>Likewise, another of the claimants’ witnesses, Dr. Pechman, admitted that he conducted no econometric or price elasticity studies to support his contention, contrary to the evidence, that demand in the PNW does not respond to price::</w:t>
      </w:r>
    </w:p>
    <w:p>
      <w:pPr>
        <w:pStyle w:val="Quote"/>
        <w:ind w:hanging="360" w:start="1440" w:end="720"/>
        <w:rPr/>
      </w:pPr>
      <w:r>
        <w:rPr>
          <w:b/>
        </w:rPr>
        <w:t>Q:</w:t>
      </w:r>
      <w:r>
        <w:rPr/>
        <w:tab/>
        <w:t>Where in your testimony – I'm going to open it up.  I want to look at a line or a line or an exhibit in your testimony, where do you prepare and present to this court an economic analysis of the elasticity of demand for wholesale power in the Pacific Northwest market during the period at issue, where?</w:t>
      </w:r>
    </w:p>
    <w:p>
      <w:pPr>
        <w:pStyle w:val="Quote"/>
        <w:ind w:hanging="360" w:start="1440" w:end="720"/>
        <w:rPr/>
      </w:pPr>
      <w:r>
        <w:rPr>
          <w:b/>
        </w:rPr>
        <w:t>A:</w:t>
      </w:r>
      <w:r>
        <w:rPr/>
        <w:tab/>
        <w:t>I have no such analysis in this testimony.</w:t>
      </w:r>
    </w:p>
    <w:p>
      <w:pPr>
        <w:pStyle w:val="afterquote"/>
        <w:rPr/>
      </w:pPr>
      <w:r>
        <w:rPr/>
        <w:t>Tr. at 1030: 2-9.  Similarly, Dr. Pechman admitted that he had no evidence to support his assertion that suppliers exercised  market power by withholding power from the market:</w:t>
      </w:r>
    </w:p>
    <w:p>
      <w:pPr>
        <w:pStyle w:val="Quote"/>
        <w:ind w:hanging="360" w:start="1440" w:end="720"/>
        <w:rPr/>
      </w:pPr>
      <w:r>
        <w:rPr>
          <w:b/>
        </w:rPr>
        <w:t>Q:</w:t>
      </w:r>
      <w:r>
        <w:rPr/>
        <w:tab/>
        <w:t>Let me just ask, in your testimony in this proceeding, do you provide any evidence of joint action by suppliers of wholesale electricity to the Pacific Northwest market during the period at issue?  Do you provide any evidence of joint action by suppliers?</w:t>
      </w:r>
    </w:p>
    <w:p>
      <w:pPr>
        <w:pStyle w:val="Quote"/>
        <w:ind w:hanging="360" w:start="1440" w:end="720"/>
        <w:rPr/>
      </w:pPr>
      <w:r>
        <w:rPr>
          <w:b/>
        </w:rPr>
        <w:t>A:</w:t>
      </w:r>
      <w:r>
        <w:rPr/>
        <w:tab/>
        <w:t>No.</w:t>
      </w:r>
    </w:p>
    <w:p>
      <w:pPr>
        <w:pStyle w:val="afterquote"/>
        <w:rPr/>
      </w:pPr>
      <w:r>
        <w:rPr>
          <w:i/>
        </w:rPr>
        <w:t>Id.</w:t>
      </w:r>
      <w:r>
        <w:rPr/>
        <w:t xml:space="preserve"> at 1030:20-25.</w:t>
      </w:r>
    </w:p>
    <w:p>
      <w:pPr>
        <w:pStyle w:val="BodyText"/>
        <w:rPr/>
      </w:pPr>
      <w:r>
        <w:rPr/>
        <w:t>Claimant's arguments are based not on any proof that the PNWmarket was somehow flawed.  In fact, the evidence proves the opposite.  Seattle witness Mr. McCullough observed:</w:t>
      </w:r>
    </w:p>
    <w:p>
      <w:pPr>
        <w:pStyle w:val="QuoteIndent"/>
        <w:ind w:hanging="0" w:end="720"/>
        <w:rPr/>
      </w:pPr>
      <w:r>
        <w:rPr/>
        <w:t>One reason why real world commodity exchanges avoid the administered prices of the California model is that these types of markets have proven relatively easy to manipulate.  Manipulation of prices in the WSCC outside of California is difficult since no central authority can be “gamed.”</w:t>
      </w:r>
    </w:p>
    <w:p>
      <w:pPr>
        <w:pStyle w:val="BodyText"/>
        <w:ind w:hanging="0" w:end="0"/>
        <w:rPr/>
      </w:pPr>
      <w:r>
        <w:rPr/>
        <w:t>Exh. NPG-1 at 7:19-22.  EWEB witness Mr. Spettel echoed this characterization of the PNW:</w:t>
      </w:r>
    </w:p>
    <w:p>
      <w:pPr>
        <w:pStyle w:val="QuoteIndent"/>
        <w:ind w:hanging="0" w:end="720"/>
        <w:rPr/>
      </w:pPr>
      <w:r>
        <w:rPr/>
        <w:t>While the prices in the Pacific Northwest were higher than expected or desired by EWEB, whether EWEB was a purchaser or a seller in a given transaction, the prices were not a result of unreasonable profit taking or unreasonable leverage exercised by a given seller or sellers in the Pacific Northwest market.</w:t>
      </w:r>
    </w:p>
    <w:p>
      <w:pPr>
        <w:pStyle w:val="BodyText"/>
        <w:ind w:hanging="0" w:end="0"/>
        <w:rPr/>
      </w:pPr>
      <w:r>
        <w:rPr/>
        <w:t xml:space="preserve">Exh. NPG-8 at 8. </w:t>
      </w:r>
      <w:r>
        <w:rPr>
          <w:i/>
          <w:iCs/>
        </w:rPr>
        <w:t xml:space="preserve"> </w:t>
      </w:r>
      <w:r>
        <w:rPr/>
        <w:t>Nor do refund advocates seek any structural changes in the operation of the markets governed by the WSPP Agreement:</w:t>
      </w:r>
    </w:p>
    <w:p>
      <w:pPr>
        <w:pStyle w:val="BodyText"/>
        <w:spacing w:lineRule="auto" w:line="240"/>
        <w:ind w:hanging="720" w:start="1440" w:end="0"/>
        <w:rPr/>
      </w:pPr>
      <w:r>
        <w:rPr>
          <w:b/>
          <w:bCs/>
        </w:rPr>
        <w:t>Q:</w:t>
      </w:r>
      <w:r>
        <w:rPr/>
        <w:tab/>
        <w:t>In fact, you're not advancing any challenge to any of the terms and provisions of the WSP agreement, correct?</w:t>
      </w:r>
    </w:p>
    <w:p>
      <w:pPr>
        <w:pStyle w:val="BodyText"/>
        <w:spacing w:lineRule="auto" w:line="240"/>
        <w:ind w:hanging="0" w:start="720" w:end="0"/>
        <w:rPr/>
      </w:pPr>
      <w:r>
        <w:rPr/>
      </w:r>
    </w:p>
    <w:p>
      <w:pPr>
        <w:pStyle w:val="BodyText"/>
        <w:spacing w:lineRule="auto" w:line="240"/>
        <w:ind w:hanging="0" w:start="720" w:end="0"/>
        <w:rPr/>
      </w:pPr>
      <w:r>
        <w:rPr>
          <w:b/>
          <w:bCs/>
        </w:rPr>
        <w:t>A:</w:t>
      </w:r>
      <w:r>
        <w:rPr/>
        <w:tab/>
        <w:t>Correct.</w:t>
      </w:r>
    </w:p>
    <w:p>
      <w:pPr>
        <w:pStyle w:val="BodyText"/>
        <w:spacing w:lineRule="auto" w:line="240"/>
        <w:ind w:hanging="0" w:start="720" w:end="0"/>
        <w:rPr/>
      </w:pPr>
      <w:r>
        <w:rPr/>
      </w:r>
    </w:p>
    <w:p>
      <w:pPr>
        <w:pStyle w:val="BodyText"/>
        <w:spacing w:lineRule="auto" w:line="240"/>
        <w:ind w:hanging="720" w:start="1440" w:end="0"/>
        <w:rPr/>
      </w:pPr>
      <w:r>
        <w:rPr>
          <w:b/>
          <w:bCs/>
        </w:rPr>
        <w:t>Q:</w:t>
      </w:r>
      <w:r>
        <w:rPr/>
        <w:tab/>
        <w:t>Are there any provisions that come to mind that you think you'd like to have changed in this proceeding?</w:t>
      </w:r>
    </w:p>
    <w:p>
      <w:pPr>
        <w:pStyle w:val="BodyText"/>
        <w:spacing w:lineRule="auto" w:line="240"/>
        <w:ind w:hanging="0" w:start="720" w:end="0"/>
        <w:rPr/>
      </w:pPr>
      <w:r>
        <w:rPr/>
      </w:r>
    </w:p>
    <w:p>
      <w:pPr>
        <w:pStyle w:val="BodyText"/>
        <w:spacing w:lineRule="auto" w:line="240"/>
        <w:ind w:hanging="0" w:start="720" w:end="0"/>
        <w:rPr/>
      </w:pPr>
      <w:r>
        <w:rPr>
          <w:b/>
          <w:bCs/>
        </w:rPr>
        <w:t>A:</w:t>
      </w:r>
      <w:r>
        <w:rPr/>
        <w:tab/>
        <w:t xml:space="preserve"> No.</w:t>
      </w:r>
    </w:p>
    <w:p>
      <w:pPr>
        <w:pStyle w:val="BodyText"/>
        <w:spacing w:lineRule="auto" w:line="240"/>
        <w:ind w:hanging="0" w:end="0"/>
        <w:rPr/>
      </w:pPr>
      <w:r>
        <w:rPr/>
      </w:r>
    </w:p>
    <w:p>
      <w:pPr>
        <w:pStyle w:val="BodyText"/>
        <w:ind w:hanging="0" w:end="0"/>
        <w:rPr/>
      </w:pPr>
      <w:r>
        <w:rPr/>
        <w:t>Tr. at 660-661.</w:t>
      </w:r>
    </w:p>
    <w:p>
      <w:pPr>
        <w:pStyle w:val="BodyText"/>
        <w:rPr/>
      </w:pPr>
      <w:r>
        <w:rPr/>
        <w:t xml:space="preserve">Rather, claimants’ argument reduces to this: Because prices were high in both California and the PNW and because these markets are integrated, prices in the PNW must have been “influenced” by the “flaws” the Commission found in the ISO and PX spot markets.  This argument finds causation where none exists.  An imbalance between supply and demand caused the high prices throughout the west.  The flawed market structures of California exacerbated the effects of scarcity in California, but they were not the cause in either California or the PNW or the rest of the WSCC.  Tr. at ___ </w:t>
      </w:r>
      <w:r>
        <w:rPr>
          <w:b/>
          <w:bCs/>
        </w:rPr>
        <w:t xml:space="preserve">[Adamson cross-exam] </w:t>
      </w:r>
      <w:r>
        <w:rPr/>
        <w:t xml:space="preserve"> Further, those seeking refunds ignore the Commission's findings that, although an “interdependence [exists] among the prices in the ISO's organized spot markets, the prices in the bilateral spot markets in California and the rest of the West, and the prices in forward market,”</w:t>
      </w:r>
      <w:r>
        <w:rPr>
          <w:rStyle w:val="FootnoteCharacters"/>
          <w:rStyle w:val="FootnoteReference"/>
        </w:rPr>
        <w:footnoteReference w:id="40"/>
      </w:r>
      <w:r>
        <w:rPr/>
        <w:t xml:space="preserve"> there was no basis for extending the mitigation plan to markets other than the ISO and PX spot markets because “any mitigation applied to the ISO's real-time markets will, over time, impact bilateral and forward markets as well.”</w:t>
      </w:r>
      <w:r>
        <w:rPr>
          <w:rStyle w:val="FootnoteCharacters"/>
          <w:rStyle w:val="FootnoteReference"/>
        </w:rPr>
        <w:footnoteReference w:id="41"/>
      </w:r>
    </w:p>
    <w:p>
      <w:pPr>
        <w:pStyle w:val="BodyText"/>
        <w:rPr/>
      </w:pPr>
      <w:r>
        <w:rPr/>
        <w:t>To date, the Commission has taken a surgical approach to the problems in California.</w:t>
      </w:r>
      <w:r>
        <w:rPr>
          <w:rStyle w:val="FootnoteCharacters"/>
          <w:rStyle w:val="FootnoteReference"/>
        </w:rPr>
        <w:footnoteReference w:id="42"/>
      </w:r>
      <w:r>
        <w:rPr/>
        <w:t xml:space="preserve">  It has determined that structural flaws existed in the ISO and PX spot markets and it purported to design a refund order and mitigation plan to cure those flaws.  The Commission has rightly refused to extend refund liability to other California markets in which prices were apparently “influenced” by the ISO and PX prices but where no structural flaws existed.  For the same reason, refunds should not be imposed in the PNW.  There is no evidence, allegation, or finding that any structural flaw at all existed in the PNW market.  The Commission should minimize its intervention in otherwise well-functioning market mechanisms.  </w:t>
      </w:r>
    </w:p>
    <w:p>
      <w:pPr>
        <w:pStyle w:val="OutlineStyle3"/>
        <w:numPr>
          <w:ilvl w:val="2"/>
          <w:numId w:val="8"/>
        </w:numPr>
        <w:rPr/>
      </w:pPr>
      <w:r>
        <w:rPr/>
        <w:t>Claimants seek to be shielded from the consequences of their own marketplace conduct.</w:t>
      </w:r>
    </w:p>
    <w:p>
      <w:pPr>
        <w:pStyle w:val="BodyText"/>
        <w:rPr/>
      </w:pPr>
      <w:r>
        <w:rPr/>
        <w:t xml:space="preserve">In seeking refunds, claimants build their arguments on the existence of high prices alone.  In doing so, they are trying to shield themselves from the consequences of their own decisions. There is no doubt that refund claimants were aware of the risks they were taking by increasing their reliance on the spot market to serve load.  The Commission has said: </w:t>
      </w:r>
    </w:p>
    <w:p>
      <w:pPr>
        <w:pStyle w:val="Quote"/>
        <w:rPr/>
      </w:pPr>
      <w:r>
        <w:rPr/>
        <w:t xml:space="preserve">We emphasize that, by design and definition, spot markets must be allowed to reflect the price swings which capture their temporal nature.  In markets such as these, which are the closest to when demand must be met, sufficient supply often manifests itself by dramatic price drops while tight supply can produce dramatic price increases.  This is the nature of spot markets.  </w:t>
      </w:r>
      <w:r>
        <w:rPr>
          <w:i/>
        </w:rPr>
        <w:t>Those who remain in the spot market for buying their residual load or selling their residual supply should be there in full recognition of the effects on price of last minute sales and purchases</w:t>
      </w:r>
      <w:r>
        <w:rPr/>
        <w:t>.</w:t>
      </w:r>
      <w:r>
        <w:rPr>
          <w:rStyle w:val="FootnoteCharacters"/>
          <w:rStyle w:val="FootnoteReference"/>
        </w:rPr>
        <w:footnoteReference w:id="43"/>
      </w:r>
      <w:r>
        <w:rPr/>
        <w:t xml:space="preserve"> </w:t>
      </w:r>
    </w:p>
    <w:p>
      <w:pPr>
        <w:pStyle w:val="Normal"/>
        <w:spacing w:lineRule="auto" w:line="480"/>
        <w:ind w:firstLine="720" w:end="0"/>
        <w:rPr/>
      </w:pPr>
      <w:r>
        <w:rPr/>
        <w:t>Tacoma’s witness, Ms. Stegeman, noted explicitly that Tacoma chose to take the risk of high spot market prices.   Tacoma chose not to accept the “environmental risk associated with the operation of the coal burning [Centralia] plant,” or the risk of being “locked into a long term contract” at prices above the prevailing spot market price.  Exh. NPG-57 at 3.  Ms. Stegeman even contended that “a utility should be protected by the FERC for market prices if the utility mismanaged the acquisition of its power supply portfolio.”  Tr. at 692:9-692:12. The evidence is clear that such intervention is not conducive to a competitive market.  As Dr. Cicchetti explains:</w:t>
      </w:r>
    </w:p>
    <w:p>
      <w:pPr>
        <w:pStyle w:val="Normal"/>
        <w:ind w:start="720" w:end="0"/>
        <w:rPr/>
      </w:pPr>
      <w:r>
        <w:rPr/>
        <w:t>Over time there was a real advantage to being in a 'short' supply position and routinely looking to longer term purchases every year to supplement facilities to meet native load. . .Those who seek refunds for anomolous years are looking for a 'heads I win, tails you lose' result.</w:t>
      </w:r>
    </w:p>
    <w:p>
      <w:pPr>
        <w:pStyle w:val="Normal"/>
        <w:rPr/>
      </w:pPr>
      <w:r>
        <w:rPr/>
      </w:r>
    </w:p>
    <w:p>
      <w:pPr>
        <w:pStyle w:val="Normal"/>
        <w:rPr/>
      </w:pPr>
      <w:r>
        <w:rPr/>
        <w:t>Exh. IE-2, p. 19.</w:t>
      </w:r>
    </w:p>
    <w:p>
      <w:pPr>
        <w:pStyle w:val="Normal"/>
        <w:rPr/>
      </w:pPr>
      <w:r>
        <w:rPr/>
      </w:r>
    </w:p>
    <w:p>
      <w:pPr>
        <w:pStyle w:val="Normal"/>
        <w:spacing w:lineRule="auto" w:line="480"/>
        <w:rPr/>
      </w:pPr>
      <w:r>
        <w:rPr/>
        <w:t xml:space="preserve">If the position of the refund proponents is accepted, they would be relieved of the consequences of their conscious economic decisions at the expense of a functioning competitive market in which a vast majority of the PNW purchasers during this period accept responsibility for the choices they made. </w:t>
      </w:r>
    </w:p>
    <w:p>
      <w:pPr>
        <w:pStyle w:val="OutlineStyle4"/>
        <w:numPr>
          <w:ilvl w:val="3"/>
          <w:numId w:val="8"/>
        </w:numPr>
        <w:ind w:hanging="0" w:start="0"/>
        <w:rPr/>
      </w:pPr>
      <w:r>
        <w:rPr/>
        <w:t>PNW claimants made a series of conscious decisions to increase their reliance on the spot market.</w:t>
      </w:r>
    </w:p>
    <w:p>
      <w:pPr>
        <w:pStyle w:val="BodyText"/>
        <w:rPr/>
      </w:pPr>
      <w:r>
        <w:rPr/>
        <w:t xml:space="preserve">Uncontradicted record evidence demonstrates that parties seeking refunds chose to increase their reliance on the spot market.   Unlike California, </w:t>
      </w:r>
      <w:r>
        <w:rPr>
          <w:i/>
          <w:iCs/>
        </w:rPr>
        <w:t>no one</w:t>
      </w:r>
      <w:r>
        <w:rPr/>
        <w:t xml:space="preserve"> in the PNW was forced to over-rely on spot markets.  Those who made spot purchases did so voluntarily, both benefiting and losing from their choices as the market moved up and down.</w:t>
      </w:r>
    </w:p>
    <w:p>
      <w:pPr>
        <w:pStyle w:val="BodyText"/>
        <w:rPr/>
      </w:pPr>
      <w:r>
        <w:rPr/>
        <w:t xml:space="preserve">NPG witness Ms. Green testified that in 1996, Seattle City Light had a “surplus generation position of over 250 MW.”  Exh. NPG-67 at 3.  Over the next four years, however, Seattle chose to dismantle that surplus.  Seattle reduced the amount of power it was entitled to take from BPA by 100 MW, and sold its 80 MW share of the Centralia power plant.  </w:t>
      </w:r>
      <w:r>
        <w:rPr>
          <w:i/>
          <w:iCs/>
        </w:rPr>
        <w:t>Id.</w:t>
      </w:r>
      <w:r>
        <w:rPr/>
        <w:t xml:space="preserve">  Assuming normal water conditions, Ms. Green admitted that these actions reduced Seattle’s projected surplus for 2001 to just 22 MW.  </w:t>
      </w:r>
      <w:r>
        <w:rPr>
          <w:i/>
          <w:iCs/>
        </w:rPr>
        <w:t>Id.</w:t>
      </w:r>
      <w:r>
        <w:rPr/>
        <w:t xml:space="preserve">  In relation to Seattle's average annual load of over 1100 MW and peak load of 1769 MW, this reserve is only 2% of average load and barely 1% of peak load.  This is insufficient for a normal water year and sorely deficient for a drought year.  Exh. NPG-4 at 8:179-9:195.   Seattle recognized in September, 2000 that the Centralia sale left it “more dependent on the market than we have been historically.”  Exh. PPG-___  at 21 n.19 (</w:t>
      </w:r>
      <w:r>
        <w:rPr>
          <w:i/>
          <w:iCs/>
        </w:rPr>
        <w:t>quoting</w:t>
      </w:r>
      <w:r>
        <w:rPr/>
        <w:t xml:space="preserve"> Seattle City Light, </w:t>
      </w:r>
      <w:r>
        <w:rPr>
          <w:i/>
          <w:iCs/>
        </w:rPr>
        <w:t>SCL Issues Brief: Wholesale Power Market Prices and Seattle City Light Rates</w:t>
      </w:r>
      <w:r>
        <w:rPr/>
        <w:t xml:space="preserve">, Sept. 19, 2000, at 2) </w:t>
      </w:r>
      <w:r>
        <w:rPr>
          <w:b/>
          <w:bCs/>
        </w:rPr>
        <w:t>[cite]</w:t>
      </w:r>
      <w:r>
        <w:rPr/>
        <w:t>.</w:t>
      </w:r>
    </w:p>
    <w:p>
      <w:pPr>
        <w:pStyle w:val="BodyText"/>
        <w:rPr/>
      </w:pPr>
      <w:r>
        <w:rPr/>
        <w:t>Tacoma likewise sold its [80 MW] share of the Centralia production.  Tacoma replaced this production with purchases from Powerex and BPA – parties from whom it now seeks refunds.  Exh. NPG-57 at 3.  Neither Seattle nor Tacoma chose to build or acquire generating capacity to replace the Centralia production until after the consequences of their short position became apparent.   Seattle also chose to base its supply plans on what turned out to be overly-optimistic projections of water levels, rather than on the conservative assumptions available to it.  Tr. at 591:20-25.  Tacoma based its hydroelectric production capability on water levels that did not match actual levels in the previous three of four years.  Exh. NPG-57 at 4, 8.</w:t>
      </w:r>
    </w:p>
    <w:p>
      <w:pPr>
        <w:pStyle w:val="BodyText"/>
        <w:rPr/>
      </w:pPr>
      <w:r>
        <w:rPr/>
        <w:t>Purchase of forward contracts was another option available throughout the Pacific Northwest to reduce reliance on the volatile spot market.  Tr. at 656:15-657:4.  In September 2000, TFG member Powerex offered forward contracts for delivery of power during the first quarter of 2001 at $75.50 and $81 per MW.  Tr. at 689:11-690:21; Exh. TCE-2.  One of Tacoma's industrial customers, Simpson Timber, chose to acquire power on these terms, and thus avoided having to acquire this power at the higher spot market prices prevailing in the first quarter of 2001.  Tr. at 691: 9-691:14, 700:10-700:22.  Tacoma, however, chose not to do so.   Tacoma also received quotations for forward purchases from a number of parties in November 2000, but did not take advantage of them.  Tr. at 647:10–649:14; Exh. TFG-9.  Despite this, Tacoma now asks the Commission to give it, through refunds, rates it rejected in the marketplace.  The evidence shows that the claimants, like Tacoma, essentially want this Commission to absolve them of their conscious decisions.  The public interest does not provide for such regulatory interventions.</w:t>
      </w:r>
    </w:p>
    <w:p>
      <w:pPr>
        <w:pStyle w:val="BodyText"/>
        <w:rPr/>
      </w:pPr>
      <w:r>
        <w:rPr/>
        <w:t>Finally, refund proponents increased their reliance on the spot market by managing their own resources to pursue goals other than generation of electricity to meet their loads.  Ms. Green’s testimony referred to Seattle’s need to “serve the environmental expectations of our customers.”  Exh. NPG-67 at 8-9.  Measures to do so included implementation of salmon preservation policies that limited the ability of the hydroelectric power system to shape flows in a given month to meet firm system needs.  Exh. ENR-1 at 17-18.  Although salutary, such choices have a cost, which is Seattle's and not other suppliers' responsibility to pay for..</w:t>
      </w:r>
    </w:p>
    <w:p>
      <w:pPr>
        <w:pStyle w:val="OutlineStyle4"/>
        <w:numPr>
          <w:ilvl w:val="3"/>
          <w:numId w:val="8"/>
        </w:numPr>
        <w:ind w:hanging="0" w:start="0"/>
        <w:rPr/>
      </w:pPr>
      <w:r>
        <w:rPr/>
        <w:t>PNW claimants benefited for years from their reliance on the spot market, but seek refunds now for the brief period during which that strategy has proven less successful.</w:t>
      </w:r>
    </w:p>
    <w:p>
      <w:pPr>
        <w:pStyle w:val="BodyText"/>
        <w:rPr/>
      </w:pPr>
      <w:r>
        <w:rPr/>
        <w:t>For a number of years preceding the refund period, wholesale electricity market prices in the Pacific Northwest were, according to Tacoma’s Ms. Stegeman, “quite low.”  Exh. NPG-16 at 14.  During this time:</w:t>
      </w:r>
    </w:p>
    <w:p>
      <w:pPr>
        <w:pStyle w:val="BodyText"/>
        <w:spacing w:lineRule="auto" w:line="240"/>
        <w:ind w:hanging="0" w:start="720" w:end="0"/>
        <w:rPr>
          <w:b/>
          <w:bCs/>
        </w:rPr>
      </w:pPr>
      <w:r>
        <w:rPr/>
        <w:t>load-serving utilities [have found] that taking a “short” generation position is good for business and their retail consumers most of the time.  When the price for this often-sensible policy gamble comes due periodically, as it did in 2000/2001, it is not reasonable to grant refunds to load-serving entities that are successfully “in the money” most years when they bet on a “short” position….</w:t>
      </w:r>
    </w:p>
    <w:p>
      <w:pPr>
        <w:pStyle w:val="BodyText"/>
        <w:spacing w:lineRule="auto" w:line="240"/>
        <w:ind w:hanging="0" w:end="0"/>
        <w:rPr>
          <w:b/>
          <w:bCs/>
        </w:rPr>
      </w:pPr>
      <w:r>
        <w:rPr>
          <w:b/>
          <w:bCs/>
        </w:rPr>
      </w:r>
    </w:p>
    <w:p>
      <w:pPr>
        <w:pStyle w:val="BodyText"/>
        <w:spacing w:lineRule="auto" w:line="240"/>
        <w:ind w:hanging="0" w:end="0"/>
        <w:rPr/>
      </w:pPr>
      <w:r>
        <w:rPr/>
        <w:t>Exh. IE-2 at 28:15-20.</w:t>
      </w:r>
    </w:p>
    <w:p>
      <w:pPr>
        <w:pStyle w:val="BodyText"/>
        <w:spacing w:lineRule="auto" w:line="240"/>
        <w:rPr/>
      </w:pPr>
      <w:r>
        <w:rPr/>
      </w:r>
    </w:p>
    <w:p>
      <w:pPr>
        <w:pStyle w:val="BodyText"/>
        <w:rPr/>
      </w:pPr>
      <w:r>
        <w:rPr/>
        <w:t xml:space="preserve">Moreover, during this time, wholesale electric power was often available in the spot market at lower rates than those available through forward contracts and other long-term arrangements.   That is why, for example, Seattle chose in 1996 “to take 100 MW off of its BPA entitlement, the cost of which exceeded the market at that time.”  Exh. NPG-67 at 3.  By electing to rely on the spot market during this period, refund proponents benefited financially (although at the cost of increasing their exposure to the risk of spot market price increases).   Tacoma, for example, was able to keep its rate levels unchanged from 1995 to December 2000.  Exh. NPG-16 at 12; </w:t>
      </w:r>
      <w:r>
        <w:rPr>
          <w:i/>
          <w:iCs/>
        </w:rPr>
        <w:t>see</w:t>
      </w:r>
      <w:r>
        <w:rPr/>
        <w:t xml:space="preserve"> Exh. PPL-1 at 24 &amp; n.24.</w:t>
      </w:r>
    </w:p>
    <w:p>
      <w:pPr>
        <w:pStyle w:val="BodyText"/>
        <w:rPr/>
      </w:pPr>
      <w:r>
        <w:rPr/>
        <w:t xml:space="preserve">Having now experienced the volatile price increases of the spot market to which they exposed themselves for short-term financial gain, the refund proponents are rebalancing their portfolios by returning to BPA or by acquiring interests in new generation facilities.  Seattle has acquired a 100 MW capacity share of a combustion turbine and exercised its right to take its full BPA entitlement.  Exh. NPG-67 at 3.  A May 2001 Port of Seattle staff analysis concluded that “[b]ecoming a BPA customer is the best long-term strategy for the Airport.”  Exh. TFG-8 at 2; </w:t>
      </w:r>
      <w:r>
        <w:rPr>
          <w:i/>
          <w:iCs/>
        </w:rPr>
        <w:t>see</w:t>
      </w:r>
      <w:r>
        <w:rPr/>
        <w:t xml:space="preserve"> Tr. at 614:18-614:25.  Tacoma has installed a 48 MW diesel generation project and entered into exchange agreements with other power suppliers.  Exh. NPG-15 at 18; Exh. NPG-57 at 5.  These responses by refund proponenet are proof positive that the market is functioning properly and that it continues to offer choices to its participants.  The refund proponents could easily have taken these risk-reducing steps sooner; for reasons of their own, they decided not to do so.</w:t>
      </w:r>
      <w:r>
        <w:rPr>
          <w:rStyle w:val="FootnoteCharacters"/>
          <w:rStyle w:val="FootnoteReference"/>
        </w:rPr>
        <w:footnoteReference w:id="44"/>
      </w:r>
      <w:r>
        <w:rPr/>
        <w:t xml:space="preserve">  They should not now be reimbursed through an after-the-fact refund for decisions which benefitted them for many years, but were “wrong” for a brief time.</w:t>
      </w:r>
      <w:r>
        <w:rPr>
          <w:rStyle w:val="FootnoteCharacters"/>
          <w:rStyle w:val="FootnoteReference"/>
        </w:rPr>
        <w:footnoteReference w:id="45"/>
      </w:r>
      <w:r>
        <w:rPr/>
        <w:t xml:space="preserve"> </w:t>
        <w:tab/>
      </w:r>
    </w:p>
    <w:p>
      <w:pPr>
        <w:pStyle w:val="OutlineStyle4"/>
        <w:numPr>
          <w:ilvl w:val="3"/>
          <w:numId w:val="8"/>
        </w:numPr>
        <w:ind w:hanging="0" w:start="0"/>
        <w:rPr/>
      </w:pPr>
      <w:r>
        <w:rPr/>
        <w:t>PNW claimants rejected available hedging strategies.</w:t>
      </w:r>
    </w:p>
    <w:p>
      <w:pPr>
        <w:pStyle w:val="BodyText"/>
        <w:rPr/>
      </w:pPr>
      <w:r>
        <w:rPr/>
        <w:t>Since well before the period at issue both Seattle and Tacoma had over two decades of trading experience in Northwest wholesale markets.  Exh. NPG-1 at 17;  Exh. ENR-1 at 9. They have large trading operations, and bought and sold millions of kilowatt-hours of electricity in 2000.  Exh. NPG-4 at 9; Exh. NPG-16 at 9.  Dr. Jones made clear that such entities have many tools available to reduce their exposure to price risk, such as options on forward contracts and financial instruments such as contracts that exchange fixed prices for floating prices and other exchange-traded instruments.  Exh. PPL-1 at 22-23.</w:t>
      </w:r>
    </w:p>
    <w:p>
      <w:pPr>
        <w:pStyle w:val="BodyText"/>
        <w:rPr/>
      </w:pPr>
      <w:r>
        <w:rPr/>
        <w:t>Refund proponents made no showing that they were subject to any limitation on their ability to hedge their risks as they saw fit.  Dr. Cicchetti identified numerous tools that were available, including New York Mercantile Exchange electricity futures at Cinergy, PJM, Palo Verde, and California Oregon Border, Over-the-Counter (OTC) price swaps, and OTC forward products, which are quite varied in terms of specification and contract maturity.   Hedges for spot price volatility existed in the PNW in the form of bilateral forward futures, OTC forward contracts and self-build options.  Buyers that wanted to hedge in the PNW could have done so.  Exh. IE-2 at 14.  NPG witness Ms. Stegeman stated the truism that if options were bought at an unduly high price they might not be beneficial.  Exh. NPG-57 at 4. However, Ms Stegeman also agreed that every traditional tool that load-serving entities use to hedge against the risk of variability of price in the spot market, was available throughout the PNW market during the period December 25, 2000 through June 20, 2001.  Tr. at 656-657.  California Parties' witness Dr. Pechman attempted – without explanation or proof – to dismiss hedging strategies as “nascent economic instruments,” Exh. CAL-14 at 15, but on cross-examination he admitted that hedging products had been available for decades.  Tr. at 1033:13-25.  Options do, of course, have a cost.  Nonetheless, they are a useful tool in reducing exposure to price risk, particularly in volatile markets, such as the PNW spot market during the relevant period.  The refund proponents simply elected to forego these means and others to protect themselves from price increases in the spot market.  On examination by his own counsel, Port of Seattle witness Holbrook conceded that:  “prior to the energy crisis, we probably could have entered into a hedging contract for less than what we're paying today.”   Tr. at 627:12-627:19.</w:t>
      </w:r>
    </w:p>
    <w:p>
      <w:pPr>
        <w:pStyle w:val="OutlineStyle4"/>
        <w:numPr>
          <w:ilvl w:val="3"/>
          <w:numId w:val="8"/>
        </w:numPr>
        <w:ind w:hanging="0" w:start="0"/>
        <w:rPr/>
      </w:pPr>
      <w:r>
        <w:rPr/>
        <w:t>PNW refund claimants failed to react to well known supply and demand conditions.</w:t>
      </w:r>
    </w:p>
    <w:p>
      <w:pPr>
        <w:pStyle w:val="BodyText"/>
        <w:rPr/>
      </w:pPr>
      <w:r>
        <w:rPr/>
        <w:t>As described above, the increase in market prices that began in the late Spring of 2000 reflected market fundamentals – increasing demand at a time of significantly reduced supply.  Of course, these higher prices were not initially troublesome to the refund proponents, because power flows in the summer from the PNW to California.  Only when higher prices persisted into the Fall did they become an issue for the PNW refund proponents, because that is when flows traditionally reverse so that power flows from California to the PNW.  Exh. ENR-1 at 7-8.</w:t>
      </w:r>
    </w:p>
    <w:p>
      <w:pPr>
        <w:pStyle w:val="BodyText"/>
        <w:rPr/>
      </w:pPr>
      <w:r>
        <w:rPr/>
        <w:t xml:space="preserve">The refund proponents claim that they cannot be expected to have foreseen the market forces that led to the volatility of the spot market during the relevant period.  This claim is contrary to the evidence, including the testimony of the claimants’ own witnesses.  For example, Ms. Stegeman’s testimony notes the first price spike came in May 2000, natural gas prices started rising in the Summer of 2000, and the Mid-C firm index for June was $672.88/MWh in late June.  Exh. NPG-16 at 15.  Seattle City Light’s witness Mr. McCullough similarly testified that high prices began in May of 2000.  Exh. NPG-68 at 6, 11. </w:t>
      </w:r>
    </w:p>
    <w:p>
      <w:pPr>
        <w:pStyle w:val="BodyText"/>
        <w:rPr/>
      </w:pPr>
      <w:r>
        <w:rPr/>
        <w:t>The evidence proves that in the Summer of 2000 Seattle and Tacoma, who were after all selling wholesale power into the spot market, had noticed that spot market prices were becoming more volatile, at least in part due to supply shortfalls.   Another witness supporting refunds, Mr. Hart, testified that “in the summer of 2000, CERS might have been able to secure reasonably priced forward block bilateral arrangements for the Winter and Spring of 2001” had it been in existence then.  Exh. CAL-9 at 3.  Such forward contracts were available in the marketplace at this time, and Seattle and Tacoma could have increased their forward purchases instead of increasing their reliance on the spot market.</w:t>
      </w:r>
      <w:r>
        <w:rPr>
          <w:rStyle w:val="FootnoteCharacters"/>
          <w:rStyle w:val="FootnoteReference"/>
        </w:rPr>
        <w:footnoteReference w:id="46"/>
      </w:r>
    </w:p>
    <w:p>
      <w:pPr>
        <w:pStyle w:val="BodyText"/>
        <w:rPr/>
      </w:pPr>
      <w:r>
        <w:rPr/>
        <w:t>In short, the perceived flaws in market structure that led the Commission to direct refunds in the California proceeding are not present here.  Moreover, the cure that the Commission prescribed for California is a large forward market and a wide variety of products from which buyers can assemble balanced portfolios that hedge against both delivery and price risks.</w:t>
      </w:r>
      <w:r>
        <w:rPr>
          <w:rStyle w:val="FootnoteCharacters"/>
          <w:rStyle w:val="FootnoteReference"/>
        </w:rPr>
        <w:footnoteReference w:id="47"/>
      </w:r>
      <w:r>
        <w:rPr/>
        <w:t xml:space="preserve">  Precisely these attributes have at all times, including the period at issue here, characterized the PNW market.  Rather, refund proponents seek to have the Commission reimburse them for their voluntary choices in a market that offered them many alternatives.</w:t>
      </w:r>
    </w:p>
    <w:p>
      <w:pPr>
        <w:pStyle w:val="OutlineStyle3"/>
        <w:numPr>
          <w:ilvl w:val="2"/>
          <w:numId w:val="8"/>
        </w:numPr>
        <w:rPr/>
      </w:pPr>
      <w:r>
        <w:rPr/>
        <w:t>Arguendo, were refunds to be ordered, market oriented mechanisms should be the standard for determining price caps.</w:t>
      </w:r>
    </w:p>
    <w:p>
      <w:pPr>
        <w:pStyle w:val="BodyText"/>
        <w:rPr/>
      </w:pPr>
      <w:r>
        <w:rPr/>
        <w:t>In authorizing sales of power at market-based rates, the Commission has concluded that prices negotiated between sellers and buyers, in the absence of market power, are just and reasonable and, therefore, “lawful.”  In fact, important public policy considerations have necessitated development of a competitive wholesale electric market over the last decade.</w:t>
      </w:r>
    </w:p>
    <w:p>
      <w:pPr>
        <w:pStyle w:val="OutlineStyle4"/>
        <w:numPr>
          <w:ilvl w:val="3"/>
          <w:numId w:val="8"/>
        </w:numPr>
        <w:ind w:hanging="0" w:start="0"/>
        <w:rPr/>
      </w:pPr>
      <w:r>
        <w:rPr/>
        <w:t>The Commission’s policies have been focused on achieving market efficiencies to provide a reliable supply of electricity at the lowest cost to consumers.</w:t>
      </w:r>
    </w:p>
    <w:p>
      <w:pPr>
        <w:pStyle w:val="BodyText"/>
        <w:rPr/>
      </w:pPr>
      <w:r>
        <w:rPr/>
        <w:t>As the United States Supreme Court has noted, “the history of Part II of the Federal Power Act indicates an overriding policy of maintaining competition to the maximum extent possible consistent with the public interest.”</w:t>
      </w:r>
      <w:r>
        <w:rPr>
          <w:rStyle w:val="FootnoteCharacters"/>
          <w:rStyle w:val="FootnoteReference"/>
        </w:rPr>
        <w:footnoteReference w:id="48"/>
      </w:r>
      <w:r>
        <w:rPr/>
        <w:t xml:space="preserve">  In response, the Commission for over a decade has consistently sought to foster the development of the competitive wholesale electric market.</w:t>
      </w:r>
      <w:r>
        <w:rPr>
          <w:rStyle w:val="FootnoteCharacters"/>
          <w:rStyle w:val="FootnoteReference"/>
        </w:rPr>
        <w:footnoteReference w:id="49"/>
      </w:r>
      <w:r>
        <w:rPr/>
        <w:t xml:space="preserve">  In unleashing competitive market forces, the Commission attempted to create a structure that would send timely and accurate price signals to both the supply and demand sides of the market.  The Commission’s goal was to provide reliable supplies of electricity at the lowest cost to U.S. consumers over the long run.</w:t>
      </w:r>
      <w:r>
        <w:rPr>
          <w:rStyle w:val="FootnoteCharacters"/>
          <w:rStyle w:val="FootnoteReference"/>
        </w:rPr>
        <w:footnoteReference w:id="50"/>
      </w:r>
      <w:r>
        <w:rPr/>
        <w:t xml:space="preserve">  Implicit was the knowledge that prices will fluctuate in a competitive market, at times to extreme levels.</w:t>
      </w:r>
      <w:r>
        <w:rPr>
          <w:rStyle w:val="FootnoteCharacters"/>
          <w:rStyle w:val="FootnoteReference"/>
        </w:rPr>
        <w:footnoteReference w:id="51"/>
      </w:r>
      <w:r>
        <w:rPr/>
        <w:t xml:space="preserve">  Explicit was the belief that, in the long run, lower costs and greater efficiencies would be achieved to the benefit of all.</w:t>
      </w:r>
      <w:r>
        <w:rPr>
          <w:rStyle w:val="FootnoteCharacters"/>
          <w:rStyle w:val="FootnoteReference"/>
        </w:rPr>
        <w:footnoteReference w:id="52"/>
      </w:r>
    </w:p>
    <w:p>
      <w:pPr>
        <w:pStyle w:val="BodyText"/>
        <w:rPr/>
      </w:pPr>
      <w:r>
        <w:rPr/>
        <w:t>It is not, therefore, exaggeration to say that the primary public policy goal of the Commission over the last decade has been to foster and protect the development of a wholesale competitive electric market.  That goal has not changed despite events in California.  In its April 26 Order, the Commission lists certain design principles to guide the development of any market mitigation plan for California:</w:t>
      </w:r>
    </w:p>
    <w:p>
      <w:pPr>
        <w:pStyle w:val="Quote"/>
        <w:rPr/>
      </w:pPr>
      <w:r>
        <w:rPr/>
        <w:t>[B]uyers and sellers need to know the rules up front and have confidence that those rules will not be subject to constant change or interpretation; prices should be mitigated before they are charged, not after; price mitigation should be as surgical (least intrusive) as possible and last for as little time as possible; price mitigation should be as market oriented as possible and adopt market solutions and mechanisms to the maximum extent possible; the pricing provisions must encourage, and not discourage, the critically needed investment in infrastructure (</w:t>
      </w:r>
      <w:r>
        <w:rPr>
          <w:u w:val="single"/>
        </w:rPr>
        <w:t>e.g.,</w:t>
      </w:r>
      <w:r>
        <w:rPr/>
        <w:t xml:space="preserve"> increasing generation supply, adding required transmission, and implementing demand response).</w:t>
      </w:r>
      <w:r>
        <w:rPr>
          <w:rStyle w:val="FootnoteCharacters"/>
          <w:rStyle w:val="FootnoteReference"/>
        </w:rPr>
        <w:footnoteReference w:id="53"/>
      </w:r>
    </w:p>
    <w:p>
      <w:pPr>
        <w:pStyle w:val="BodyText"/>
        <w:ind w:hanging="0" w:end="0"/>
        <w:rPr/>
      </w:pPr>
      <w:r>
        <w:rPr/>
        <w:t>The TFG submits that these same principles should form the basis for any decision in this case.</w:t>
      </w:r>
    </w:p>
    <w:p>
      <w:pPr>
        <w:pStyle w:val="BodyText"/>
        <w:rPr/>
      </w:pPr>
      <w:r>
        <w:rPr/>
        <w:t>As explained above, there is nothing in the market structure of the Pacific Northwest which is anti-competitive or which needs to be “corrected.”  Most of the power is traded in the forward markets, and only a small percentage of the transactions occur in the daily balancing, highly volatile spot market</w:t>
      </w:r>
      <w:r>
        <w:rPr>
          <w:rStyle w:val="FootnoteCharacters"/>
          <w:rStyle w:val="FootnoteReference"/>
        </w:rPr>
        <w:footnoteReference w:id="54"/>
      </w:r>
      <w:r>
        <w:rPr/>
        <w:t xml:space="preserve"> – precisely the model the Commission supports in its orders concerning the California market.  The Commission should be most concerned not to destroy the functioning of the Pacific Northwest markets while it takes action to remedy what it has determined to be flaws in the California structure.</w:t>
      </w:r>
    </w:p>
    <w:p>
      <w:pPr>
        <w:pStyle w:val="OutlineStyle4"/>
        <w:numPr>
          <w:ilvl w:val="3"/>
          <w:numId w:val="8"/>
        </w:numPr>
        <w:ind w:hanging="0" w:start="0"/>
        <w:rPr/>
      </w:pPr>
      <w:r>
        <w:rPr/>
        <w:t>Retroactive administrative price caps should not supplant market prices during the relevant period.</w:t>
      </w:r>
    </w:p>
    <w:p>
      <w:pPr>
        <w:pStyle w:val="BodyText"/>
        <w:rPr/>
      </w:pPr>
      <w:r>
        <w:rPr/>
        <w:t xml:space="preserve">Refunds proponents retreat to cost-of-service pricing or production costs as the basis for their proposed refund determinations.  This course is ill-advised and would mangle market price signals.  </w:t>
      </w:r>
      <w:r>
        <w:rPr>
          <w:i/>
          <w:iCs/>
        </w:rPr>
        <w:t>See</w:t>
      </w:r>
      <w:r>
        <w:rPr/>
        <w:t xml:space="preserve"> Section IV.C.2 </w:t>
      </w:r>
      <w:r>
        <w:rPr>
          <w:i/>
          <w:iCs/>
        </w:rPr>
        <w:t>supra</w:t>
      </w:r>
      <w:r>
        <w:rPr/>
        <w:t>.  It is also at war with the Commission's efforts to nurture the development of competitive market forces.  The Commission itself has rejected this approach:</w:t>
      </w:r>
    </w:p>
    <w:p>
      <w:pPr>
        <w:pStyle w:val="Quote"/>
        <w:rPr/>
      </w:pPr>
      <w:r>
        <w:rPr/>
        <w:t>We reject proposals to return to cost based regulation. . .[P]rices based upon traditional cost of service are incompatible with fostering a competitive market.  As we stated in the November 1 Order, traditional cost-based pricing reflects the cost of the asset without any regard to market conditions.  The one thing California needs most is new supply and a return to traditional cost of service will not encourage supply to enter the California market.</w:t>
      </w:r>
      <w:r>
        <w:rPr>
          <w:rStyle w:val="FootnoteCharacters"/>
          <w:rStyle w:val="FootnoteReference"/>
        </w:rPr>
        <w:footnoteReference w:id="55"/>
      </w:r>
    </w:p>
    <w:p>
      <w:pPr>
        <w:pStyle w:val="BodyText"/>
        <w:ind w:hanging="0" w:end="0"/>
        <w:rPr/>
      </w:pPr>
      <w:r>
        <w:rPr/>
        <w:t>Further:</w:t>
      </w:r>
    </w:p>
    <w:p>
      <w:pPr>
        <w:pStyle w:val="Quote"/>
        <w:rPr/>
      </w:pPr>
      <w:r>
        <w:rPr/>
        <w:t>Several commenters suggest that the commission require marginal cost based bids . . . We reject these proposals for numerous reasons . . . In the absence of a capacity market, as is the case in California, if a seller only has peaking units, it would only receive the variable cost of energy and no payment for its fixed cost.  Sellers could not stay in business long with that revenue stream.</w:t>
      </w:r>
      <w:r>
        <w:rPr>
          <w:rStyle w:val="FootnoteCharacters"/>
          <w:rStyle w:val="FootnoteReference"/>
        </w:rPr>
        <w:footnoteReference w:id="56"/>
      </w:r>
    </w:p>
    <w:p>
      <w:pPr>
        <w:pStyle w:val="BodyText"/>
        <w:ind w:hanging="0" w:end="0"/>
        <w:rPr/>
      </w:pPr>
      <w:r>
        <w:rPr/>
        <w:t>And finally:</w:t>
      </w:r>
    </w:p>
    <w:p>
      <w:pPr>
        <w:pStyle w:val="Quote"/>
        <w:rPr/>
      </w:pPr>
      <w:r>
        <w:rPr/>
        <w:t xml:space="preserve">Market-based rates helped to develop competitive bulk power markets.  A generating utility allowed to sell its power at market-based rates could move more quickly to take advantage of short-term or even long-term market opportunities than those laboring under traditional cost-of-service tariffs. . . </w:t>
      </w:r>
      <w:r>
        <w:rPr>
          <w:rStyle w:val="FootnoteCharacters"/>
          <w:rStyle w:val="FootnoteReference"/>
        </w:rPr>
        <w:footnoteReference w:id="57"/>
      </w:r>
      <w:r>
        <w:rPr/>
        <w:br/>
      </w:r>
    </w:p>
    <w:p>
      <w:pPr>
        <w:pStyle w:val="BodyText"/>
        <w:rPr/>
      </w:pPr>
      <w:r>
        <w:rPr/>
        <w:t>Absent compelling reasons to reset prices charged between willing buyers and willing sellers, market pricing should continue to establish just and reasonable rates for the wholesale spot market in the PNW.</w:t>
      </w:r>
      <w:r>
        <w:rPr>
          <w:rStyle w:val="FootnoteCharacters"/>
          <w:rStyle w:val="FootnoteReference"/>
        </w:rPr>
        <w:footnoteReference w:id="58"/>
      </w:r>
      <w:r>
        <w:rPr/>
        <w:t xml:space="preserve">  Analysis of this issue should rest, not on the level of prices in a small portion of the PNW market over a short period of time, but rather on the market structure that produced those prices and rapidly readjusted.</w:t>
      </w:r>
    </w:p>
    <w:p>
      <w:pPr>
        <w:pStyle w:val="OutlineStyle3"/>
        <w:numPr>
          <w:ilvl w:val="2"/>
          <w:numId w:val="8"/>
        </w:numPr>
        <w:rPr/>
      </w:pPr>
      <w:r>
        <w:rPr/>
        <w:t>The record does not contain any evidence that any seller had or exercised market power, or violated any conditions or limitations of its market based tariffs or agreements entered into under the Western Systems Power Pool Agreement.</w:t>
      </w:r>
    </w:p>
    <w:p>
      <w:pPr>
        <w:pStyle w:val="BodyText"/>
        <w:rPr/>
      </w:pPr>
      <w:r>
        <w:rPr/>
        <w:t xml:space="preserve">The record proves that the PNW market, with a long history of trading with multiple buyers, sellers and products, was working in a competitive manner.  </w:t>
      </w:r>
      <w:r>
        <w:rPr>
          <w:i/>
          <w:iCs/>
        </w:rPr>
        <w:t>See</w:t>
      </w:r>
      <w:r>
        <w:rPr/>
        <w:t xml:space="preserve"> Section ___ above.</w:t>
      </w:r>
    </w:p>
    <w:p>
      <w:pPr>
        <w:pStyle w:val="BodyText"/>
        <w:rPr/>
      </w:pPr>
      <w:r>
        <w:rPr/>
        <w:t>Further, Tacoma witness Ms. Stegman admitted that she had no challenge to the conduct of any particular party selling power in the Pacific Northwest.  Tr. at 659.  Seattle witness Mr. McCullough stated in his rebuttal testimony that:  “The Pacific Northwest market over this time period was a price taker,” which means that no entity in the region was able to exercise market power.  Other expert witnesses admitted that they had no evidence of market power in the PNW.  Philip Movish, witness for Tacoma, Port of Seattle, and Northern Wasco, admitted that there were a substantial number of sellers in the region, particularly in this time period.  Tr. at 727.  He also admitted that he had not studied how many vendors of wholesale power it would take to ensure a competitive market.  Tr. at 732-33.  Witness for the California Parties, Dr. Carl Pechman, admitted that he had not provided an economic analysis of demand elasticity in his testimony.   Tr. at 1030.  Further, he admitted that he had not provided any evidence of “joint action,” by PNW power suppliers.  Tr. at 1030.</w:t>
      </w:r>
    </w:p>
    <w:p>
      <w:pPr>
        <w:pStyle w:val="BodyText"/>
        <w:rPr/>
      </w:pPr>
      <w:r>
        <w:rPr/>
        <w:t>In sum, there is not even one specific allegation in the entire record of the existence or exercise of market power or violation of any tariff or agreement.</w:t>
      </w:r>
    </w:p>
    <w:p>
      <w:pPr>
        <w:pStyle w:val="OutlineStyle2"/>
        <w:numPr>
          <w:ilvl w:val="1"/>
          <w:numId w:val="8"/>
        </w:numPr>
        <w:ind w:hanging="0" w:start="0"/>
        <w:rPr/>
      </w:pPr>
      <w:r>
        <w:rPr/>
        <w:t>Are Refunds Lawful or Appropriate for Spot Market Bilateral Sales Transactions in the Pacific Northwest for the Period December 25, 2000 through June 20, 2001 and What is the Extent of Any Potential Refunds.</w:t>
      </w:r>
    </w:p>
    <w:p>
      <w:pPr>
        <w:pStyle w:val="BodyText"/>
        <w:rPr/>
      </w:pPr>
      <w:r>
        <w:rPr/>
        <w:t>Refunds related to sales into PNW spot markets from December 25, 2000 through June 20, 2001 are unlawful under the Federal Power Act, are adverse to the public interest, and would be, in any event, impossible to administer.</w:t>
      </w:r>
    </w:p>
    <w:p>
      <w:pPr>
        <w:pStyle w:val="OutlineStyle3"/>
        <w:numPr>
          <w:ilvl w:val="2"/>
          <w:numId w:val="8"/>
        </w:numPr>
        <w:rPr/>
      </w:pPr>
      <w:r>
        <w:rPr/>
        <w:t>Intervenors cannot pursue their refund claims in this docket based on Puget’s Complaint, which never related to refunds and was long ago abandoned by Puget.</w:t>
      </w:r>
    </w:p>
    <w:p>
      <w:pPr>
        <w:pStyle w:val="BodyText"/>
        <w:rPr/>
      </w:pPr>
      <w:r>
        <w:rPr/>
        <w:t>It is inappropriate for intervenors to substitute themselves for Puget and use this docket to launch retroactive refund claims.  Puget is no longer prosecuting its Complaint for any purpose.</w:t>
      </w:r>
      <w:r>
        <w:rPr>
          <w:rStyle w:val="FootnoteCharacters"/>
          <w:rStyle w:val="FootnoteReference"/>
        </w:rPr>
        <w:footnoteReference w:id="59"/>
      </w:r>
      <w:r>
        <w:rPr/>
        <w:t xml:space="preserve">  Tr. at 727.  Moreover, Puget's Complaint did not seek refunds and was limited to relief for sales “into” the PNW, not exports “out of” the PNW and “into” California.</w:t>
      </w:r>
      <w:r>
        <w:rPr>
          <w:rStyle w:val="FootnoteCharacters"/>
          <w:rStyle w:val="FootnoteReference"/>
        </w:rPr>
        <w:footnoteReference w:id="60"/>
      </w:r>
      <w:r>
        <w:rPr/>
        <w:t xml:space="preserve">  Nonetheless, refund claimants, intervenors in this case, have attempted to expand the scope of the Puget Complaint and, as a consequence, the very record of the proceedings in this docket.  As the Presiding Judge consistently ruled in this case, intervenors must “take the record as they find it.”</w:t>
      </w:r>
      <w:r>
        <w:rPr>
          <w:rStyle w:val="FootnoteCharacters"/>
          <w:rStyle w:val="FootnoteReference"/>
        </w:rPr>
        <w:footnoteReference w:id="61"/>
      </w:r>
      <w:r>
        <w:rPr/>
        <w:t xml:space="preserve"> By seeking relief beyond that sought by Puget, Tacoma, Seattle, the California Parties, and other claimants, have not taken the record as they found it, but have sought to dramatically alter and expand its nature and scope.</w:t>
      </w:r>
    </w:p>
    <w:p>
      <w:pPr>
        <w:pStyle w:val="BodyText"/>
        <w:rPr/>
      </w:pPr>
      <w:r>
        <w:rPr/>
        <w:t>The request for refunds under these circumstances also violates the Commission’s longstanding policy prohibiting intervenors from expanding complaints initiated by others. To the extent parties wish to prosecute claims beyond the scope of a complaint, such parties must initiate a new Section 206 proceeding.</w:t>
      </w:r>
      <w:r>
        <w:rPr>
          <w:rStyle w:val="FootnoteCharacters"/>
          <w:rStyle w:val="FootnoteReference"/>
        </w:rPr>
        <w:footnoteReference w:id="62"/>
      </w:r>
      <w:r>
        <w:rPr/>
        <w:t xml:space="preserve">  In </w:t>
      </w:r>
      <w:r>
        <w:rPr>
          <w:i/>
        </w:rPr>
        <w:t>Louisiana Power &amp; Light Company</w:t>
      </w:r>
      <w:r>
        <w:rPr/>
        <w:t>,</w:t>
      </w:r>
      <w:r>
        <w:rPr>
          <w:rStyle w:val="FootnoteCharacters"/>
          <w:rStyle w:val="FootnoteReference"/>
        </w:rPr>
        <w:footnoteReference w:id="63"/>
      </w:r>
      <w:r>
        <w:rPr/>
        <w:t xml:space="preserve"> the Commission explained that it would not treat pleadings (motions, interventions) filed by third parties in a complaint proceeding initiated by another party as the complaint itself.</w:t>
      </w:r>
      <w:r>
        <w:rPr>
          <w:rStyle w:val="FootnoteCharacters"/>
          <w:rStyle w:val="FootnoteReference"/>
        </w:rPr>
        <w:footnoteReference w:id="64"/>
      </w:r>
      <w:r>
        <w:rPr/>
        <w:t xml:space="preserve">  Allowing intervenors to prosecute a refund claim beyond the scope of the Complaint initiated by Puget and beyond the procedural path of that Complaint, including its withdrawal, will therefore improperly expand the function of intervenor to that of a complainant.</w:t>
      </w:r>
      <w:r>
        <w:rPr>
          <w:rStyle w:val="FootnoteCharacters"/>
          <w:rStyle w:val="FootnoteReference"/>
        </w:rPr>
        <w:footnoteReference w:id="65"/>
      </w:r>
    </w:p>
    <w:p>
      <w:pPr>
        <w:pStyle w:val="OutlineStyle3"/>
        <w:numPr>
          <w:ilvl w:val="2"/>
          <w:numId w:val="8"/>
        </w:numPr>
        <w:rPr/>
      </w:pPr>
      <w:r>
        <w:rPr/>
        <w:t>Lacking a “Refund Effective Date,” refunds would offend the Filed Rate Doctrine</w:t>
      </w:r>
    </w:p>
    <w:p>
      <w:pPr>
        <w:pStyle w:val="BodyText"/>
        <w:rPr/>
      </w:pPr>
      <w:r>
        <w:rPr/>
        <w:t>The filed rate doctrine holds that the only rate that a regulated public utility may legally charge for its services is the one properly submitted to and made effective by the appropriate regulatory authority.</w:t>
      </w:r>
      <w:r>
        <w:rPr>
          <w:rStyle w:val="FootnoteCharacters"/>
          <w:rStyle w:val="FootnoteReference"/>
        </w:rPr>
        <w:footnoteReference w:id="66"/>
      </w:r>
      <w:r>
        <w:rPr/>
        <w:t xml:space="preserve">  The doctrine protects the customer from illegal</w:t>
      </w:r>
      <w:r>
        <w:rPr>
          <w:sz w:val="28"/>
        </w:rPr>
        <w:t xml:space="preserve"> </w:t>
      </w:r>
      <w:r>
        <w:rPr/>
        <w:t>charges because it bars the utility from charging anything other than the filed rate.  The utility too is protected in that its</w:t>
      </w:r>
      <w:r>
        <w:rPr>
          <w:sz w:val="28"/>
        </w:rPr>
        <w:t xml:space="preserve"> </w:t>
      </w:r>
      <w:r>
        <w:rPr/>
        <w:t>sales at the approved and published rate</w:t>
      </w:r>
      <w:r>
        <w:rPr>
          <w:sz w:val="28"/>
        </w:rPr>
        <w:t xml:space="preserve"> </w:t>
      </w:r>
      <w:r>
        <w:rPr/>
        <w:t>cannot</w:t>
      </w:r>
      <w:r>
        <w:rPr>
          <w:sz w:val="28"/>
        </w:rPr>
        <w:t xml:space="preserve"> </w:t>
      </w:r>
      <w:r>
        <w:rPr/>
        <w:t>be</w:t>
      </w:r>
      <w:r>
        <w:rPr>
          <w:sz w:val="28"/>
        </w:rPr>
        <w:t xml:space="preserve"> </w:t>
      </w:r>
      <w:r>
        <w:rPr/>
        <w:t>later challenged.</w:t>
      </w:r>
      <w:r>
        <w:rPr>
          <w:rStyle w:val="FootnoteCharacters"/>
          <w:rStyle w:val="FootnoteReference"/>
        </w:rPr>
        <w:footnoteReference w:id="67"/>
      </w:r>
      <w:r>
        <w:rPr/>
        <w:t xml:space="preserve">  The “whole purpose” of the filed rate doctrine is to provide the “necessary predictability” to which industry participants are entitled prior to when, rather than after, their business decisions are made.</w:t>
      </w:r>
      <w:r>
        <w:rPr>
          <w:rStyle w:val="FootnoteCharacters"/>
          <w:rStyle w:val="FootnoteReference"/>
        </w:rPr>
        <w:footnoteReference w:id="68"/>
      </w:r>
    </w:p>
    <w:p>
      <w:pPr>
        <w:pStyle w:val="BodyText"/>
        <w:rPr/>
      </w:pPr>
      <w:r>
        <w:rPr/>
        <w:t>The Commission observed correctly in the July 25 Order that the filed rate doctrine applies to market-based rates.</w:t>
      </w:r>
      <w:r>
        <w:rPr>
          <w:rStyle w:val="FootnoteCharacters"/>
          <w:rStyle w:val="FootnoteReference"/>
        </w:rPr>
        <w:footnoteReference w:id="69"/>
      </w:r>
      <w:r>
        <w:rPr/>
        <w:t xml:space="preserve">  Wholesale sales by TFG members into PNW markets are made pursuant to market-based rate schedules that each had filed with the Commission and which the Commission accepted.  The market rules, (</w:t>
      </w:r>
      <w:r>
        <w:rPr>
          <w:i/>
        </w:rPr>
        <w:t>i.e.</w:t>
      </w:r>
      <w:r>
        <w:rPr/>
        <w:t>, the WSPP umbrella contract) constitute the mechanism for ensuring that the clearing prices under market-based rates are the product of lawful market forces.</w:t>
      </w:r>
      <w:r>
        <w:rPr>
          <w:rStyle w:val="FootnoteCharacters"/>
          <w:rStyle w:val="FootnoteReference"/>
        </w:rPr>
        <w:footnoteReference w:id="70"/>
      </w:r>
      <w:r>
        <w:rPr/>
        <w:t xml:space="preserve">  In this case there is no claim that the rates charged by any TFG member ever violated the WSPP Agreement.  Thus, TFG rates throughout this period were filed rates; they cannot be revised retroactively.</w:t>
      </w:r>
    </w:p>
    <w:p>
      <w:pPr>
        <w:pStyle w:val="BodyText"/>
        <w:rPr>
          <w:i/>
          <w:i/>
          <w:iCs/>
        </w:rPr>
      </w:pPr>
      <w:r>
        <w:rPr/>
        <w:t>The only exception to the filed rate doctrine (here, the market rates charged under the WSPP contract) occurs when the Commission institutes an investigation under FPA Section 206 into the reasonableness of those rates and establishes a “refund effective date.”  Section 206(b) provides that “the refund effective date shall not be earlier than the date 60 days after the filing of [the complaint or notice of the Commission’s intent to begin a Section 206 investigation] . . . nor later than five months after the expiration of such 60-day period.”</w:t>
      </w:r>
      <w:r>
        <w:rPr>
          <w:rStyle w:val="FootnoteCharacters"/>
          <w:rStyle w:val="FootnoteReference"/>
        </w:rPr>
        <w:footnoteReference w:id="71"/>
      </w:r>
      <w:r>
        <w:rPr/>
        <w:t xml:space="preserve">  The refund effective date provisions of Section 206(b) thus assure wholesale power sellers operating under filed rates that they will have formal advance notice, through the refund effective date, when their sales are subject to refund.  Even when a valid refund effective period can be established, however, the Commission retains discretion to deny Section 206(b) refunds unless in the public interest.</w:t>
      </w:r>
      <w:r>
        <w:rPr>
          <w:rStyle w:val="FootnoteCharacters"/>
          <w:rStyle w:val="FootnoteReference"/>
        </w:rPr>
        <w:footnoteReference w:id="72"/>
      </w:r>
    </w:p>
    <w:p>
      <w:pPr>
        <w:pStyle w:val="BodyText"/>
        <w:rPr/>
      </w:pPr>
      <w:r>
        <w:rPr/>
        <w:t>The Commission has never established a refund effective date in this docket.  Rather, the earliest indication to PNW wholesalers that their sales could be subject to refund occurred in the April 26 Order in Docket No. EL01-68-000, when the Commission opened a Section 206 investigation into WSCC sales “other than sales through the California ISO markets.”</w:t>
      </w:r>
      <w:r>
        <w:rPr>
          <w:rStyle w:val="FootnoteCharacters"/>
          <w:rStyle w:val="FootnoteReference"/>
        </w:rPr>
        <w:footnoteReference w:id="73"/>
      </w:r>
      <w:r>
        <w:rPr/>
        <w:t xml:space="preserve">  The order provided that the Commission would establish a refund effective date 60 days after publication of the notice of initiation of the WSCC investigation in the </w:t>
      </w:r>
      <w:r>
        <w:rPr>
          <w:i/>
        </w:rPr>
        <w:t>Federal Register</w:t>
      </w:r>
      <w:r>
        <w:rPr/>
        <w:t>.  This notice was published on May 3, 2001.</w:t>
      </w:r>
      <w:r>
        <w:rPr>
          <w:rStyle w:val="FootnoteCharacters"/>
          <w:rStyle w:val="FootnoteReference"/>
        </w:rPr>
        <w:footnoteReference w:id="74"/>
      </w:r>
      <w:r>
        <w:rPr/>
        <w:t xml:space="preserve">  Thus, the refund effective date for the WSCC investigation (inclusive of the PNW) is July 2, 2001.</w:t>
      </w:r>
    </w:p>
    <w:p>
      <w:pPr>
        <w:pStyle w:val="BodyText"/>
        <w:rPr/>
      </w:pPr>
      <w:r>
        <w:rPr/>
        <w:t>The consequence is that the putative refund period – December 25, 2000 through June 20, 2001 – can never become effective.  Puget’s Complaint was dismissed by the Commission's December 15 Order, and cannot now be used to establish a refund effective date.</w:t>
      </w:r>
      <w:r>
        <w:rPr>
          <w:rStyle w:val="FootnoteCharacters"/>
          <w:rStyle w:val="FootnoteReference"/>
        </w:rPr>
        <w:footnoteReference w:id="75"/>
      </w:r>
      <w:r>
        <w:rPr/>
        <w:t xml:space="preserve">  Nor could the Commission attempt to establish a refund effective date on rehearing of the December 15 Order since the five-month window specified in Section 206 (which began 60 days after the date of Puget’s Complaint) for establishing such a prospective refund period cannot be established retroactively; only a refund effective date established within the five-month window under Section 206(b) can provide advance notice.  Here, the five-month period expired on May 25, 2001 (Puget’s Complaint was filed October 26, 2000).  Even if these defects were not fatal to any claim for refunds (and they are), in no circumstances could refunds be associated with contracts executed prior to December 25, 2000.  Exh. BPA-1 at 7-8.</w:t>
      </w:r>
    </w:p>
    <w:p>
      <w:pPr>
        <w:pStyle w:val="BodyText"/>
        <w:rPr/>
      </w:pPr>
      <w:r>
        <w:rPr/>
        <w:t>For these reasons, it is legally impermissable, consistent with Section 206(b), for refunds to be ordered for any period relevant to this proceeding.   TFG respectfully requests that the Presiding Judge find on the basis of this record, that refunds are both unlawful and inappropriate.</w:t>
      </w:r>
    </w:p>
    <w:p>
      <w:pPr>
        <w:pStyle w:val="OutlineStyle3"/>
        <w:numPr>
          <w:ilvl w:val="2"/>
          <w:numId w:val="8"/>
        </w:numPr>
        <w:rPr/>
      </w:pPr>
      <w:r>
        <w:rPr/>
        <w:t xml:space="preserve">The </w:t>
      </w:r>
      <w:r>
        <w:rPr>
          <w:i/>
        </w:rPr>
        <w:t>Mobile-Sierra</w:t>
      </w:r>
      <w:r>
        <w:rPr/>
        <w:t xml:space="preserve"> doctrine bars refunds of prices negotiated in the PNW under bilateral contracts freely entered into by the complaining parties where, as here, refunds would be adverse to the “Public Interest”</w:t>
      </w:r>
    </w:p>
    <w:p>
      <w:pPr>
        <w:pStyle w:val="BodyText"/>
        <w:rPr/>
      </w:pPr>
      <w:r>
        <w:rPr/>
        <w:t xml:space="preserve">Even if the filed rate doctrine is not an absolute bar to ordering refunds in this proceeding (which it is), refunds are prohibited under the </w:t>
      </w:r>
      <w:r>
        <w:rPr>
          <w:i/>
        </w:rPr>
        <w:t>Mobile-</w:t>
      </w:r>
      <w:r>
        <w:rPr>
          <w:i/>
          <w:iCs/>
        </w:rPr>
        <w:t>Sierra</w:t>
      </w:r>
      <w:r>
        <w:rPr/>
        <w:t xml:space="preserve"> doctrine for the vast majority of the spot sales at issue, which were performed under the WSPP Agreement and its service schedules.</w:t>
      </w:r>
      <w:r>
        <w:rPr>
          <w:rStyle w:val="FootnoteCharacters"/>
          <w:rStyle w:val="FootnoteReference"/>
        </w:rPr>
        <w:footnoteReference w:id="76"/>
      </w:r>
    </w:p>
    <w:p>
      <w:pPr>
        <w:pStyle w:val="OutlineStyle4"/>
        <w:numPr>
          <w:ilvl w:val="3"/>
          <w:numId w:val="8"/>
        </w:numPr>
        <w:ind w:hanging="0" w:start="0"/>
        <w:rPr/>
      </w:pPr>
      <w:r>
        <w:rPr/>
        <w:t>The WSPP contract contemplates that all sales under its auspices are final and binding and not subject to abrogation by the Commission</w:t>
      </w:r>
    </w:p>
    <w:p>
      <w:pPr>
        <w:pStyle w:val="BodyText"/>
        <w:rPr/>
      </w:pPr>
      <w:r>
        <w:rPr/>
        <w:t xml:space="preserve">The WSPP Agreement describes “the legal principles that will control future power sales between the parties.”  It is based on bilateral trading, with participants using the WSPP standardized contractual terms and conditions to execute transactions.  </w:t>
      </w:r>
      <w:r>
        <w:rPr>
          <w:i/>
        </w:rPr>
        <w:t xml:space="preserve">See </w:t>
      </w:r>
      <w:r>
        <w:rPr/>
        <w:t>Exh. NPG-74 at 6;</w:t>
      </w:r>
      <w:r>
        <w:rPr>
          <w:i/>
        </w:rPr>
        <w:t xml:space="preserve"> </w:t>
      </w:r>
      <w:r>
        <w:rPr>
          <w:iCs/>
        </w:rPr>
        <w:t>Exh.</w:t>
      </w:r>
      <w:r>
        <w:rPr/>
        <w:t xml:space="preserve"> ENR-1 at 10.  As described by Staff, the WSPP Agreement is a standardized power sales contract, under which jurisdictional members sell electricity at market prices once they receive market-based rate authority from the Commission.  </w:t>
      </w:r>
      <w:r>
        <w:rPr>
          <w:i/>
        </w:rPr>
        <w:t>See</w:t>
      </w:r>
      <w:r>
        <w:rPr/>
        <w:t xml:space="preserve"> Exh. S-3 at 8:12-13 (“The WSPP Agreement provides that Parties are free to negotiate the specific terms and conditions of a transaction under the service schedules.”).   EWEB explains that its current WSPP contracts are “negotiated at arm’s length between willing buyers and sellers.”  </w:t>
      </w:r>
      <w:r>
        <w:rPr>
          <w:i/>
        </w:rPr>
        <w:t>See</w:t>
      </w:r>
      <w:r>
        <w:rPr/>
        <w:t xml:space="preserve"> Exh. NPG-68 at 6.  This is effectuated through Schedule C, Section C-3.6 of the WSPP Agreement, which provides that the rates for electricity provided for power sold under its auspices would be at market rates negotiated by the parties.  </w:t>
      </w:r>
      <w:r>
        <w:rPr>
          <w:i/>
        </w:rPr>
        <w:t>See</w:t>
      </w:r>
      <w:r>
        <w:rPr/>
        <w:t xml:space="preserve"> Exh. S-6 at 88.  While Section 6.1 of the WSPP Agreement provides that the parties to the contract may make “joint application” to the Commission under Section 205 of the FPA to change the rates agreed upon in the contract, the Agreement does not provide for review under FPA Section 206 by the Commission pursuant to unilateral action of one party to the contract, which is precisely what Tacoma, Seattle, the California Parties, and the other refund proponents are seeking to do.  </w:t>
      </w:r>
      <w:r>
        <w:rPr>
          <w:i/>
        </w:rPr>
        <w:t>See</w:t>
      </w:r>
      <w:r>
        <w:rPr/>
        <w:t xml:space="preserve"> Exh. S-6 at 12-13. </w:t>
      </w:r>
    </w:p>
    <w:p>
      <w:pPr>
        <w:pStyle w:val="BodyText"/>
        <w:rPr/>
      </w:pPr>
      <w:r>
        <w:rPr/>
        <w:t xml:space="preserve">Under the </w:t>
      </w:r>
      <w:r>
        <w:rPr>
          <w:i/>
        </w:rPr>
        <w:t>Mobile-Sierra</w:t>
      </w:r>
      <w:r>
        <w:rPr/>
        <w:t xml:space="preserve"> doctrine, the absence of a specific provision allowing unilateral changes in rates signifies an intent not to permit one party to the contract (including the instant complainants) to unilaterally seek a modification of the contract rate provisions under FPA Section 206, as would be the case here through retroactive refunds.</w:t>
      </w:r>
      <w:r>
        <w:rPr>
          <w:rStyle w:val="FootnoteCharacters"/>
          <w:rStyle w:val="FootnoteReference"/>
        </w:rPr>
        <w:footnoteReference w:id="77"/>
      </w:r>
      <w:r>
        <w:rPr/>
        <w:t xml:space="preserve">  The </w:t>
      </w:r>
      <w:r>
        <w:rPr>
          <w:i/>
        </w:rPr>
        <w:t>Mobile-Sierra</w:t>
      </w:r>
      <w:r>
        <w:rPr/>
        <w:t xml:space="preserve"> doctrine preserves the FPA's reliance on voluntarily negotiated contracts; arms-length sales under market-based rates are the quintessential example of such contracts.  The D.C. Circuit has “repeatedly emphasized the importance of contractual stability in cases involving the </w:t>
      </w:r>
      <w:r>
        <w:rPr>
          <w:i/>
        </w:rPr>
        <w:t>Mobile-Sierra</w:t>
      </w:r>
      <w:r>
        <w:rPr/>
        <w:t xml:space="preserve"> doctrine.”</w:t>
      </w:r>
      <w:r>
        <w:rPr>
          <w:rStyle w:val="FootnoteCharacters"/>
          <w:rStyle w:val="FootnoteReference"/>
        </w:rPr>
        <w:footnoteReference w:id="78"/>
      </w:r>
      <w:r>
        <w:rPr/>
        <w:t xml:space="preserve">  As settled contractual expectations play a crucial role in the scheme of the Act, before the Commission can modify the pricing provisions of a contract, it must demonstrate that the revision will serve a “public interest” beyond the just and reasonable requirement.</w:t>
      </w:r>
      <w:r>
        <w:rPr>
          <w:rStyle w:val="FootnoteCharacters"/>
          <w:rStyle w:val="FootnoteReference"/>
        </w:rPr>
        <w:footnoteReference w:id="79"/>
      </w:r>
      <w:r>
        <w:rPr/>
        <w:t xml:space="preserve">  </w:t>
      </w:r>
    </w:p>
    <w:p>
      <w:pPr>
        <w:pStyle w:val="BodyText"/>
        <w:rPr/>
      </w:pPr>
      <w:r>
        <w:rPr/>
        <w:t>The “public interest” standard, which has been described by some Circuits as “practically insurmountable,”</w:t>
      </w:r>
      <w:r>
        <w:rPr>
          <w:rStyle w:val="FootnoteCharacters"/>
          <w:rStyle w:val="FootnoteReference"/>
        </w:rPr>
        <w:footnoteReference w:id="80"/>
      </w:r>
      <w:r>
        <w:rPr/>
        <w:t xml:space="preserve"> is a much more stringent standard than can be met merely showing that the contract prices are “unjust and unreasonable” under of Section 206.  In </w:t>
      </w:r>
      <w:r>
        <w:rPr>
          <w:i/>
        </w:rPr>
        <w:t>Sierra</w:t>
      </w:r>
      <w:r>
        <w:rPr/>
        <w:t>, illustrating what a utility must show in order to be relieved of an “improvident bargain” (a fixed-rate contract that was no longer profitable), the Supreme Court stated:</w:t>
      </w:r>
    </w:p>
    <w:p>
      <w:pPr>
        <w:pStyle w:val="Quote"/>
        <w:rPr>
          <w:sz w:val="28"/>
        </w:rPr>
      </w:pPr>
      <w:r>
        <w:rPr/>
        <w:t>the sole concern of the Commission would seem to be whether the rate is so low as to adversely affect the public interest ─ as where it might impair the financial ability of the public utility to continue its service, cast upon other consumers an excessive burden, or be unduly discriminatory.  That the purpose of the power given the Commission by § 206(a) is the protection of the public interest, as distinguished from the private interests of the utilities, is evidenced by the recital in § 201 of the Act that the scheme of regulation imposed is “necessary in the public interest.”  When § 206(a) is read in the light of this purpose, it is clear that a contract may not be said to</w:t>
      </w:r>
      <w:r>
        <w:rPr>
          <w:sz w:val="28"/>
        </w:rPr>
        <w:t xml:space="preserve"> </w:t>
      </w:r>
      <w:r>
        <w:rPr/>
        <w:t>be either “unjust” or “unreasonable” simply because it is unprofitable to the public utility.</w:t>
      </w:r>
      <w:r>
        <w:rPr>
          <w:rStyle w:val="FootnoteCharacters"/>
          <w:rStyle w:val="FootnoteReference"/>
        </w:rPr>
        <w:footnoteReference w:id="81"/>
      </w:r>
    </w:p>
    <w:p>
      <w:pPr>
        <w:pStyle w:val="BodyText"/>
        <w:rPr/>
      </w:pPr>
      <w:r>
        <w:rPr/>
        <w:t>None of the complainants testified that transactions arising under the WSPP Agreement have threatened their solvency, have cast upon consumers an excessive burden, or were unduly discriminatory.</w:t>
      </w:r>
      <w:r>
        <w:rPr>
          <w:rStyle w:val="FootnoteCharacters"/>
          <w:rStyle w:val="FootnoteReference"/>
        </w:rPr>
        <w:footnoteReference w:id="82"/>
      </w:r>
      <w:r>
        <w:rPr/>
        <w:t xml:space="preserve">  To the contrary, the witness for the City of Tacoma conceded during the hearing that the WSPP Agreement provides substantial benefits to all potential purchasers in the Pacific Northwest, and should be preserved intact and unchanged.  </w:t>
      </w:r>
      <w:r>
        <w:rPr>
          <w:i/>
        </w:rPr>
        <w:t>See</w:t>
      </w:r>
      <w:r>
        <w:rPr>
          <w:iCs/>
        </w:rPr>
        <w:t xml:space="preserve"> Tr. </w:t>
      </w:r>
      <w:r>
        <w:rPr/>
        <w:t xml:space="preserve">at 660, 661.  The three factors listed in </w:t>
      </w:r>
      <w:r>
        <w:rPr>
          <w:i/>
        </w:rPr>
        <w:t xml:space="preserve">Sierra </w:t>
      </w:r>
      <w:r>
        <w:rPr>
          <w:iCs/>
        </w:rPr>
        <w:t>are</w:t>
      </w:r>
      <w:r>
        <w:rPr>
          <w:i/>
        </w:rPr>
        <w:t xml:space="preserve"> </w:t>
      </w:r>
      <w:r>
        <w:rPr/>
        <w:t>not exclusive.  Other factors can be used to demonstrate that the public interest is hurt.</w:t>
      </w:r>
      <w:r>
        <w:rPr>
          <w:rStyle w:val="FootnoteCharacters"/>
          <w:rStyle w:val="FootnoteReference"/>
        </w:rPr>
        <w:footnoteReference w:id="83"/>
      </w:r>
      <w:r>
        <w:rPr/>
        <w:t xml:space="preserve">   No such showing has been made.  The public interest factors shown on the record compel the opposite conclusion. </w:t>
      </w:r>
    </w:p>
    <w:p>
      <w:pPr>
        <w:pStyle w:val="BodyText"/>
        <w:rPr/>
      </w:pPr>
      <w:r>
        <w:rPr/>
        <w:t>The Commission already has approved the manner in which the PNW market functions, when it approved the WSPP Agreement.  The content of that agreement is the product of a decisional process to which its 220 signatories, including claimants have subscribed.  Changes are implemented according to a consensus process involving 90% of the members under the Agreement.  Exh. IE-1 at 7.  Now, rather than achieving the 90% consensus required to implement changes to that Agreement, the refund claimants are seeking ad hoc exceptions, supported by very few of the subscribers.  If the parties to the WSPP Agreement cannot rely on the terms establishing finality of pricing of bilateral agreements, if they cannot rely on the provisions that require mutual consent for pricing changes, if they cannot rely on the consensus decisional process to which they agreed, then plainly they cannot rely on the Agreement itself.</w:t>
      </w:r>
    </w:p>
    <w:p>
      <w:pPr>
        <w:pStyle w:val="BodyText"/>
        <w:rPr/>
      </w:pPr>
      <w:r>
        <w:rPr/>
        <w:t xml:space="preserve">The whole purpose of the Agreement was to establish a functioning and comprehensive market.  The Commission cannot sensibly revise one provision retroactively at the request of select parties without destroying the core of the WSPP Agreement.  Most certainly this is not consistent with the public interest.  In this proceeding, to permit a change in rates and order refunds would be contrary to the public interest, as it would be both anti-competitive an distort market pricing. </w:t>
      </w:r>
      <w:r>
        <w:rPr>
          <w:b/>
          <w:bCs/>
        </w:rPr>
        <w:t>[Cite]</w:t>
      </w:r>
    </w:p>
    <w:p>
      <w:pPr>
        <w:pStyle w:val="OutlineStyle4"/>
        <w:numPr>
          <w:ilvl w:val="3"/>
          <w:numId w:val="8"/>
        </w:numPr>
        <w:ind w:hanging="0" w:start="0"/>
        <w:rPr/>
      </w:pPr>
      <w:r>
        <w:rPr/>
        <w:t>Refunds would be inconsistent with the Commission’s goals to establish stable power markets.</w:t>
      </w:r>
    </w:p>
    <w:p>
      <w:pPr>
        <w:pStyle w:val="BodyText"/>
        <w:rPr/>
      </w:pPr>
      <w:r>
        <w:rPr/>
        <w:t>The Commission's April 26 Order sets rules for the California mitigation plan that establishes that market players will be able to operate, knowing that the rules will not continually change, and that prices will not be reset after-the-fact.</w:t>
      </w:r>
      <w:r>
        <w:rPr>
          <w:rStyle w:val="FootnoteCharacters"/>
          <w:rStyle w:val="FootnoteReference"/>
        </w:rPr>
        <w:footnoteReference w:id="84"/>
      </w:r>
      <w:r>
        <w:rPr/>
        <w:t xml:space="preserve">  Retroactive changes are insidious and damaging to investors' confidence in the markets.  Retroactive changes in a bilateral market inevitably cause a loss of confidence in the stability and predictability of the market.</w:t>
      </w:r>
    </w:p>
    <w:p>
      <w:pPr>
        <w:pStyle w:val="BodyText"/>
        <w:rPr/>
      </w:pPr>
      <w:r>
        <w:rPr/>
        <w:t xml:space="preserve">Testimony presented by each of Drs. Jones and Tabors and Mr. Van Vactor concludes that a loss of confidence in the market will cause costs to consumers to increase, as market participants demand additional risk premiums and additional security for their transactions. </w:t>
      </w:r>
      <w:r>
        <w:rPr>
          <w:i/>
          <w:iCs/>
        </w:rPr>
        <w:t>See</w:t>
      </w:r>
      <w:r>
        <w:rPr/>
        <w:t xml:space="preserve"> Exh. PPL-1 at 4:1-19, 15:3-6; Exh. PWX-1 at 10:5-10, 11:10-113, 12:6-13:4, 13:14-17; Exh. ENR-1 at 3:21-4:2; </w:t>
      </w:r>
      <w:r>
        <w:rPr>
          <w:i/>
          <w:iCs/>
        </w:rPr>
        <w:t>see also</w:t>
      </w:r>
      <w:r>
        <w:rPr/>
        <w:t xml:space="preserve"> Exh. IE-1 at 11.  Further, as shown by BPA's Mr. Oliver, regulatory interference will have a chilling effect on trading and would drive marketers out of the region, decreasing the number of market participants, diminishing market liquidity and adversely affecting reliability.  A retroactive refund process is likely to result in a significant reluctance by many participants in the market to conduct transactions when prices are high, </w:t>
      </w:r>
      <w:r>
        <w:rPr>
          <w:i/>
          <w:iCs/>
        </w:rPr>
        <w:t>i.e.</w:t>
      </w:r>
      <w:r>
        <w:rPr/>
        <w:t xml:space="preserve">, in times of scarcity.  Exh. BPA-1 at 23. </w:t>
      </w:r>
      <w:r>
        <w:rPr>
          <w:b/>
          <w:bCs/>
        </w:rPr>
        <w:t>[Add other cites]</w:t>
      </w:r>
      <w:r>
        <w:rPr/>
        <w:t xml:space="preserve">  These are the times when liquidity and competition are most required.  Because spot market transactions are those for immediate delivery, they are exactly the kind of transactions which the Commission should insulate from the kind of challenges advanced in this case.</w:t>
      </w:r>
    </w:p>
    <w:p>
      <w:pPr>
        <w:pStyle w:val="BodyText"/>
        <w:rPr/>
      </w:pPr>
      <w:r>
        <w:rPr/>
        <w:t>Market liquidity, with a large number of buyers and sellers and a large and diverse supply of products, is a key component of a well-functioning competitive market.  Loss of liquidity will lead to greater price volatility in the future, particularly if combined with anemic investment in new capacity during an extended period of uncertainty.  Introducing refund liability into a competitive market thus will decrease the number of market participants and increase prices.  Refund claimants made no attempt to rebut this clear testimony as to the harm of refunds.</w:t>
      </w:r>
    </w:p>
    <w:p>
      <w:pPr>
        <w:pStyle w:val="BodyText"/>
        <w:rPr/>
      </w:pPr>
      <w:r>
        <w:rPr/>
        <w:t xml:space="preserve">Further, if refunds are ordered and price caps are not market responsive, demand response will be discouraged and perhaps reversed .  The PNW demand response has been exemplary in achieving economic efficiency in the market.  </w:t>
      </w:r>
      <w:r>
        <w:rPr>
          <w:b/>
          <w:bCs/>
        </w:rPr>
        <w:t>[cite.]</w:t>
      </w:r>
      <w:r>
        <w:rPr/>
        <w:t xml:space="preserve">  Setting artificial caps or reimposing cost-of-service ratemaking is exactly the opposite of what good public policy demands.  </w:t>
      </w:r>
      <w:r>
        <w:rPr>
          <w:b/>
          <w:bCs/>
        </w:rPr>
        <w:t>[cite]</w:t>
      </w:r>
    </w:p>
    <w:p>
      <w:pPr>
        <w:pStyle w:val="BodyText"/>
        <w:rPr/>
      </w:pPr>
      <w:r>
        <w:rPr/>
        <w:t>The April 26 Order also sought to “encourage, and not discourage, the critically needed investment in infrastructure.”</w:t>
      </w:r>
      <w:r>
        <w:rPr>
          <w:rStyle w:val="FootnoteCharacters"/>
          <w:rStyle w:val="FootnoteReference"/>
        </w:rPr>
        <w:footnoteReference w:id="85"/>
      </w:r>
      <w:r>
        <w:rPr/>
        <w:t xml:space="preserve">  A retroactive refund requirement will send warning signals to new investors that investment in this region is not secure and is subject to regulatory manipulation.  Market signals to the supply side of the business, established at artificially low levels, will have the predictable effect of discouraging needed supply.  To the extent that investors lose confidence in the market, capacity additions will evaporate.  Given the nearly universal agreement that the western markets as a whole need substantial new capacity additions in the next several years, a loss of confidence and exit of investors is the very worst result that could be envisioned.  </w:t>
      </w:r>
    </w:p>
    <w:p>
      <w:pPr>
        <w:pStyle w:val="OutlineStyle4"/>
        <w:numPr>
          <w:ilvl w:val="3"/>
          <w:numId w:val="8"/>
        </w:numPr>
        <w:ind w:hanging="0" w:start="0"/>
        <w:rPr/>
      </w:pPr>
      <w:r>
        <w:rPr/>
        <w:t xml:space="preserve">Ordering retroactive refunds on the basis of a generic complaint will throw the certainty of market-based rates nationwide into disarray </w:t>
      </w:r>
    </w:p>
    <w:p>
      <w:pPr>
        <w:pStyle w:val="BodyText"/>
        <w:rPr/>
      </w:pPr>
      <w:r>
        <w:rPr/>
        <w:t>On a more practical level, the TFG notes that it would be particularly destabilizing for the Commission to order retroactive refunds based solely on a generic complaint similar to the Puget Complaint.  In most parts of the country, sellers with market-based rates have no price cap.  If the Commission establishes a precedent that anyone filing a generic market complaint could qualify for refunds imposed retroactively, the entire wholesale electricity market could be chilled until any complaint, however spurious, is finally dismissed or resolved.  Those who oppose competition – or who simply have negotiated uneconomic transactions for themselves – could unravel the competitive process by misuse of the complaint</w:t>
      </w:r>
      <w:r>
        <w:rPr>
          <w:sz w:val="28"/>
        </w:rPr>
        <w:t xml:space="preserve"> </w:t>
      </w:r>
      <w:r>
        <w:rPr/>
        <w:t>power.   The reason for the notice requirements under Section 206 and the corresponding limitations on retroactive application are valid and should not, and legally cannot, be lightly disregarded.  Thus, the Commission should be very careful in applying price mitigation retroactively and should tailor any refund liability as narrowly as possible.  It should not extend its refund proceeding from California to the very different, and well-functioning, Pacific Northwest marketplace.</w:t>
      </w:r>
    </w:p>
    <w:p>
      <w:pPr>
        <w:pStyle w:val="OutlineStyle4"/>
        <w:numPr>
          <w:ilvl w:val="3"/>
          <w:numId w:val="8"/>
        </w:numPr>
        <w:ind w:hanging="0" w:start="0"/>
        <w:rPr/>
      </w:pPr>
      <w:r>
        <w:rPr/>
        <w:t>Granting refunds to the limited group of complainants would be inequitable.</w:t>
      </w:r>
    </w:p>
    <w:p>
      <w:pPr>
        <w:pStyle w:val="BodyText"/>
        <w:rPr/>
      </w:pPr>
      <w:r>
        <w:rPr/>
        <w:t>Requiring refunds will simply not produce equity.  To the contrary, the record shows that refund proponents could have taken many actions to cover short positions with lower cost supply.</w:t>
      </w:r>
      <w:r>
        <w:rPr>
          <w:rStyle w:val="FootnoteCharacters"/>
          <w:rStyle w:val="FootnoteReference"/>
        </w:rPr>
        <w:footnoteReference w:id="86"/>
      </w:r>
      <w:r>
        <w:rPr/>
        <w:t xml:space="preserve">  They had options to build or to buy in the forward markets but voluntarily chose to rely on the spot market, which they knew or should have known was highly volatile.  There is simply no rational basis to allow refunds to compensate those market participants who made clearly voluntary and unrestricted choices while penalizing the vast majority of suppliers in the Pacific Northwest who used the forward markets to achieve a balanced portfolio and lower costs.  This, again, would produce a result precisely the opposite of the Commission's stated goals and would reward the very behavior it found objectionable in the California market.</w:t>
      </w:r>
    </w:p>
    <w:p>
      <w:pPr>
        <w:pStyle w:val="BodyText"/>
        <w:rPr/>
      </w:pPr>
      <w:r>
        <w:rPr/>
        <w:t>Nor would refunds provide even short term benefits to the few market participants seeking them.  The evidence made clear that “Nothing is more likely to drive potential sellers away from a buyer than a re-trade.  This business relies on finality of deals and reliance on your trading partner.”  Exh. IE-1 at 10. Balancing the short-term benefit of refunds to a few market participants against the immediate and long-term damage to the market and to future investment decisions, it is impossible to reconcile refunds with the overall public interest standard.  It would be arbitrary and capricious and a reversal of all of its stated tenets for the Commission to attempt to justify refunds in the circumstances surrounding the Pacific Northwest.</w:t>
      </w:r>
    </w:p>
    <w:p>
      <w:pPr>
        <w:pStyle w:val="OutlineStyle4"/>
        <w:numPr>
          <w:ilvl w:val="3"/>
          <w:numId w:val="8"/>
        </w:numPr>
        <w:ind w:hanging="0" w:start="0"/>
        <w:rPr/>
      </w:pPr>
      <w:r>
        <w:rPr/>
        <w:t>Refunds for transactions in the bilateral market are impossible as a matter of fact.</w:t>
      </w:r>
    </w:p>
    <w:p>
      <w:pPr>
        <w:pStyle w:val="BodyText"/>
        <w:rPr/>
      </w:pPr>
      <w:r>
        <w:rPr/>
        <w:t xml:space="preserve">Ripple claims have been excluded from this preliminary proceeding, however, they are a major impediment to a rational refund order. </w:t>
      </w:r>
      <w:r>
        <w:rPr>
          <w:b/>
          <w:bCs/>
        </w:rPr>
        <w:t>[Cite.]</w:t>
      </w:r>
      <w:r>
        <w:rPr/>
        <w:t xml:space="preserve">  Putting aside all other considerations, it would be simply impossible to identify and quantify the amount of refunds potentially owed by all parties in the PNW under virtually any plan.  The scope and magnitude of ripple claims, the time that would be required for such claims to be determined, and the inability to identify or recover claims from certain parties precludes ordering refunds for bilateral transactions in the PNW.  </w:t>
      </w:r>
    </w:p>
    <w:p>
      <w:pPr>
        <w:pStyle w:val="BodyText"/>
        <w:rPr/>
      </w:pPr>
      <w:r>
        <w:rPr/>
        <w:t xml:space="preserve">See generally August 23, 2001 Order on Ripple Refund Claims where the Presiding Judge acknowledged that “It is apparent that there was a chain of buyers and sellers in connection with many, if not most of the spot market bilateral transactions that are the subject of this proceeding.” </w:t>
      </w:r>
      <w:r>
        <w:rPr>
          <w:i/>
          <w:iCs/>
        </w:rPr>
        <w:t xml:space="preserve"> Id.</w:t>
      </w:r>
      <w:r>
        <w:rPr/>
        <w:t xml:space="preserve">  Complicating matters further, any particular spot transaction may have originated from a portfolio including a mix of short-term and long-term transactions.  Exh. PWX-1 at 16.  As Dr. Tabors explains, depending on the level of mitigation imposed, “the ripple could (and likely would) eventually touch every transaction that took place in the WSCC for the period of December 25, 2000 through June 20, 2001.”  Exh. PWX-1 at 16 (emphasis added).  The sheer magnitude of this potential ripple liability is enough to cause the Commission to reject the possibility of refunds in this proceeding.  </w:t>
      </w:r>
    </w:p>
    <w:p>
      <w:pPr>
        <w:pStyle w:val="BodyText"/>
        <w:rPr/>
      </w:pPr>
      <w:r>
        <w:rPr/>
        <w:t>The immense number of potential ripple claims is directly related to the highly active nature of the PNW wholesale electricity market.  As Dr. Tabors explains, electricity in the PNW region is traded an average of six times between the point of generation to the last wholesale purchaser in the chain.  Exh. PWX-9 at 7.  Powerex alone estimates that it engaged in approximately 30,000 transactions during the period from December 25, 2000 through June 20, 2001  PWX-9 at 6.  Dr. Tabors conservatively estimates, and the NPG does not challenge, that approximately 500,000 transactions would have to be unraveled simply to resolve refund liability for Powerex, a single market participant.  Exh. PWX-1 at 17.  Given the sheer magnitude of contracts that would have to be rewritten as a result of imposing refunds, it would be impossible to unwind fairly the chain of transactions that resulted in a single bilateral sale between December 25, 2000 and June 20, 2001.</w:t>
      </w:r>
    </w:p>
    <w:p>
      <w:pPr>
        <w:pStyle w:val="BodyText"/>
        <w:rPr/>
      </w:pPr>
      <w:r>
        <w:rPr/>
        <w:t>Putting the magnitude of potential ripple claims aside, as a factual matter it may be impossible for purchasers to recover ripple liability given the large number of sellers in the PNW that are not subject to the Commission’s jurisdiction and the inability to trace upstream sellers in every transaction.  Exh. BPA-1 at 22.  Most, if not all, buyers and sellers purchase and sell from a portfolio of resources.  Whereas in some instances a “back-to-back” purchase and sale (identical in volume, price, terms and conditions) is made and respective buyers and sellers can be identified, in many instances a particular seller's resource portfolio is an aggregate of a wide variety of supply rights which may include ownership or contractual rights to generation output, long and short-term contracts with other marketers, options, and even rights to call for demand reductions negotiated at a price with load users.  Further, if some type of arbitrary hourly price were used as a refund benchmark, parties would have to be permitted to offset sales at this retroactive price cap with sales below this cap.  Exh. BPA-1 at 19.</w:t>
      </w:r>
      <w:r>
        <w:rPr>
          <w:b/>
          <w:bCs/>
        </w:rPr>
        <w:t xml:space="preserve">  </w:t>
      </w:r>
      <w:r>
        <w:rPr/>
        <w:t xml:space="preserve">In these situations, it would be nearly impossible to match a particular sale with its source or to calculate the alleged refund due with precision.  As a result, Mr. Oliver testified that even if all potential ripple claims could be identified, only a fraction of the transactions actually would be adjusted, leaving certain parties to shoulder the brunt of refunds.  </w:t>
      </w:r>
      <w:r>
        <w:rPr>
          <w:i/>
          <w:iCs/>
        </w:rPr>
        <w:t>Id.</w:t>
      </w:r>
      <w:r>
        <w:rPr/>
        <w:t xml:space="preserve"> at 21-22.  It would take a protracted evidentiary proceeding to begin unraveling the multiple waves of ripple claims.  </w:t>
      </w:r>
      <w:r>
        <w:rPr>
          <w:i/>
          <w:iCs/>
        </w:rPr>
        <w:t>Id.</w:t>
      </w:r>
      <w:r>
        <w:rPr/>
        <w:t xml:space="preserve">; </w:t>
      </w:r>
      <w:r>
        <w:rPr>
          <w:b/>
          <w:bCs/>
        </w:rPr>
        <w:t xml:space="preserve">[additional cites] </w:t>
      </w:r>
    </w:p>
    <w:p>
      <w:pPr>
        <w:pStyle w:val="BodyText"/>
        <w:rPr/>
      </w:pPr>
      <w:r>
        <w:rPr/>
        <w:t>Extending this proceeding to examine ripple claims would thus introduce a considerable level of regulatory risk and unfairness into every subsequent transaction, thereby disrupting PNW markets to an unacceptable extent.  Exh BPA-1</w:t>
      </w:r>
      <w:r>
        <w:rPr>
          <w:i/>
        </w:rPr>
        <w:t xml:space="preserve"> </w:t>
      </w:r>
      <w:r>
        <w:rPr/>
        <w:t xml:space="preserve">at 23; </w:t>
      </w:r>
      <w:r>
        <w:rPr>
          <w:i/>
        </w:rPr>
        <w:t>see also</w:t>
      </w:r>
      <w:r>
        <w:rPr/>
        <w:t xml:space="preserve"> Exh. PPL-1 at 7; Exh. PWX-1 at 18.  This uncertainty and risk will require sellers in all transactions to raise prices, representing a risk premium, and may even cause sellers to abandon the market entirely.  Exh. PWX-1 at 17-18; Exh. BPA-1 at 23; Exh. PPL-1 at 7.  As has already begun to happen in California, investment in additional generation will be discouraged as potential investors question whether the market will be sufficiently stable to provide for a return on their investment.  Exh. CHPUD-1 at 6.</w:t>
      </w:r>
    </w:p>
    <w:p>
      <w:pPr>
        <w:pStyle w:val="BodyText"/>
        <w:rPr>
          <w:sz w:val="20"/>
        </w:rPr>
      </w:pPr>
      <w:r>
        <w:rPr/>
        <w:t>Finality of transactions is a fundamental requirement of a vibrant, sustainable electricity market.  Requiring parties to unwind past transactions and rewrite complete contracts “remove[s] all faith in the wholesale electric market.”  Exh. PWX-1 at 17.  Unleashing the ripple claims would thus spiral the PNW market down a rabbit-hole from which it will not recover for many years.  For this reason alone, the Presiding Judge should recommend to the Commission that refunds not be ordered in this proceeding, and that this entire matter be terminated with prejudice.</w:t>
      </w:r>
    </w:p>
    <w:p>
      <w:pPr>
        <w:pStyle w:val="BodyText"/>
        <w:rPr>
          <w:sz w:val="20"/>
        </w:rPr>
      </w:pPr>
      <w:r>
        <w:rPr>
          <w:sz w:val="20"/>
        </w:rPr>
      </w:r>
    </w:p>
    <w:sectPr>
      <w:headerReference w:type="default" r:id="rId2"/>
      <w:headerReference w:type="first" r:id="rId3"/>
      <w:footerReference w:type="default" r:id="rId4"/>
      <w:footerReference w:type="first" r:id="rId5"/>
      <w:footnotePr>
        <w:numFmt w:val="decimal"/>
      </w:footnotePr>
      <w:type w:val="nextPage"/>
      <w:pgSz w:w="12240" w:h="15840"/>
      <w:pgMar w:left="2160" w:right="108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334134.01-D.C. Server 2A</w:t>
      <w:tab/>
      <w:tab/>
      <w:t>MSW - Draft September 16, 2001 - 7:23 PM</w:t>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end="-1440"/>
      <w:rPr/>
    </w:pPr>
    <w:r>
      <w:rPr/>
      <w:t>334134.01-D.C. Server 2A</w:t>
      <w:tab/>
      <w:tab/>
      <w:t>MSW - Draft September 16, 2001 - 7:23 PM</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A list of TFG members joining this Brief is attached in Appendix A.  The TFG includes a broad range of market participants, including power marketers, independent power producers, and many load serving utilities.  This brief reflects the collective effort of these disparate parties and no statement should be ascribed to any particular party outside of that collective context.</w:t>
      </w:r>
    </w:p>
  </w:footnote>
  <w:footnote w:id="3">
    <w:p>
      <w:pPr>
        <w:pStyle w:val="FootnoteText"/>
        <w:rPr/>
      </w:pPr>
      <w:r>
        <w:rPr>
          <w:rStyle w:val="FootnoteCharacters"/>
        </w:rPr>
        <w:footnoteRef/>
      </w:r>
      <w:r>
        <w:rPr/>
        <w:t xml:space="preserve">  </w:t>
      </w:r>
      <w:r>
        <w:rPr/>
        <w:tab/>
      </w:r>
      <w:r>
        <w:rPr>
          <w:i/>
        </w:rPr>
        <w:t>San Diego Gas &amp; Elec. Co. v. Sellers of Energy and Ancillary Services Into Markets Operated by the California Indep. Sys. Operator Corp. and the California Power Exchange</w:t>
      </w:r>
      <w:r>
        <w:rPr/>
        <w:t>, 96 FERC ¶ 61,120 at 61,520 (2001) (the “July 25 Order”).  The Commission also established a separate evidentiary proceeding in Docket No. EL00-95 concerning sales in the real-time and ancillary services markets operated by the California Independent System Operator Corporation and the California Power Exchange Corporation during the October 2, 2000 through June 20, 2001 period.</w:t>
      </w:r>
    </w:p>
  </w:footnote>
  <w:footnote w:id="4">
    <w:p>
      <w:pPr>
        <w:pStyle w:val="FootnoteText"/>
        <w:rPr/>
      </w:pPr>
      <w:r>
        <w:rPr>
          <w:rStyle w:val="FootnoteCharacters"/>
        </w:rPr>
        <w:footnoteRef/>
      </w:r>
      <w:r>
        <w:rPr/>
        <w:t xml:space="preserve"> </w:t>
      </w:r>
      <w:r>
        <w:rPr/>
        <w:tab/>
      </w:r>
      <w:r>
        <w:rPr>
          <w:i/>
          <w:iCs/>
        </w:rPr>
        <w:t>Complaint of Puget Sound Energy, Inc.</w:t>
      </w:r>
      <w:r>
        <w:rPr/>
        <w:t>, Oct. 26, 2000, Docket No. EL01-10-000, at 2 (the “Complaint”) (emphasis added).</w:t>
      </w:r>
    </w:p>
  </w:footnote>
  <w:footnote w:id="5">
    <w:p>
      <w:pPr>
        <w:pStyle w:val="FootnoteText"/>
        <w:rPr/>
      </w:pPr>
      <w:r>
        <w:rPr>
          <w:rStyle w:val="FootnoteCharacters"/>
        </w:rPr>
        <w:footnoteRef/>
      </w:r>
      <w:r>
        <w:rPr/>
        <w:t xml:space="preserve">  </w:t>
      </w:r>
      <w:r>
        <w:rPr/>
        <w:tab/>
      </w:r>
      <w:r>
        <w:rPr>
          <w:i/>
        </w:rPr>
        <w:t>San Diego Gas &amp; Elec/ Co. v. Sellers of Energy and Ancillary Services Into Markets Operated by the California Indep. Sys. Operator Corp. and the California Power Exchange</w:t>
      </w:r>
      <w:r>
        <w:rPr/>
        <w:t xml:space="preserve">, 93 FERC ¶ 61,294 at 63,020, Ordering ¶ (K) (the “December 15 Order”); </w:t>
      </w:r>
      <w:r>
        <w:rPr>
          <w:i/>
        </w:rPr>
        <w:t xml:space="preserve">see also </w:t>
      </w:r>
      <w:r>
        <w:rPr>
          <w:iCs/>
        </w:rPr>
        <w:t>July 25 Order</w:t>
      </w:r>
      <w:r>
        <w:rPr/>
        <w:t xml:space="preserve">, 96 FERC at 61,503.  Puget and others sought rehearing of the December 15 Order, which are still pending.  On June 22, 2001, Puget filed a motion to dismiss its complaint, along with a notice of withdrawal of its complaint and its rehearing request, stating that the Commission’s June 19, 2001 order in Docket No. EL00-95-000, </w:t>
      </w:r>
      <w:r>
        <w:rPr>
          <w:i/>
        </w:rPr>
        <w:t>et al.</w:t>
      </w:r>
      <w:r>
        <w:rPr/>
        <w:t xml:space="preserve">, </w:t>
      </w:r>
      <w:r>
        <w:rPr>
          <w:i/>
        </w:rPr>
        <w:t>San Diego Gas &amp; Elec. Co. v. Sellers of Energy and Ancillary Services Into Markets Operated by the California Indep. Sys. Operator Corp. and the California Power Exchange</w:t>
      </w:r>
      <w:r>
        <w:rPr/>
        <w:t>, 95 FERC ¶ 61,418 (2001) (the “June 19 Order”), provided the relief that it sought in its complaint, namely, the establishment of prospective price mitigation for PNW markets.  Puget has thus refused to prosecute its complaint, and, as a TFG member, has actively opposed the efforts by others to substitute themselves as replacement complainants.</w:t>
      </w:r>
    </w:p>
  </w:footnote>
  <w:footnote w:id="6">
    <w:p>
      <w:pPr>
        <w:pStyle w:val="FootnoteText"/>
        <w:rPr/>
      </w:pPr>
      <w:r>
        <w:rPr>
          <w:rStyle w:val="FootnoteCharacters"/>
        </w:rPr>
        <w:footnoteRef/>
      </w:r>
      <w:r>
        <w:rPr/>
        <w:t xml:space="preserve">  </w:t>
      </w:r>
      <w:r>
        <w:rPr/>
        <w:tab/>
        <w:t>July 25 Order, 96 FERC at 61,520.</w:t>
      </w:r>
    </w:p>
  </w:footnote>
  <w:footnote w:id="7">
    <w:p>
      <w:pPr>
        <w:pStyle w:val="FootnoteText"/>
        <w:rPr/>
      </w:pPr>
      <w:r>
        <w:rPr>
          <w:rStyle w:val="FootnoteCharacters"/>
        </w:rPr>
        <w:footnoteRef/>
      </w:r>
      <w:r>
        <w:rPr/>
        <w:t xml:space="preserve"> </w:t>
      </w:r>
      <w:r>
        <w:rPr/>
        <w:tab/>
      </w:r>
      <w:r>
        <w:rPr>
          <w:i/>
        </w:rPr>
        <w:t>Id</w:t>
      </w:r>
      <w:r>
        <w:rPr/>
        <w:t>.</w:t>
      </w:r>
    </w:p>
  </w:footnote>
  <w:footnote w:id="8">
    <w:p>
      <w:pPr>
        <w:pStyle w:val="FootnoteText"/>
        <w:rPr/>
      </w:pPr>
      <w:r>
        <w:rPr>
          <w:rStyle w:val="FootnoteCharacters"/>
        </w:rPr>
        <w:footnoteRef/>
      </w:r>
      <w:r>
        <w:rPr/>
        <w:t xml:space="preserve"> </w:t>
      </w:r>
      <w:r>
        <w:rPr/>
        <w:tab/>
      </w:r>
      <w:r>
        <w:rPr>
          <w:i/>
        </w:rPr>
        <w:t>Id.</w:t>
      </w:r>
    </w:p>
  </w:footnote>
  <w:footnote w:id="9">
    <w:p>
      <w:pPr>
        <w:pStyle w:val="FootnoteText"/>
        <w:rPr/>
      </w:pPr>
      <w:r>
        <w:rPr>
          <w:rStyle w:val="FootnoteCharacters"/>
        </w:rPr>
        <w:footnoteRef/>
      </w:r>
      <w:r>
        <w:rPr/>
        <w:t xml:space="preserve"> </w:t>
      </w:r>
      <w:r>
        <w:rPr/>
        <w:tab/>
      </w:r>
      <w:r>
        <w:rPr>
          <w:i/>
        </w:rPr>
        <w:t>See Mathews v. Eldridge</w:t>
      </w:r>
      <w:r>
        <w:rPr/>
        <w:t>, 424 U.S. 319, 333-48 (1976).</w:t>
      </w:r>
    </w:p>
  </w:footnote>
  <w:footnote w:id="10">
    <w:p>
      <w:pPr>
        <w:pStyle w:val="FootnoteText"/>
        <w:rPr/>
      </w:pPr>
      <w:r>
        <w:rPr>
          <w:rStyle w:val="FootnoteCharacters"/>
        </w:rPr>
        <w:footnoteRef/>
      </w:r>
      <w:r>
        <w:rPr/>
        <w:t xml:space="preserve"> </w:t>
      </w:r>
      <w:r>
        <w:rPr/>
        <w:tab/>
        <w:t>Indeed, the July 25 Order itself recognized “the enormity of attempting to unravel [spot market bilateral sales outside of California] retroactively.”  96 FERC at 61,520.</w:t>
      </w:r>
    </w:p>
  </w:footnote>
  <w:footnote w:id="11">
    <w:p>
      <w:pPr>
        <w:pStyle w:val="FootnoteText"/>
        <w:rPr/>
      </w:pPr>
      <w:r>
        <w:rPr>
          <w:rStyle w:val="FootnoteCharacters"/>
        </w:rPr>
        <w:footnoteRef/>
      </w:r>
      <w:r>
        <w:rPr/>
        <w:t xml:space="preserve"> </w:t>
      </w:r>
      <w:r>
        <w:rPr/>
        <w:tab/>
        <w:t>Complaint at 1 n.1, 2, 10-12.</w:t>
      </w:r>
    </w:p>
  </w:footnote>
  <w:footnote w:id="12">
    <w:p>
      <w:pPr>
        <w:pStyle w:val="FootnoteText"/>
        <w:rPr/>
      </w:pPr>
      <w:r>
        <w:rPr>
          <w:rStyle w:val="FootnoteCharacters"/>
        </w:rPr>
        <w:footnoteRef/>
      </w:r>
      <w:r>
        <w:rPr/>
        <w:t xml:space="preserve"> </w:t>
      </w:r>
      <w:r>
        <w:rPr/>
        <w:tab/>
      </w:r>
      <w:r>
        <w:rPr>
          <w:i/>
          <w:iCs/>
        </w:rPr>
        <w:t>See, e.g.,</w:t>
      </w:r>
      <w:r>
        <w:rPr/>
        <w:t xml:space="preserve"> Order Granting Motion to Intervene Out of Time, Docket No. EL01-10-000 (Aug. 21, 2001) (requiring that intervenors “take the record as it now stands”); Order Granting Motions to Intervene Out of Time, Docket No. EL01-10-000 (Aug. 6, 2001) (intervenors “must accept the record that was developed prior to the late interventions”).</w:t>
      </w:r>
    </w:p>
  </w:footnote>
  <w:footnote w:id="13">
    <w:p>
      <w:pPr>
        <w:pStyle w:val="FootnoteText"/>
        <w:rPr/>
      </w:pPr>
      <w:r>
        <w:rPr>
          <w:rStyle w:val="FootnoteCharacters"/>
        </w:rPr>
        <w:footnoteRef/>
      </w:r>
      <w:r>
        <w:rPr/>
        <w:t xml:space="preserve"> </w:t>
      </w:r>
      <w:r>
        <w:rPr/>
        <w:tab/>
      </w:r>
      <w:r>
        <w:rPr>
          <w:i/>
          <w:iCs/>
        </w:rPr>
        <w:t>North Carolina Electric Membership Corp.</w:t>
      </w:r>
      <w:r>
        <w:rPr/>
        <w:t xml:space="preserve">, 52 FERC ¶ 61,298 at 62,198 (1990); </w:t>
      </w:r>
      <w:r>
        <w:rPr>
          <w:i/>
          <w:iCs/>
        </w:rPr>
        <w:t>Seminole Elec. Coop., Inc.</w:t>
      </w:r>
      <w:r>
        <w:rPr/>
        <w:t>, 65 FERC ¶ 61,413 at 63,139 (1993).</w:t>
      </w:r>
    </w:p>
  </w:footnote>
  <w:footnote w:id="14">
    <w:p>
      <w:pPr>
        <w:pStyle w:val="FootnoteText"/>
        <w:rPr/>
      </w:pPr>
      <w:r>
        <w:rPr>
          <w:rStyle w:val="FootnoteCharacters"/>
        </w:rPr>
        <w:footnoteRef/>
      </w:r>
      <w:r>
        <w:rPr/>
        <w:t xml:space="preserve"> </w:t>
      </w:r>
      <w:r>
        <w:rPr/>
        <w:tab/>
        <w:t>July 25 Order, 96 FERC at 61,515.</w:t>
      </w:r>
    </w:p>
  </w:footnote>
  <w:footnote w:id="15">
    <w:p>
      <w:pPr>
        <w:pStyle w:val="FootnoteText"/>
        <w:rPr/>
      </w:pPr>
      <w:r>
        <w:rPr>
          <w:rStyle w:val="FootnoteCharacters"/>
        </w:rPr>
        <w:footnoteRef/>
      </w:r>
      <w:r>
        <w:rPr/>
        <w:t xml:space="preserve"> </w:t>
      </w:r>
      <w:r>
        <w:rPr/>
        <w:tab/>
      </w:r>
      <w:r>
        <w:rPr>
          <w:i/>
          <w:iCs/>
        </w:rPr>
        <w:t>Id.</w:t>
      </w:r>
      <w:r>
        <w:rPr/>
        <w:t xml:space="preserve"> at 61,508 (“As the instant matter arose from a complaint under Section 206, we must look to that provision”).</w:t>
      </w:r>
    </w:p>
  </w:footnote>
  <w:footnote w:id="16">
    <w:p>
      <w:pPr>
        <w:pStyle w:val="FootnoteText"/>
        <w:rPr/>
      </w:pPr>
      <w:r>
        <w:rPr>
          <w:rStyle w:val="FootnoteCharacters"/>
        </w:rPr>
        <w:footnoteRef/>
      </w:r>
      <w:r>
        <w:rPr/>
        <w:t xml:space="preserve"> </w:t>
      </w:r>
      <w:r>
        <w:rPr/>
        <w:tab/>
      </w:r>
      <w:r>
        <w:rPr>
          <w:i/>
          <w:iCs/>
        </w:rPr>
        <w:t>San Diego Gas &amp; Elec. Co. v. Sellers of Energy and Ancillary Services into Markets Operated by the California Indep. Sys. Operator and the California Power Exchange,</w:t>
      </w:r>
      <w:r>
        <w:rPr/>
        <w:t xml:space="preserve"> 93 FERC ¶ 61,121 at 61,376-61,383  (2000) (Appendix E, Legal Analysis of Refund Authority) (the “November 1 Order”).</w:t>
      </w:r>
    </w:p>
  </w:footnote>
  <w:footnote w:id="17">
    <w:p>
      <w:pPr>
        <w:pStyle w:val="FootnoteText"/>
        <w:rPr/>
      </w:pPr>
      <w:r>
        <w:rPr>
          <w:rStyle w:val="FootnoteCharacters"/>
        </w:rPr>
        <w:footnoteRef/>
      </w:r>
      <w:r>
        <w:rPr/>
        <w:t xml:space="preserve"> </w:t>
      </w:r>
      <w:r>
        <w:rPr/>
        <w:tab/>
        <w:t xml:space="preserve">The filed rate doctrine and prohibition against retroactive ratemaking apply equally to cost-based and market-based rates.  </w:t>
      </w:r>
      <w:r>
        <w:rPr>
          <w:i/>
          <w:iCs/>
        </w:rPr>
        <w:t>See</w:t>
      </w:r>
      <w:r>
        <w:rPr/>
        <w:t xml:space="preserve"> </w:t>
      </w:r>
      <w:r>
        <w:rPr>
          <w:i/>
          <w:iCs/>
        </w:rPr>
        <w:t>id.</w:t>
      </w:r>
      <w:r>
        <w:rPr/>
        <w:t xml:space="preserve"> at 61,376; July 25 Order, 96 FERC at 61,505-06.</w:t>
      </w:r>
    </w:p>
  </w:footnote>
  <w:footnote w:id="18">
    <w:p>
      <w:pPr>
        <w:pStyle w:val="FootnoteText"/>
        <w:rPr/>
      </w:pPr>
      <w:r>
        <w:rPr>
          <w:rStyle w:val="FootnoteCharacters"/>
        </w:rPr>
        <w:footnoteRef/>
      </w:r>
      <w:r>
        <w:rPr/>
        <w:t xml:space="preserve"> </w:t>
      </w:r>
      <w:r>
        <w:rPr/>
        <w:tab/>
        <w:t>July 25 Order, 96 FERC at 61,505.</w:t>
      </w:r>
    </w:p>
  </w:footnote>
  <w:footnote w:id="19">
    <w:p>
      <w:pPr>
        <w:pStyle w:val="FootnoteText"/>
        <w:rPr/>
      </w:pPr>
      <w:r>
        <w:rPr>
          <w:rStyle w:val="FootnoteCharacters"/>
        </w:rPr>
        <w:footnoteRef/>
      </w:r>
      <w:r>
        <w:rPr/>
        <w:t xml:space="preserve"> </w:t>
      </w:r>
      <w:r>
        <w:rPr/>
        <w:tab/>
        <w:t xml:space="preserve">16 U.S.C. § 824e(b); S. Rep. No. 100-491, </w:t>
      </w:r>
      <w:r>
        <w:rPr>
          <w:i/>
          <w:iCs/>
        </w:rPr>
        <w:t>reprinted in</w:t>
      </w:r>
      <w:r>
        <w:rPr/>
        <w:t xml:space="preserve"> 1988 U.S.C.C.A.N. 2684.</w:t>
      </w:r>
    </w:p>
  </w:footnote>
  <w:footnote w:id="20">
    <w:p>
      <w:pPr>
        <w:pStyle w:val="FootnoteText"/>
        <w:rPr/>
      </w:pPr>
      <w:r>
        <w:rPr>
          <w:rStyle w:val="FootnoteCharacters"/>
        </w:rPr>
        <w:footnoteRef/>
      </w:r>
      <w:r>
        <w:rPr/>
        <w:t xml:space="preserve"> </w:t>
      </w:r>
      <w:r>
        <w:rPr/>
        <w:tab/>
        <w:t>Section 206(b) could not be more clear: "[i]n any proceeding under this section, the burden of proof to show that any rate, charge classification, rule, regulation, practaice, or contract is unjust, unreasonable, unduly discriminatory, or preferential shall be upon the Commission or the complainant."</w:t>
      </w:r>
    </w:p>
  </w:footnote>
  <w:footnote w:id="21">
    <w:p>
      <w:pPr>
        <w:pStyle w:val="FootnoteText"/>
        <w:rPr/>
      </w:pPr>
      <w:r>
        <w:rPr>
          <w:rStyle w:val="FootnoteCharacters"/>
        </w:rPr>
        <w:footnoteRef/>
      </w:r>
      <w:r>
        <w:rPr/>
        <w:t xml:space="preserve"> </w:t>
      </w:r>
      <w:r>
        <w:rPr/>
        <w:tab/>
      </w:r>
      <w:r>
        <w:rPr>
          <w:i/>
          <w:iCs/>
        </w:rPr>
        <w:t xml:space="preserve">United Gas Pipe Line Co. v. Mobile Gas Service Corp., </w:t>
      </w:r>
      <w:r>
        <w:rPr/>
        <w:t>350 U.S. 332 (1956) (“</w:t>
      </w:r>
      <w:r>
        <w:rPr>
          <w:i/>
          <w:iCs/>
        </w:rPr>
        <w:t>Mobile</w:t>
      </w:r>
      <w:r>
        <w:rPr/>
        <w:t xml:space="preserve">”); </w:t>
      </w:r>
      <w:r>
        <w:rPr>
          <w:i/>
          <w:iCs/>
        </w:rPr>
        <w:t>FPC v. Sierra Power Co.</w:t>
      </w:r>
      <w:r>
        <w:rPr/>
        <w:t>, 350 U.S. 348 (1956) (“</w:t>
      </w:r>
      <w:r>
        <w:rPr>
          <w:i/>
          <w:iCs/>
        </w:rPr>
        <w:t>Sierra</w:t>
      </w:r>
      <w:r>
        <w:rPr/>
        <w:t>”).</w:t>
      </w:r>
    </w:p>
  </w:footnote>
  <w:footnote w:id="22">
    <w:p>
      <w:pPr>
        <w:pStyle w:val="FootnoteText"/>
        <w:rPr/>
      </w:pPr>
      <w:r>
        <w:rPr>
          <w:rStyle w:val="FootnoteCharacters"/>
        </w:rPr>
        <w:footnoteRef/>
      </w:r>
      <w:r>
        <w:rPr/>
        <w:t xml:space="preserve"> </w:t>
      </w:r>
      <w:r>
        <w:rPr/>
        <w:tab/>
      </w:r>
      <w:r>
        <w:rPr>
          <w:i/>
          <w:iCs/>
        </w:rPr>
        <w:t xml:space="preserve">Potomac Elec. Power Co. v. FERC. </w:t>
      </w:r>
      <w:r>
        <w:rPr/>
        <w:t>210 F.3d 403, 406 (D.C. Cir. 2000)  (</w:t>
      </w:r>
      <w:r>
        <w:rPr>
          <w:i/>
          <w:iCs/>
        </w:rPr>
        <w:t>quoting Papago Tribal Util. Auth. v. FERC,</w:t>
      </w:r>
      <w:r>
        <w:rPr/>
        <w:t xml:space="preserve"> 723 F.2d 950, 953 (D.C. Cir. 1983), </w:t>
      </w:r>
      <w:r>
        <w:rPr>
          <w:i/>
        </w:rPr>
        <w:t>cert. denied</w:t>
      </w:r>
      <w:r>
        <w:rPr/>
        <w:t xml:space="preserve"> 467 U.S. 1241 (1984) (citations omitted)); </w:t>
      </w:r>
      <w:r>
        <w:rPr>
          <w:i/>
          <w:iCs/>
        </w:rPr>
        <w:t xml:space="preserve">see also, Northeast Utilities Svc. Co. v. FERC, </w:t>
      </w:r>
      <w:r>
        <w:rPr/>
        <w:t>55 F.3d 686, 691 (1</w:t>
      </w:r>
      <w:r>
        <w:rPr>
          <w:vertAlign w:val="superscript"/>
        </w:rPr>
        <w:t>st</w:t>
      </w:r>
      <w:r>
        <w:rPr/>
        <w:t xml:space="preserve"> Cir. 1995) (FERC can modify the terms of a contract under Mobile-Sierra where third parties are threatened by possible “undue discrimination” or the imposition of an “excessive burden.” (citations omitted)).</w:t>
      </w:r>
    </w:p>
  </w:footnote>
  <w:footnote w:id="23">
    <w:p>
      <w:pPr>
        <w:pStyle w:val="FootnoteText"/>
        <w:rPr/>
      </w:pPr>
      <w:r>
        <w:rPr>
          <w:rStyle w:val="FootnoteCharacters"/>
        </w:rPr>
        <w:footnoteRef/>
      </w:r>
      <w:r>
        <w:rPr/>
        <w:t xml:space="preserve"> </w:t>
      </w:r>
      <w:r>
        <w:rPr/>
        <w:tab/>
        <w:t>96 FERC at 61,520 at n.74.</w:t>
      </w:r>
    </w:p>
  </w:footnote>
  <w:footnote w:id="24">
    <w:p>
      <w:pPr>
        <w:pStyle w:val="FootnoteText"/>
        <w:rPr/>
      </w:pPr>
      <w:r>
        <w:rPr>
          <w:rStyle w:val="FootnoteCharacters"/>
        </w:rPr>
        <w:footnoteRef/>
      </w:r>
      <w:r>
        <w:rPr/>
        <w:t xml:space="preserve"> </w:t>
      </w:r>
      <w:r>
        <w:rPr/>
        <w:tab/>
      </w:r>
      <w:r>
        <w:rPr>
          <w:i/>
          <w:iCs/>
        </w:rPr>
        <w:t>See, e.g.,</w:t>
      </w:r>
      <w:r>
        <w:rPr/>
        <w:t xml:space="preserve"> June 19 Order at 2 n.3 (“As used throughout this document, the terms ‘spot markets’ or ‘spot market sales’ means sales that are 24 hours or less and that are entered into the day of or day prior to delivery.”).</w:t>
      </w:r>
    </w:p>
  </w:footnote>
  <w:footnote w:id="25">
    <w:p>
      <w:pPr>
        <w:pStyle w:val="FootnoteText"/>
        <w:rPr/>
      </w:pPr>
      <w:r>
        <w:rPr>
          <w:rStyle w:val="FootnoteCharacters"/>
        </w:rPr>
        <w:footnoteRef/>
      </w:r>
      <w:r>
        <w:rPr/>
        <w:t xml:space="preserve"> </w:t>
      </w:r>
      <w:r>
        <w:rPr/>
        <w:tab/>
        <w:t>[Cite.]</w:t>
      </w:r>
    </w:p>
  </w:footnote>
  <w:footnote w:id="26">
    <w:p>
      <w:pPr>
        <w:pStyle w:val="FootnoteText"/>
        <w:rPr/>
      </w:pPr>
      <w:r>
        <w:rPr>
          <w:rStyle w:val="FootnoteCharacters"/>
        </w:rPr>
        <w:footnoteRef/>
      </w:r>
      <w:r>
        <w:rPr/>
        <w:t xml:space="preserve"> </w:t>
      </w:r>
      <w:r>
        <w:rPr/>
        <w:tab/>
      </w:r>
      <w:r>
        <w:rPr>
          <w:i/>
          <w:iCs/>
        </w:rPr>
        <w:t>Id.</w:t>
      </w:r>
      <w:r>
        <w:rPr/>
        <w:t xml:space="preserve">  Ms. Green attempts to support her contention to include book-outs in potential refund calculations by baldly asserting that Seattle City Light does “not have total control over what is booked out.”  Exh. NPG-67 at 11.  Ms. Green does not explain why or how Seattle City Light would be precluded from calling upon all parties contractually obligated to supply power under the terms of those contracts.  More importantly, any failure to perform such obligations would be actionable under established principles of contract law, with appropriate remedies.  The Presiding Judge should not allow Seattle City Light to further complicate this already complex proceeding in order to litigate alleged contract disputes.</w:t>
      </w:r>
    </w:p>
  </w:footnote>
  <w:footnote w:id="27">
    <w:p>
      <w:pPr>
        <w:pStyle w:val="FootnoteText"/>
        <w:rPr/>
      </w:pPr>
      <w:r>
        <w:rPr>
          <w:rStyle w:val="FootnoteCharacters"/>
        </w:rPr>
        <w:footnoteRef/>
      </w:r>
      <w:r>
        <w:rPr/>
        <w:t xml:space="preserve"> </w:t>
      </w:r>
      <w:r>
        <w:rPr/>
        <w:tab/>
        <w:t xml:space="preserve">Exh. NPG-67 at 10-11 </w:t>
      </w:r>
      <w:r>
        <w:rPr>
          <w:b/>
          <w:bCs/>
        </w:rPr>
        <w:t>[other cites].</w:t>
      </w:r>
    </w:p>
  </w:footnote>
  <w:footnote w:id="28">
    <w:p>
      <w:pPr>
        <w:pStyle w:val="FootnoteText"/>
        <w:rPr/>
      </w:pPr>
      <w:r>
        <w:rPr>
          <w:rStyle w:val="FootnoteCharacters"/>
        </w:rPr>
        <w:footnoteRef/>
      </w:r>
      <w:r>
        <w:rPr/>
        <w:t xml:space="preserve"> </w:t>
      </w:r>
      <w:r>
        <w:rPr/>
        <w:tab/>
        <w:t xml:space="preserve">The Commission has jurisdiction under Sections 205 and 206 of the Federal Power Act only where three conditions are present:  where “[(i)] the electricity futures contract goes to delivery, [(ii)] the electric energy sold under the contract will be resold in interstate commerce, [(iii)] and the seller is a public utility.”  </w:t>
      </w:r>
      <w:r>
        <w:rPr>
          <w:i/>
        </w:rPr>
        <w:t>New York Mercantile Exchange</w:t>
      </w:r>
      <w:r>
        <w:rPr/>
        <w:t>, 74 FERC ¶ 61,311 at 61,987 (1996) (“</w:t>
      </w:r>
      <w:r>
        <w:rPr>
          <w:i/>
        </w:rPr>
        <w:t>NYMEX</w:t>
      </w:r>
      <w:r>
        <w:rPr/>
        <w:t xml:space="preserve">”).  </w:t>
      </w:r>
      <w:r>
        <w:rPr>
          <w:i/>
        </w:rPr>
        <w:t>See also</w:t>
      </w:r>
      <w:r>
        <w:rPr/>
        <w:t xml:space="preserve"> Exh. PSCO-1 at 7:9-16 (</w:t>
      </w:r>
      <w:r>
        <w:rPr>
          <w:i/>
        </w:rPr>
        <w:t>citing Morgan Stanley Capital Group</w:t>
      </w:r>
      <w:r>
        <w:rPr/>
        <w:t xml:space="preserve">, 69 FERC ¶ 61,175 at 61,696 (1994), </w:t>
      </w:r>
      <w:r>
        <w:rPr>
          <w:i/>
        </w:rPr>
        <w:t>clarified, Englehard Power Marketing, Inc.</w:t>
      </w:r>
      <w:r>
        <w:rPr/>
        <w:t xml:space="preserve">, 70 FERC ¶ 61,250 at 61,778, </w:t>
      </w:r>
      <w:r>
        <w:rPr>
          <w:i/>
        </w:rPr>
        <w:t xml:space="preserve">order on reh'g, </w:t>
      </w:r>
      <w:r>
        <w:rPr/>
        <w:t xml:space="preserve">72 FERC ¶ 61,082 at 61,436-37 (1996)). </w:t>
      </w:r>
    </w:p>
  </w:footnote>
  <w:footnote w:id="29">
    <w:p>
      <w:pPr>
        <w:pStyle w:val="FootnoteText"/>
        <w:rPr/>
      </w:pPr>
      <w:r>
        <w:rPr>
          <w:rStyle w:val="FootnoteCharacters"/>
        </w:rPr>
        <w:footnoteRef/>
      </w:r>
      <w:r>
        <w:rPr/>
        <w:t xml:space="preserve"> </w:t>
      </w:r>
      <w:r>
        <w:rPr/>
        <w:tab/>
        <w:t xml:space="preserve">This position is fully consistent with the Commission's electricity sales reporting requirements.  All electric utilities, including power marketers, must report each year to the Commission their jurisdictional electric power transactions on the Commission's Form No. 582.  The Commission has addressed the question of book-out transactions with regard to its Form 582 reporting requirements.  </w:t>
      </w:r>
      <w:r>
        <w:rPr>
          <w:i/>
        </w:rPr>
        <w:t>Annual Charges Under the Omnibus Budget Reconciliation Act (CNG Power Services, et al.)</w:t>
      </w:r>
      <w:r>
        <w:rPr/>
        <w:t>, 87 FERC ¶ 61,074 (1999) (“</w:t>
      </w:r>
      <w:r>
        <w:rPr>
          <w:i/>
        </w:rPr>
        <w:t>CNG Services</w:t>
      </w:r>
      <w:r>
        <w:rPr/>
        <w:t xml:space="preserve">”).  In </w:t>
      </w:r>
      <w:r>
        <w:rPr>
          <w:i/>
        </w:rPr>
        <w:t>CNG Services</w:t>
      </w:r>
      <w:r>
        <w:rPr/>
        <w:t xml:space="preserve">, the Commission clarified that book-out transactions need not be reported in Form 582, stating “the parties need to report on their Form Nos. 582 only those transactions that result in the </w:t>
      </w:r>
      <w:r>
        <w:rPr>
          <w:i/>
          <w:iCs/>
        </w:rPr>
        <w:t>delivery</w:t>
      </w:r>
      <w:r>
        <w:rPr/>
        <w:t xml:space="preserve"> of electric energy.”  </w:t>
      </w:r>
      <w:r>
        <w:rPr>
          <w:i/>
        </w:rPr>
        <w:t>Id.</w:t>
      </w:r>
      <w:r>
        <w:rPr/>
        <w:t xml:space="preserve"> at 61,303 (emphasis added).</w:t>
      </w:r>
    </w:p>
  </w:footnote>
  <w:footnote w:id="30">
    <w:p>
      <w:pPr>
        <w:pStyle w:val="FootnoteText"/>
        <w:rPr/>
      </w:pPr>
      <w:r>
        <w:rPr>
          <w:rStyle w:val="FootnoteCharacters"/>
        </w:rPr>
        <w:footnoteRef/>
      </w:r>
      <w:r>
        <w:rPr/>
        <w:t xml:space="preserve"> </w:t>
      </w:r>
      <w:r>
        <w:rPr/>
        <w:tab/>
        <w:t>In the Template Order, the Presiding Judge ruled that “all transactions which originate, are delivered, or must be transmitted in the Pacific Northwest must be reported.”  Order on Format for Data Submissions, EL01-10-000, at 8 (Aug. 9, 2001).  Stated another way, parties were to refrain from reporting any transaction that (i) does not have a point of delivery or point of receipt in the Pacific Northwest and (ii) is not transmitted through the Pacific Northwest.  Because no power ever flows under a booked-out transaction, these transactions do not have a point of delivery, a point of receipt, or a transmission path and, thus, do not meet the criteria established in the Template Order for transactions that must be reported.</w:t>
      </w:r>
    </w:p>
  </w:footnote>
  <w:footnote w:id="31">
    <w:p>
      <w:pPr>
        <w:pStyle w:val="FootnoteText"/>
        <w:rPr/>
      </w:pPr>
      <w:r>
        <w:rPr>
          <w:rStyle w:val="FootnoteCharacters"/>
        </w:rPr>
        <w:footnoteRef/>
      </w:r>
      <w:r>
        <w:rPr/>
        <w:t xml:space="preserve"> </w:t>
      </w:r>
      <w:r>
        <w:rPr/>
        <w:tab/>
        <w:t>CERS is a division of the CDWR that is authorized by California statute “to purchase electric power and sell power to retail end use customers and to locally publicly owned electric utilities.”  Exh. CAL-1 at 3:8-9.</w:t>
      </w:r>
    </w:p>
  </w:footnote>
  <w:footnote w:id="32">
    <w:p>
      <w:pPr>
        <w:pStyle w:val="FootnoteText"/>
        <w:rPr/>
      </w:pPr>
      <w:r>
        <w:rPr>
          <w:rStyle w:val="FootnoteCharacters"/>
        </w:rPr>
        <w:footnoteRef/>
      </w:r>
      <w:r>
        <w:rPr/>
        <w:t xml:space="preserve"> </w:t>
      </w:r>
      <w:r>
        <w:rPr/>
        <w:tab/>
        <w:t xml:space="preserve">The statistical data sought was submitted to the ALJ on a confidential basis and presumably will be certified to the Commission.  Staff witness Poffenberger, however, provided a glimpse into the breadth and informational value of those submissions and, in the process, underscored numerous problems with this data gathering effort (Exh. S-3 at 6:3-19; Exh. PWX-12 at 2): </w:t>
      </w:r>
    </w:p>
    <w:p>
      <w:pPr>
        <w:pStyle w:val="FootnoteText"/>
        <w:numPr>
          <w:ilvl w:val="0"/>
          <w:numId w:val="11"/>
        </w:numPr>
        <w:rPr/>
      </w:pPr>
      <w:r>
        <w:rPr/>
        <w:t>Only 56 of the 220 entities that belong to the WSPP submitted data.</w:t>
      </w:r>
    </w:p>
    <w:p>
      <w:pPr>
        <w:pStyle w:val="FootnoteText"/>
        <w:numPr>
          <w:ilvl w:val="0"/>
          <w:numId w:val="11"/>
        </w:numPr>
        <w:rPr/>
      </w:pPr>
      <w:r>
        <w:rPr/>
        <w:t>None of the parties proposing refunds in this case, provided the date and hour when each transaction was entered into. (As noted by Dr. Tabors, Exh. PWX-12 at 3 n.1, and pursuant to the Stipulation entered during the hearing, EWEB does not appear to be seeking affirmative relief, but it did provide dates and hours.)</w:t>
      </w:r>
    </w:p>
    <w:p>
      <w:pPr>
        <w:pStyle w:val="FootnoteText"/>
        <w:numPr>
          <w:ilvl w:val="0"/>
          <w:numId w:val="11"/>
        </w:numPr>
        <w:rPr/>
      </w:pPr>
      <w:r>
        <w:rPr/>
        <w:t>The data submitted fails to reveal whether the power purchased was used to serve retail load in the Pacific Northwest or whether is was resold, possibly into California.  (Testimony indicates, however, that this information in fact is available.  Exh. PGE-1 at 3:4-4:2.)</w:t>
      </w:r>
    </w:p>
    <w:p>
      <w:pPr>
        <w:pStyle w:val="FootnoteText"/>
        <w:numPr>
          <w:ilvl w:val="0"/>
          <w:numId w:val="11"/>
        </w:numPr>
        <w:rPr/>
      </w:pPr>
      <w:r>
        <w:rPr/>
        <w:t>Sellers that submitted data were unable to identify upstream vendors and it is therefore impossible to fully assess the potential magnitude of so-called “ripple” claims.</w:t>
      </w:r>
    </w:p>
    <w:p>
      <w:pPr>
        <w:pStyle w:val="FootnoteText"/>
        <w:ind w:hanging="0" w:end="0"/>
        <w:rPr/>
      </w:pPr>
      <w:r>
        <w:rPr/>
        <w:t>What is clear is that the refund claimants represent an extraordinarily small segment of the Pacific Northwest market.</w:t>
      </w:r>
    </w:p>
  </w:footnote>
  <w:footnote w:id="33">
    <w:p>
      <w:pPr>
        <w:pStyle w:val="FootnoteText"/>
        <w:rPr/>
      </w:pPr>
      <w:r>
        <w:rPr>
          <w:rStyle w:val="FootnoteCharacters"/>
        </w:rPr>
        <w:footnoteRef/>
      </w:r>
      <w:r>
        <w:rPr/>
        <w:t xml:space="preserve"> </w:t>
      </w:r>
      <w:r>
        <w:rPr/>
        <w:tab/>
      </w:r>
      <w:r>
        <w:rPr>
          <w:i/>
          <w:iCs/>
        </w:rPr>
        <w:t>See id.</w:t>
      </w:r>
    </w:p>
  </w:footnote>
  <w:footnote w:id="34">
    <w:p>
      <w:pPr>
        <w:pStyle w:val="FootnoteText"/>
        <w:rPr/>
      </w:pPr>
      <w:r>
        <w:rPr>
          <w:rStyle w:val="FootnoteCharacters"/>
        </w:rPr>
        <w:footnoteRef/>
      </w:r>
      <w:r>
        <w:rPr/>
        <w:t xml:space="preserve"> </w:t>
      </w:r>
      <w:r>
        <w:rPr/>
        <w:tab/>
      </w:r>
      <w:r>
        <w:rPr>
          <w:i/>
          <w:iCs/>
        </w:rPr>
        <w:t>See id.</w:t>
      </w:r>
    </w:p>
  </w:footnote>
  <w:footnote w:id="35">
    <w:p>
      <w:pPr>
        <w:pStyle w:val="FootnoteText"/>
        <w:rPr/>
      </w:pPr>
      <w:r>
        <w:rPr>
          <w:rStyle w:val="FootnoteCharacters"/>
        </w:rPr>
        <w:footnoteRef/>
      </w:r>
      <w:r>
        <w:rPr/>
        <w:t xml:space="preserve"> </w:t>
      </w:r>
      <w:r>
        <w:rPr/>
        <w:tab/>
      </w:r>
      <w:r>
        <w:rPr>
          <w:i/>
          <w:iCs/>
          <w:szCs w:val="26"/>
        </w:rPr>
        <w:t>Promoting Wholesale Competition Through Open Access Non-discriminatory Transmission Services by Public Utilities and Recovery of Stranded Costs by Public Utilities and Transmitting Utilities</w:t>
      </w:r>
      <w:r>
        <w:rPr>
          <w:szCs w:val="26"/>
        </w:rPr>
        <w:t>, Order No. 888, 61 Fed. Reg. 21,540 (May 10, 1996), FERC Stats. &amp; Regs. ¶ 31,036 (1996) (“Order No. 888”).</w:t>
      </w:r>
    </w:p>
  </w:footnote>
  <w:footnote w:id="36">
    <w:p>
      <w:pPr>
        <w:pStyle w:val="FootnoteText"/>
        <w:rPr/>
      </w:pPr>
      <w:r>
        <w:rPr>
          <w:rStyle w:val="FootnoteCharacters"/>
        </w:rPr>
        <w:footnoteRef/>
      </w:r>
      <w:r>
        <w:rPr/>
        <w:t xml:space="preserve"> </w:t>
      </w:r>
      <w:r>
        <w:rPr/>
        <w:tab/>
        <w:t>November 1 Order, 93 FERC at 61,349.</w:t>
      </w:r>
    </w:p>
  </w:footnote>
  <w:footnote w:id="37">
    <w:p>
      <w:pPr>
        <w:pStyle w:val="FootnoteText"/>
        <w:rPr/>
      </w:pPr>
      <w:r>
        <w:rPr>
          <w:rStyle w:val="FootnoteCharacters"/>
        </w:rPr>
        <w:footnoteRef/>
      </w:r>
      <w:r>
        <w:rPr/>
        <w:t xml:space="preserve"> </w:t>
      </w:r>
      <w:r>
        <w:rPr/>
        <w:tab/>
        <w:t>July 25 Order, 96 FERC at 61,515.</w:t>
      </w:r>
    </w:p>
  </w:footnote>
  <w:footnote w:id="38">
    <w:p>
      <w:pPr>
        <w:pStyle w:val="FootnoteText"/>
        <w:rPr/>
      </w:pPr>
      <w:r>
        <w:rPr>
          <w:rStyle w:val="FootnoteCharacters"/>
        </w:rPr>
        <w:footnoteRef/>
      </w:r>
      <w:r>
        <w:rPr/>
        <w:t xml:space="preserve"> </w:t>
      </w:r>
      <w:r>
        <w:rPr/>
        <w:tab/>
        <w:t>November 1 Order, 93 FERC at 61,359.</w:t>
      </w:r>
    </w:p>
  </w:footnote>
  <w:footnote w:id="39">
    <w:p>
      <w:pPr>
        <w:pStyle w:val="FootnoteText"/>
        <w:rPr/>
      </w:pPr>
      <w:r>
        <w:rPr>
          <w:rStyle w:val="FootnoteCharacters"/>
        </w:rPr>
        <w:footnoteRef/>
      </w:r>
      <w:r>
        <w:rPr/>
        <w:t xml:space="preserve"> </w:t>
      </w:r>
      <w:r>
        <w:rPr/>
        <w:tab/>
        <w:t>Dr. Cicchetti testified:  “Dr. Wolak and others ignore this competitive market price signal function, which only works when conditions that drive up prices such as excess demand, short term supply or both, are allocated to signal the need for new investments by prices (MCP) that exceed short-run marginal cost and ATC.  This outcome is efficient and serves a valuable public policy function.”  Exh IE-2 at 25-26.</w:t>
      </w:r>
    </w:p>
  </w:footnote>
  <w:footnote w:id="40">
    <w:p>
      <w:pPr>
        <w:pStyle w:val="FootnoteText"/>
        <w:rPr/>
      </w:pPr>
      <w:r>
        <w:rPr>
          <w:rStyle w:val="FootnoteCharacters"/>
        </w:rPr>
        <w:footnoteRef/>
      </w:r>
      <w:r>
        <w:rPr/>
        <w:t xml:space="preserve"> </w:t>
      </w:r>
      <w:r>
        <w:rPr/>
        <w:tab/>
        <w:t>June 19 Order, 95 FERC at _____ [mimeo at 6].</w:t>
      </w:r>
    </w:p>
  </w:footnote>
  <w:footnote w:id="41">
    <w:p>
      <w:pPr>
        <w:pStyle w:val="FootnoteText"/>
        <w:rPr/>
      </w:pPr>
      <w:r>
        <w:rPr>
          <w:rStyle w:val="FootnoteCharacters"/>
        </w:rPr>
        <w:footnoteRef/>
      </w:r>
      <w:r>
        <w:rPr/>
        <w:t xml:space="preserve"> </w:t>
      </w:r>
      <w:r>
        <w:rPr/>
        <w:tab/>
      </w:r>
      <w:r>
        <w:rPr>
          <w:i/>
          <w:iCs/>
        </w:rPr>
        <w:t>Id.</w:t>
      </w:r>
      <w:r>
        <w:rPr/>
        <w:t xml:space="preserve"> at _____ [mimeo at 52].</w:t>
      </w:r>
    </w:p>
  </w:footnote>
  <w:footnote w:id="42">
    <w:p>
      <w:pPr>
        <w:pStyle w:val="FootnoteText"/>
        <w:rPr/>
      </w:pPr>
      <w:r>
        <w:rPr>
          <w:rStyle w:val="FootnoteCharacters"/>
        </w:rPr>
        <w:footnoteRef/>
      </w:r>
      <w:r>
        <w:rPr/>
        <w:tab/>
      </w:r>
      <w:r>
        <w:rPr>
          <w:i/>
          <w:iCs/>
        </w:rPr>
        <w:t>See San Diego Gas &amp; Elec. Co. v. Sellers of Energy and Ancillary Service into Markets Operated by the California Indep. Sys. Operator and the California Power Exchange</w:t>
      </w:r>
      <w:r>
        <w:rPr/>
        <w:t>, 95 FERC ¶ 61,115 at _____ [mimeo at 3] (2001) (the “April 26 Order”) (“price mitigation should be as surgical (least intrusive) as possible and last for as little time as possible”).</w:t>
      </w:r>
    </w:p>
  </w:footnote>
  <w:footnote w:id="43">
    <w:p>
      <w:pPr>
        <w:pStyle w:val="FootnoteText"/>
        <w:rPr/>
      </w:pPr>
      <w:r>
        <w:rPr>
          <w:rStyle w:val="FootnoteCharacters"/>
        </w:rPr>
        <w:footnoteRef/>
      </w:r>
      <w:r>
        <w:rPr>
          <w:sz w:val="22"/>
        </w:rPr>
        <w:t xml:space="preserve"> </w:t>
      </w:r>
      <w:r>
        <w:rPr>
          <w:sz w:val="22"/>
        </w:rPr>
        <w:tab/>
      </w:r>
      <w:r>
        <w:rPr/>
        <w:t>December 15 Order, 93 FERC at 61,996 (emphasis added).</w:t>
      </w:r>
    </w:p>
  </w:footnote>
  <w:footnote w:id="44">
    <w:p>
      <w:pPr>
        <w:pStyle w:val="FootnoteText"/>
        <w:rPr/>
      </w:pPr>
      <w:r>
        <w:rPr>
          <w:rStyle w:val="FootnoteCharacters"/>
        </w:rPr>
        <w:footnoteRef/>
      </w:r>
      <w:r>
        <w:rPr/>
        <w:t xml:space="preserve"> </w:t>
      </w:r>
      <w:r>
        <w:rPr/>
        <w:tab/>
        <w:t xml:space="preserve">Dr. Pechman likens their position to that of an emphysema patient who should not be forced to pay high prices for oxygen simply “because he knew or should have known that smoking cigarettes could adversely affect his health,” Exh. CAL-14 at 8:5-6, but this hyperbole has nothing to do with the refund claimants' situation.   If anything, the refund claimants are akin to </w:t>
      </w:r>
      <w:r>
        <w:rPr>
          <w:i/>
          <w:iCs/>
        </w:rPr>
        <w:t>hospitals</w:t>
      </w:r>
      <w:r>
        <w:rPr/>
        <w:t xml:space="preserve"> that sell oxygen to make a quick profit, gambling that they will not need it or can replace it at a low price.  Despite Dr. Pechman’s attempt to arouse emotions in their favor, neither his clients nor the other refund claimants have shown why they should not be responsible for their decisions.</w:t>
      </w:r>
    </w:p>
  </w:footnote>
  <w:footnote w:id="45">
    <w:p>
      <w:pPr>
        <w:pStyle w:val="FootnoteText"/>
        <w:rPr/>
      </w:pPr>
      <w:r>
        <w:rPr>
          <w:rStyle w:val="FootnoteCharacters"/>
        </w:rPr>
        <w:footnoteRef/>
      </w:r>
      <w:r>
        <w:rPr/>
        <w:t xml:space="preserve"> </w:t>
      </w:r>
      <w:r>
        <w:rPr/>
        <w:tab/>
      </w:r>
      <w:r>
        <w:rPr>
          <w:i/>
        </w:rPr>
        <w:t>See Entergy Nuclear Indian Point 3 LLC</w:t>
      </w:r>
      <w:r>
        <w:rPr/>
        <w:t xml:space="preserve">, 92 FERC ¶ 61,281 at 61,946 (2000) (“[W]e see no evidence that this transaction is not the result of arms’ length negotiations. We will not require Applicants to insulate their affiliates’ customers from the normal business risk that some ventures may involve greater risk than others.”); </w:t>
      </w:r>
      <w:r>
        <w:rPr>
          <w:i/>
        </w:rPr>
        <w:t>OXY USA Inc</w:t>
      </w:r>
      <w:r>
        <w:rPr/>
        <w:t xml:space="preserve">., 59 FERC ¶ 61,017 at _______ (1992) (Commission refuses to intercede in consensual process by which parties renegotiate contracts upon commencement of market-based rates);  </w:t>
      </w:r>
      <w:r>
        <w:rPr>
          <w:i/>
        </w:rPr>
        <w:t>Texas Eastern Transmission Corp</w:t>
      </w:r>
      <w:r>
        <w:rPr/>
        <w:t>., 59 FERC ¶ 61,482 at _______ (1991) (rate design that reflects the “consensual allocation of economic risk between the parties” should be implemented unless it is unreasonable because, for example, it was “not the result of an arm’s length negotiation,” one party was “able to exercise sufficient market power to deprive the customer of a meaningful choice in the matter,” or the rate would give one source a “non-market-related, anticompetitive advantage.”); s</w:t>
      </w:r>
      <w:r>
        <w:rPr>
          <w:i/>
        </w:rPr>
        <w:t>ee also Tennessee Gas Pipeline Co. v. FERC</w:t>
      </w:r>
      <w:r>
        <w:rPr/>
        <w:t>, 824 F.2d 78, 82 (D.C Cir. 1987) (noting the “interest in allowing firms to allocate risk among themselves.”)</w:t>
      </w:r>
    </w:p>
  </w:footnote>
  <w:footnote w:id="46">
    <w:p>
      <w:pPr>
        <w:pStyle w:val="FootnoteText"/>
        <w:rPr/>
      </w:pPr>
      <w:r>
        <w:rPr>
          <w:rStyle w:val="FootnoteCharacters"/>
        </w:rPr>
        <w:footnoteRef/>
      </w:r>
      <w:r>
        <w:rPr/>
        <w:tab/>
      </w:r>
      <w:r>
        <w:rPr>
          <w:i/>
          <w:iCs/>
        </w:rPr>
        <w:t>See supra</w:t>
      </w:r>
      <w:r>
        <w:rPr/>
        <w:t xml:space="preserve"> at ___.</w:t>
      </w:r>
    </w:p>
  </w:footnote>
  <w:footnote w:id="47">
    <w:p>
      <w:pPr>
        <w:pStyle w:val="FootnoteText"/>
        <w:rPr/>
      </w:pPr>
      <w:r>
        <w:rPr>
          <w:rStyle w:val="FootnoteCharacters"/>
        </w:rPr>
        <w:footnoteRef/>
      </w:r>
      <w:r>
        <w:rPr/>
        <w:t xml:space="preserve"> </w:t>
      </w:r>
      <w:r>
        <w:rPr/>
        <w:tab/>
      </w:r>
      <w:r>
        <w:rPr>
          <w:i/>
          <w:iCs/>
        </w:rPr>
        <w:t>See, e.g., San Diego Gas &amp; Electric Co. v. Sellers of Energy and Ancillary Services into Markets Operated by the California Indep. Sys. Operator and the California Power Exchange</w:t>
      </w:r>
      <w:r>
        <w:rPr/>
        <w:t>, 92 FERC ¶ 61,172 at 61,607-8 (2000); December 15 Order, 93 FERC at 61,981-82, 61,995, 61,999.</w:t>
      </w:r>
    </w:p>
  </w:footnote>
  <w:footnote w:id="48">
    <w:p>
      <w:pPr>
        <w:pStyle w:val="FootnoteText"/>
        <w:rPr/>
      </w:pPr>
      <w:r>
        <w:rPr>
          <w:rStyle w:val="FootnoteCharacters"/>
        </w:rPr>
        <w:footnoteRef/>
      </w:r>
      <w:r>
        <w:rPr/>
        <w:t xml:space="preserve"> </w:t>
      </w:r>
      <w:r>
        <w:rPr/>
        <w:tab/>
      </w:r>
      <w:r>
        <w:rPr>
          <w:i/>
          <w:iCs/>
        </w:rPr>
        <w:t>Otter Tail Power Co. v. U.S.</w:t>
      </w:r>
      <w:r>
        <w:rPr/>
        <w:t xml:space="preserve">, 401 U.S. 366, 374 (1973); </w:t>
      </w:r>
      <w:r>
        <w:rPr>
          <w:i/>
          <w:iCs/>
        </w:rPr>
        <w:t xml:space="preserve">see also Public Sys. v. FERC, </w:t>
      </w:r>
      <w:r>
        <w:rPr/>
        <w:t>606 F.2d 973, 982 (1979) (“On numerous occasions the Supreme Court has recognized the importance of competition in regulated industries and the responsibility of regulatory agencies to encourage competitive forces.”).</w:t>
      </w:r>
    </w:p>
  </w:footnote>
  <w:footnote w:id="49">
    <w:p>
      <w:pPr>
        <w:pStyle w:val="FootnoteText"/>
        <w:rPr/>
      </w:pPr>
      <w:r>
        <w:rPr>
          <w:rStyle w:val="FootnoteCharacters"/>
        </w:rPr>
        <w:footnoteRef/>
      </w:r>
      <w:r>
        <w:rPr/>
        <w:t xml:space="preserve"> </w:t>
      </w:r>
      <w:r>
        <w:rPr/>
        <w:tab/>
        <w:t xml:space="preserve">Order No. 888 at 33,064.  In moving away from a heavily regulated cost-of-service regime for wholesale power sales, the Commission, often citing Congressional intent, found that: (1) costs of electric supply were higher than necessary, </w:t>
      </w:r>
      <w:r>
        <w:rPr>
          <w:i/>
          <w:iCs/>
        </w:rPr>
        <w:t>id.</w:t>
      </w:r>
      <w:r>
        <w:rPr/>
        <w:t xml:space="preserve"> at 33,060; (2) regulated prices created distorted market signals, [cite]; (3) stranded costs had been incurred, further distorting market signals, Order No. 888 at 33,068; (4) there existed a utility-by-utility, region-by-region disparity of prices, </w:t>
      </w:r>
      <w:r>
        <w:rPr>
          <w:i/>
          <w:iCs/>
        </w:rPr>
        <w:t>id</w:t>
      </w:r>
      <w:r>
        <w:rPr/>
        <w:t xml:space="preserve">. at 33,060; (5) economic and environmental efficiency were not being maximized, </w:t>
      </w:r>
      <w:r>
        <w:rPr>
          <w:i/>
          <w:iCs/>
        </w:rPr>
        <w:t>id.</w:t>
      </w:r>
      <w:r>
        <w:rPr/>
        <w:t xml:space="preserve">; and (6) new technologies developed best under competitive conditions and their development needed to be encouraged, </w:t>
      </w:r>
      <w:r>
        <w:rPr>
          <w:i/>
          <w:iCs/>
        </w:rPr>
        <w:t>id.</w:t>
      </w:r>
      <w:r>
        <w:rPr/>
        <w:t xml:space="preserve"> at 33,063; </w:t>
      </w:r>
      <w:r>
        <w:rPr>
          <w:i/>
          <w:iCs/>
        </w:rPr>
        <w:t>see also Pub. Svc. Co. of Indiana</w:t>
      </w:r>
      <w:r>
        <w:rPr/>
        <w:t xml:space="preserve">, 49 FERC </w:t>
      </w:r>
      <w:r>
        <w:rPr>
          <w:color w:val="000000"/>
          <w:szCs w:val="24"/>
        </w:rPr>
        <w:t>¶</w:t>
      </w:r>
      <w:r>
        <w:rPr>
          <w:color w:val="000000"/>
          <w:sz w:val="24"/>
          <w:szCs w:val="24"/>
        </w:rPr>
        <w:t xml:space="preserve"> </w:t>
      </w:r>
      <w:r>
        <w:rPr/>
        <w:t>61,346 at 62,445-46 (1989).</w:t>
      </w:r>
    </w:p>
  </w:footnote>
  <w:footnote w:id="50">
    <w:p>
      <w:pPr>
        <w:pStyle w:val="FootnoteText"/>
        <w:rPr/>
      </w:pPr>
      <w:r>
        <w:rPr>
          <w:rStyle w:val="FootnoteCharacters"/>
        </w:rPr>
        <w:footnoteRef/>
      </w:r>
      <w:r>
        <w:rPr/>
        <w:t xml:space="preserve"> </w:t>
      </w:r>
      <w:r>
        <w:rPr/>
        <w:tab/>
      </w:r>
      <w:r>
        <w:rPr>
          <w:i/>
          <w:iCs/>
        </w:rPr>
        <w:t>Pub. Svc. Co. of Indiana</w:t>
      </w:r>
      <w:r>
        <w:rPr/>
        <w:t>, 49 FERC at 62,243.</w:t>
      </w:r>
    </w:p>
  </w:footnote>
  <w:footnote w:id="51">
    <w:p>
      <w:pPr>
        <w:pStyle w:val="FootnoteText"/>
        <w:rPr/>
      </w:pPr>
      <w:r>
        <w:rPr>
          <w:rStyle w:val="FootnoteCharacters"/>
        </w:rPr>
        <w:footnoteRef/>
      </w:r>
      <w:r>
        <w:rPr/>
        <w:t xml:space="preserve"> </w:t>
      </w:r>
      <w:r>
        <w:rPr/>
        <w:tab/>
        <w:t>[Cite Midwest Investigation?]</w:t>
      </w:r>
    </w:p>
  </w:footnote>
  <w:footnote w:id="52">
    <w:p>
      <w:pPr>
        <w:pStyle w:val="FootnoteText"/>
        <w:rPr/>
      </w:pPr>
      <w:r>
        <w:rPr>
          <w:rStyle w:val="FootnoteCharacters"/>
        </w:rPr>
        <w:footnoteRef/>
      </w:r>
      <w:r>
        <w:rPr/>
        <w:t xml:space="preserve"> </w:t>
      </w:r>
      <w:r>
        <w:rPr/>
        <w:tab/>
      </w:r>
      <w:r>
        <w:rPr>
          <w:i/>
          <w:iCs/>
        </w:rPr>
        <w:t>Pacific Gas &amp; Elec. Co.</w:t>
      </w:r>
      <w:r>
        <w:rPr/>
        <w:t>, 38 FERC ¶ 61,242 at 61,792 (1987) (“It is on the basis of efficiency, and the likelihood that increased efficiency will result in lower prices to consumers, that we shall approve the [market-based] rates in the WSPP as just and reasonable.”).</w:t>
      </w:r>
    </w:p>
  </w:footnote>
  <w:footnote w:id="53">
    <w:p>
      <w:pPr>
        <w:pStyle w:val="FootnoteText"/>
        <w:rPr/>
      </w:pPr>
      <w:r>
        <w:rPr>
          <w:rStyle w:val="FootnoteCharacters"/>
        </w:rPr>
        <w:footnoteRef/>
      </w:r>
      <w:r>
        <w:rPr/>
        <w:t xml:space="preserve"> </w:t>
      </w:r>
      <w:r>
        <w:rPr/>
        <w:tab/>
        <w:t>95 FERC at _____ [mimeo at 3].</w:t>
      </w:r>
    </w:p>
  </w:footnote>
  <w:footnote w:id="54">
    <w:p>
      <w:pPr>
        <w:pStyle w:val="FootnoteText"/>
        <w:rPr/>
      </w:pPr>
      <w:r>
        <w:rPr>
          <w:rStyle w:val="FootnoteCharacters"/>
        </w:rPr>
        <w:footnoteRef/>
      </w:r>
      <w:r>
        <w:rPr/>
        <w:t xml:space="preserve"> </w:t>
      </w:r>
      <w:r>
        <w:rPr/>
        <w:tab/>
        <w:t>Cite.</w:t>
      </w:r>
    </w:p>
  </w:footnote>
  <w:footnote w:id="55">
    <w:p>
      <w:pPr>
        <w:pStyle w:val="FootnoteText"/>
        <w:rPr/>
      </w:pPr>
      <w:r>
        <w:rPr>
          <w:rStyle w:val="FootnoteCharacters"/>
        </w:rPr>
        <w:footnoteRef/>
      </w:r>
      <w:r>
        <w:rPr/>
        <w:t xml:space="preserve"> </w:t>
      </w:r>
      <w:r>
        <w:rPr/>
        <w:tab/>
        <w:t>December 15 Order, 93 FERC at 62,008.</w:t>
      </w:r>
    </w:p>
  </w:footnote>
  <w:footnote w:id="56">
    <w:p>
      <w:pPr>
        <w:pStyle w:val="FootnoteText"/>
        <w:rPr/>
      </w:pPr>
      <w:r>
        <w:rPr>
          <w:rStyle w:val="FootnoteCharacters"/>
        </w:rPr>
        <w:footnoteRef/>
      </w:r>
      <w:r>
        <w:rPr/>
        <w:t xml:space="preserve"> </w:t>
      </w:r>
      <w:r>
        <w:rPr/>
        <w:tab/>
      </w:r>
      <w:r>
        <w:rPr>
          <w:i/>
          <w:iCs/>
        </w:rPr>
        <w:t>Id</w:t>
      </w:r>
      <w:r>
        <w:rPr/>
        <w:t>. at 62,008-9.</w:t>
      </w:r>
    </w:p>
  </w:footnote>
  <w:footnote w:id="57">
    <w:p>
      <w:pPr>
        <w:pStyle w:val="FootnoteText"/>
        <w:rPr/>
      </w:pPr>
      <w:r>
        <w:rPr>
          <w:rStyle w:val="FootnoteCharacters"/>
        </w:rPr>
        <w:footnoteRef/>
      </w:r>
      <w:r>
        <w:rPr/>
        <w:t xml:space="preserve"> </w:t>
      </w:r>
      <w:r>
        <w:rPr/>
        <w:tab/>
        <w:t>Order 888 at 33,061-62.  As will be demonstrated below, the claimants and the Commission bear a heavy burden of proof to retroactively change prices which have already been determined just and reasonable.</w:t>
      </w:r>
    </w:p>
  </w:footnote>
  <w:footnote w:id="58">
    <w:p>
      <w:pPr>
        <w:pStyle w:val="FootnoteText"/>
        <w:rPr/>
      </w:pPr>
      <w:r>
        <w:rPr>
          <w:rStyle w:val="FootnoteCharacters"/>
        </w:rPr>
        <w:footnoteRef/>
      </w:r>
      <w:r>
        <w:rPr/>
        <w:t xml:space="preserve"> </w:t>
      </w:r>
      <w:r>
        <w:rPr/>
        <w:tab/>
        <w:t>As will be demonstrated in the ensuing sections, the claimants and the Commission bear a heavy burden of proof to retroactively change prices which have already been determined just and reasonable.</w:t>
      </w:r>
    </w:p>
  </w:footnote>
  <w:footnote w:id="59">
    <w:p>
      <w:pPr>
        <w:pStyle w:val="FootnoteText"/>
        <w:rPr/>
      </w:pPr>
      <w:r>
        <w:rPr>
          <w:rStyle w:val="FootnoteCharacters"/>
        </w:rPr>
        <w:footnoteRef/>
      </w:r>
      <w:r>
        <w:rPr/>
        <w:t xml:space="preserve"> </w:t>
      </w:r>
      <w:r>
        <w:rPr/>
        <w:tab/>
        <w:t xml:space="preserve">This is particularly true here given that Puget’s Complaint has been dismissed, </w:t>
      </w:r>
      <w:r>
        <w:rPr>
          <w:i/>
        </w:rPr>
        <w:t xml:space="preserve">see </w:t>
      </w:r>
      <w:r>
        <w:rPr/>
        <w:t>December 15 Order, 93 FERC at 62,020, a decision that the Commission has never vacated or modified.</w:t>
      </w:r>
    </w:p>
  </w:footnote>
  <w:footnote w:id="60">
    <w:p>
      <w:pPr>
        <w:pStyle w:val="FootnoteText"/>
        <w:rPr/>
      </w:pPr>
      <w:r>
        <w:rPr>
          <w:rStyle w:val="FootnoteCharacters"/>
        </w:rPr>
        <w:footnoteRef/>
      </w:r>
      <w:r>
        <w:rPr/>
        <w:t xml:space="preserve"> </w:t>
      </w:r>
      <w:r>
        <w:rPr/>
        <w:tab/>
        <w:t>Complaint at 1 n.1, 2, 10-12.</w:t>
      </w:r>
    </w:p>
  </w:footnote>
  <w:footnote w:id="61">
    <w:p>
      <w:pPr>
        <w:pStyle w:val="FootnoteText"/>
        <w:rPr/>
      </w:pPr>
      <w:r>
        <w:rPr>
          <w:rStyle w:val="FootnoteCharacters"/>
        </w:rPr>
        <w:footnoteRef/>
      </w:r>
      <w:r>
        <w:rPr/>
        <w:t xml:space="preserve"> </w:t>
      </w:r>
      <w:r>
        <w:rPr/>
        <w:tab/>
      </w:r>
      <w:r>
        <w:rPr>
          <w:i/>
          <w:iCs/>
        </w:rPr>
        <w:t>See supra</w:t>
      </w:r>
      <w:r>
        <w:rPr/>
        <w:t xml:space="preserve"> note [11] and cases cited therein.</w:t>
      </w:r>
    </w:p>
  </w:footnote>
  <w:footnote w:id="62">
    <w:p>
      <w:pPr>
        <w:pStyle w:val="FootnoteText"/>
        <w:rPr/>
      </w:pPr>
      <w:r>
        <w:rPr>
          <w:rStyle w:val="FootnoteCharacters"/>
        </w:rPr>
        <w:footnoteRef/>
      </w:r>
      <w:r>
        <w:rPr/>
        <w:t xml:space="preserve"> </w:t>
      </w:r>
      <w:r>
        <w:rPr/>
        <w:tab/>
      </w:r>
      <w:r>
        <w:rPr>
          <w:i/>
        </w:rPr>
        <w:t>See American Elec. Power Serv. Corp.</w:t>
      </w:r>
      <w:r>
        <w:rPr/>
        <w:t xml:space="preserve">, 93 FERC ¶ 61,329 at 62,122 (2000) (rejecting a request for an Section 206 investigation that was made as part of a motion to intervene instead of in a separate request); </w:t>
      </w:r>
      <w:r>
        <w:rPr>
          <w:i/>
        </w:rPr>
        <w:t>ISO New England, Inc., et al.</w:t>
      </w:r>
      <w:r>
        <w:rPr/>
        <w:t xml:space="preserve">, 91 FERC ¶ 61,227 at 61,830 (2000) (determining that complaints must be filed separately); </w:t>
      </w:r>
      <w:r>
        <w:rPr>
          <w:i/>
        </w:rPr>
        <w:t>Deseret Generation &amp; Transmission Co-Operative</w:t>
      </w:r>
      <w:r>
        <w:rPr/>
        <w:t xml:space="preserve">, 78 FERC ¶ 61,274 at 62,153 (1997) (request for an Section 206 investigation must be made separately in a complaint proceeding; </w:t>
      </w:r>
      <w:r>
        <w:rPr>
          <w:i/>
        </w:rPr>
        <w:t>Arizona Pub. Svc. Co.</w:t>
      </w:r>
      <w:r>
        <w:rPr/>
        <w:t xml:space="preserve">, 78 FERC ¶ 61,083 at 61,305 n.20 (1997) (the Commission's “consistent practice” is to reject Section 206 complaints that are filed in motions to intervene or protests). The Commission, in fact, will reject requests by parties on rehearing to treat their original protests as complaints.  </w:t>
      </w:r>
      <w:r>
        <w:rPr>
          <w:i/>
        </w:rPr>
        <w:t>See</w:t>
      </w:r>
      <w:r>
        <w:rPr/>
        <w:t xml:space="preserve"> </w:t>
      </w:r>
      <w:r>
        <w:rPr>
          <w:i/>
        </w:rPr>
        <w:t>Entergy Services, Inc.</w:t>
      </w:r>
      <w:r>
        <w:rPr/>
        <w:t>, 52 FERC ¶ 61,317 at 62,270 (1990).</w:t>
      </w:r>
    </w:p>
  </w:footnote>
  <w:footnote w:id="63">
    <w:p>
      <w:pPr>
        <w:pStyle w:val="FootnoteText"/>
        <w:rPr/>
      </w:pPr>
      <w:r>
        <w:rPr>
          <w:rStyle w:val="FootnoteCharacters"/>
        </w:rPr>
        <w:footnoteRef/>
      </w:r>
      <w:r>
        <w:rPr/>
        <w:t xml:space="preserve"> </w:t>
      </w:r>
      <w:r>
        <w:rPr/>
        <w:tab/>
        <w:t>50 FERC ¶ 61,040 at 61,062 (1990) (“</w:t>
      </w:r>
      <w:r>
        <w:rPr>
          <w:i/>
        </w:rPr>
        <w:t>Louisiana Power</w:t>
      </w:r>
      <w:r>
        <w:rPr/>
        <w:t>”).</w:t>
      </w:r>
    </w:p>
  </w:footnote>
  <w:footnote w:id="64">
    <w:p>
      <w:pPr>
        <w:pStyle w:val="FootnoteText"/>
        <w:rPr/>
      </w:pPr>
      <w:r>
        <w:rPr>
          <w:rStyle w:val="FootnoteCharacters"/>
        </w:rPr>
        <w:footnoteRef/>
      </w:r>
      <w:r>
        <w:rPr/>
        <w:t xml:space="preserve"> </w:t>
      </w:r>
      <w:r>
        <w:rPr/>
        <w:tab/>
      </w:r>
      <w:r>
        <w:rPr>
          <w:i/>
          <w:iCs/>
        </w:rPr>
        <w:t>Id.</w:t>
      </w:r>
      <w:r>
        <w:rPr/>
        <w:t xml:space="preserve"> ("a complaint cannot be submitted as an integral part of a protest and a motion to intervene in an ongoing proceeding; </w:t>
      </w:r>
      <w:r>
        <w:rPr>
          <w:i/>
          <w:iCs/>
        </w:rPr>
        <w:t>it does not allow interested parties sufficient notice of the complaint because it is not formally docketed and noticed</w:t>
      </w:r>
      <w:r>
        <w:rPr/>
        <w:t>") (emphasis added).</w:t>
      </w:r>
    </w:p>
  </w:footnote>
  <w:footnote w:id="65">
    <w:p>
      <w:pPr>
        <w:pStyle w:val="FootnoteText"/>
        <w:rPr/>
      </w:pPr>
      <w:r>
        <w:rPr>
          <w:rStyle w:val="FootnoteCharacters"/>
        </w:rPr>
        <w:footnoteRef/>
      </w:r>
      <w:r>
        <w:rPr/>
        <w:t xml:space="preserve"> </w:t>
      </w:r>
      <w:r>
        <w:rPr/>
        <w:tab/>
      </w:r>
      <w:r>
        <w:rPr>
          <w:i/>
        </w:rPr>
        <w:t>E.g., Union Oil of California dba Unocal v. Cook Inlet Pipe Line Co.</w:t>
      </w:r>
      <w:r>
        <w:rPr/>
        <w:t xml:space="preserve">, 73 FERC ¶ 63,006 at 65,040 (1995) (an intervenor and Commission Staff were prevented from raising issues in a proceeding and directed to raise such issues in a separate complaint filed with the Commission); </w:t>
      </w:r>
      <w:r>
        <w:rPr>
          <w:i/>
        </w:rPr>
        <w:t>see Yankee Atomic Electric Company</w:t>
      </w:r>
      <w:r>
        <w:rPr/>
        <w:t>, 60 FERC ¶ 61,316 (1992) (intervener free to file a separate complaint); Nevada Power Company, 70 FERC ¶ 61,391 (1995) (requiring that a complaint be filed with the Commission pursuant to Section 206 in a separate docket and where parties would be permitted an opportunity to respond).</w:t>
      </w:r>
    </w:p>
  </w:footnote>
  <w:footnote w:id="66">
    <w:p>
      <w:pPr>
        <w:pStyle w:val="FootnoteText"/>
        <w:rPr/>
      </w:pPr>
      <w:r>
        <w:rPr>
          <w:rStyle w:val="FootnoteCharacters"/>
        </w:rPr>
        <w:footnoteRef/>
      </w:r>
      <w:r>
        <w:rPr/>
        <w:t xml:space="preserve"> </w:t>
      </w:r>
      <w:r>
        <w:rPr/>
        <w:tab/>
      </w:r>
      <w:r>
        <w:rPr>
          <w:i/>
        </w:rPr>
        <w:t>Arkansas Louisiana Gas Co. v. Hall</w:t>
      </w:r>
      <w:r>
        <w:rPr/>
        <w:t xml:space="preserve">, 453 U.S. 571, 577 (1981); </w:t>
      </w:r>
      <w:r>
        <w:rPr>
          <w:i/>
        </w:rPr>
        <w:t>see also, e.g., Montana-Dakota Utilities Co. v. Northwestern Public Service Co.</w:t>
      </w:r>
      <w:r>
        <w:rPr/>
        <w:t>, 341 U.S. 246, 251-52 (1951).</w:t>
      </w:r>
    </w:p>
  </w:footnote>
  <w:footnote w:id="67">
    <w:p>
      <w:pPr>
        <w:pStyle w:val="FootnoteText"/>
        <w:rPr/>
      </w:pPr>
      <w:r>
        <w:rPr>
          <w:rStyle w:val="FootnoteCharacters"/>
        </w:rPr>
        <w:footnoteRef/>
      </w:r>
      <w:r>
        <w:rPr>
          <w:i/>
        </w:rPr>
        <w:t xml:space="preserve"> </w:t>
      </w:r>
      <w:r>
        <w:rPr>
          <w:i/>
        </w:rPr>
        <w:tab/>
        <w:t>Montana-Dakota Utilities Co..</w:t>
      </w:r>
      <w:r>
        <w:rPr/>
        <w:t xml:space="preserve">, 341 U.S. at 254 (utility “can claim no rate as a legal right that is other than the filed rate, whether fixed or merely accepted by the Commission” and the Federal Power Act withholds “power to grant reparations”); </w:t>
      </w:r>
      <w:r>
        <w:rPr>
          <w:i/>
        </w:rPr>
        <w:t>accord Maine Public Service Co. v. FPC</w:t>
      </w:r>
      <w:r>
        <w:rPr/>
        <w:t xml:space="preserve">, 579 F.2d 659, 664, 667 (1st Cir. 1978) (under a final, filed rate, reparation can reach “neither past profits, nor past losses”); </w:t>
      </w:r>
      <w:r>
        <w:rPr>
          <w:i/>
        </w:rPr>
        <w:t>Arizona Grocery Co. v. Atchison, Topeka &amp; Santa Fe Railway Co.</w:t>
      </w:r>
      <w:r>
        <w:rPr/>
        <w:t>, 284 U.S. 370, 384 (1932) (required to “render rates definite and certain, and to prevent undue discrimination,” without exposure to reparations).</w:t>
      </w:r>
    </w:p>
  </w:footnote>
  <w:footnote w:id="68">
    <w:p>
      <w:pPr>
        <w:pStyle w:val="FootnoteText"/>
        <w:rPr/>
      </w:pPr>
      <w:r>
        <w:rPr>
          <w:rStyle w:val="FootnoteCharacters"/>
        </w:rPr>
        <w:footnoteRef/>
      </w:r>
      <w:r>
        <w:rPr/>
        <w:t xml:space="preserve"> </w:t>
      </w:r>
      <w:r>
        <w:rPr/>
        <w:tab/>
      </w:r>
      <w:r>
        <w:rPr>
          <w:i/>
        </w:rPr>
        <w:t>Towns of Concord v. FERC</w:t>
      </w:r>
      <w:r>
        <w:rPr/>
        <w:t>, 955 F.2d 67, 71 (1992) (</w:t>
      </w:r>
      <w:r>
        <w:rPr>
          <w:i/>
          <w:iCs/>
        </w:rPr>
        <w:t>citing</w:t>
      </w:r>
      <w:r>
        <w:rPr/>
        <w:t xml:space="preserve"> </w:t>
      </w:r>
      <w:r>
        <w:rPr>
          <w:i/>
        </w:rPr>
        <w:t>Elec. Dist. No. 1 v. FERC</w:t>
      </w:r>
      <w:r>
        <w:rPr/>
        <w:t>, 774 F.2d 490, 493 (D.C. Cir. 1985)).</w:t>
      </w:r>
    </w:p>
  </w:footnote>
  <w:footnote w:id="69">
    <w:p>
      <w:pPr>
        <w:pStyle w:val="FootnoteText"/>
        <w:rPr/>
      </w:pPr>
      <w:r>
        <w:rPr>
          <w:rStyle w:val="FootnoteCharacters"/>
        </w:rPr>
        <w:footnoteRef/>
      </w:r>
      <w:r>
        <w:rPr/>
        <w:t xml:space="preserve"> </w:t>
      </w:r>
      <w:r>
        <w:rPr/>
        <w:tab/>
        <w:t>96 FERC at 61,506.</w:t>
      </w:r>
    </w:p>
  </w:footnote>
  <w:footnote w:id="70">
    <w:p>
      <w:pPr>
        <w:pStyle w:val="FootnoteText"/>
        <w:rPr/>
      </w:pPr>
      <w:r>
        <w:rPr>
          <w:rStyle w:val="FootnoteCharacters"/>
        </w:rPr>
        <w:footnoteRef/>
      </w:r>
      <w:r>
        <w:rPr/>
        <w:t xml:space="preserve"> </w:t>
      </w:r>
      <w:r>
        <w:rPr/>
        <w:tab/>
      </w:r>
      <w:r>
        <w:rPr>
          <w:i/>
        </w:rPr>
        <w:t>New England Power Pool</w:t>
      </w:r>
      <w:r>
        <w:rPr/>
        <w:t xml:space="preserve">, 90 FERC ¶ 61,141 at 61,425 (2000) (NEPOOL market rules are the filed rate); </w:t>
      </w:r>
      <w:r>
        <w:rPr>
          <w:i/>
        </w:rPr>
        <w:t>NRG Power Marketing, Inc. v. New York Indep. Sys. Operator, Inc</w:t>
      </w:r>
      <w:r>
        <w:rPr/>
        <w:t>., 91 FERC ¶ 61,346 at 62,162 (2000) (“the ISO Market Rules are the filed rate”).</w:t>
      </w:r>
    </w:p>
  </w:footnote>
  <w:footnote w:id="71">
    <w:p>
      <w:pPr>
        <w:pStyle w:val="FootnoteText"/>
        <w:rPr/>
      </w:pPr>
      <w:r>
        <w:rPr>
          <w:rStyle w:val="FootnoteCharacters"/>
        </w:rPr>
        <w:footnoteRef/>
      </w:r>
      <w:r>
        <w:rPr>
          <w:i/>
        </w:rPr>
        <w:t xml:space="preserve"> </w:t>
      </w:r>
      <w:r>
        <w:rPr>
          <w:i/>
        </w:rPr>
        <w:tab/>
        <w:t>See also Southwestern Elec. Coop., Inc. v. Soyland Power Coop., Inc</w:t>
      </w:r>
      <w:r>
        <w:rPr/>
        <w:t xml:space="preserve">., 95 FERC ¶ 61,254 at 61,880 (2001); </w:t>
      </w:r>
      <w:r>
        <w:rPr>
          <w:i/>
        </w:rPr>
        <w:t>UtiliCorp United Inc. v. City of Harrisonville</w:t>
      </w:r>
      <w:r>
        <w:rPr/>
        <w:t>, 95 FERC ¶ 61,054 at 61,130 (2001).</w:t>
      </w:r>
    </w:p>
  </w:footnote>
  <w:footnote w:id="72">
    <w:p>
      <w:pPr>
        <w:pStyle w:val="FootnoteText"/>
        <w:rPr/>
      </w:pPr>
      <w:r>
        <w:rPr>
          <w:rStyle w:val="FootnoteCharacters"/>
        </w:rPr>
        <w:footnoteRef/>
      </w:r>
      <w:r>
        <w:rPr/>
        <w:t xml:space="preserve"> </w:t>
      </w:r>
      <w:r>
        <w:rPr/>
        <w:tab/>
        <w:t>November 1 Order, 93 FERC at  61,379-61,380.</w:t>
      </w:r>
    </w:p>
  </w:footnote>
  <w:footnote w:id="73">
    <w:p>
      <w:pPr>
        <w:pStyle w:val="FootnoteText"/>
        <w:rPr/>
      </w:pPr>
      <w:r>
        <w:rPr>
          <w:rStyle w:val="FootnoteCharacters"/>
        </w:rPr>
        <w:footnoteRef/>
      </w:r>
      <w:r>
        <w:rPr/>
        <w:t xml:space="preserve"> </w:t>
      </w:r>
      <w:r>
        <w:rPr/>
        <w:tab/>
        <w:t>95 FERC at 61,365.</w:t>
      </w:r>
    </w:p>
  </w:footnote>
  <w:footnote w:id="74">
    <w:p>
      <w:pPr>
        <w:pStyle w:val="FootnoteText"/>
        <w:rPr/>
      </w:pPr>
      <w:r>
        <w:rPr>
          <w:rStyle w:val="FootnoteCharacters"/>
        </w:rPr>
        <w:footnoteRef/>
      </w:r>
      <w:r>
        <w:rPr/>
        <w:t xml:space="preserve"> </w:t>
      </w:r>
      <w:r>
        <w:rPr/>
        <w:tab/>
        <w:t xml:space="preserve">66 Fed. Reg. 22223 (May. 3, 2001); </w:t>
      </w:r>
      <w:r>
        <w:rPr>
          <w:i/>
          <w:iCs/>
        </w:rPr>
        <w:t>see also</w:t>
      </w:r>
      <w:r>
        <w:rPr/>
        <w:t xml:space="preserve"> June 19 Order, 95 FERC at 62,568.</w:t>
      </w:r>
    </w:p>
  </w:footnote>
  <w:footnote w:id="75">
    <w:p>
      <w:pPr>
        <w:pStyle w:val="FootnoteText"/>
        <w:rPr/>
      </w:pPr>
      <w:r>
        <w:rPr>
          <w:rStyle w:val="FootnoteCharacters"/>
        </w:rPr>
        <w:footnoteRef/>
      </w:r>
      <w:r>
        <w:rPr/>
        <w:t xml:space="preserve"> </w:t>
      </w:r>
      <w:r>
        <w:rPr/>
        <w:tab/>
        <w:t>While Puget initially filed a request of rehearing of the Commission’s rejection of its Complaint, Puget withdrew that rehearing request on June 22, 2001.  Rule 216(b) of the Commission’s Rules of Practice and Procedure, 18 C.F.R. § 385.216(b), provides that such motions for withdrawal become effective 15 days from filing if no motion in opposition is filed within that period or the Commission does not otherwise issue an order disallowing the withdrawal.  The Commission issued no such order and, while motions in opposition were filed by some parties, no such parties were participants to the proceeding as required by Rule 212(a), 18 C.F.R. § 385.212(a).  Accordingly, Puget’s withdrawal of the rehearing request became effective as a matter of law on July 9, 2001.</w:t>
      </w:r>
    </w:p>
  </w:footnote>
  <w:footnote w:id="76">
    <w:p>
      <w:pPr>
        <w:pStyle w:val="FootnoteText"/>
        <w:rPr/>
      </w:pPr>
      <w:r>
        <w:rPr>
          <w:rStyle w:val="FootnoteCharacters"/>
        </w:rPr>
        <w:footnoteRef/>
      </w:r>
      <w:r>
        <w:rPr/>
        <w:t xml:space="preserve"> </w:t>
      </w:r>
      <w:r>
        <w:rPr/>
        <w:tab/>
        <w:t xml:space="preserve">The record shows that the vast majority of PNW sales relevant to this proceeding, as well as the CDWR purchases, are performed under the WSPP umbrella contract.  </w:t>
      </w:r>
      <w:r>
        <w:rPr>
          <w:i/>
        </w:rPr>
        <w:t>See</w:t>
      </w:r>
      <w:r>
        <w:rPr/>
        <w:t xml:space="preserve"> Exh. S-3 at 7 (majority of transactions were made pursuant to the WSPP Agreement); </w:t>
      </w:r>
      <w:r>
        <w:rPr>
          <w:i/>
        </w:rPr>
        <w:t xml:space="preserve">see also </w:t>
      </w:r>
      <w:r>
        <w:rPr/>
        <w:t xml:space="preserve">Exhs. NPG-12, NPG-13, NPG-14, NPG-15, NPG-15a, NPG-15b. Several parties, in fact, have testified that </w:t>
      </w:r>
      <w:r>
        <w:rPr>
          <w:i/>
        </w:rPr>
        <w:t>all</w:t>
      </w:r>
      <w:r>
        <w:rPr/>
        <w:t xml:space="preserve"> of their transactions at issue in this proceeding – including all of their sales to Seattle, Tacoma, </w:t>
      </w:r>
      <w:r>
        <w:rPr>
          <w:i/>
        </w:rPr>
        <w:t>et al.</w:t>
      </w:r>
      <w:r>
        <w:rPr/>
        <w:t xml:space="preserve">, in the PNW as well as those sold in California markets that are the subject of the claims made by the California Parties – were performed under the WSPP Agreement.  </w:t>
      </w:r>
      <w:r>
        <w:rPr>
          <w:i/>
          <w:iCs/>
        </w:rPr>
        <w:t>See, e.g.,</w:t>
      </w:r>
      <w:r>
        <w:rPr/>
        <w:t xml:space="preserve"> </w:t>
      </w:r>
      <w:r>
        <w:rPr>
          <w:iCs/>
        </w:rPr>
        <w:t xml:space="preserve">Exh. </w:t>
      </w:r>
      <w:r>
        <w:rPr/>
        <w:t>CP-1 at 3; Exh. CPS-1 at 2-3; Exh. PWX-6 at 9 (all transactions with CDWR are through the WSPP Agreement); Exh. IE-1 at 7.</w:t>
      </w:r>
    </w:p>
  </w:footnote>
  <w:footnote w:id="77">
    <w:p>
      <w:pPr>
        <w:pStyle w:val="FootnoteText"/>
        <w:ind w:hanging="720" w:end="0"/>
        <w:rPr/>
      </w:pPr>
      <w:r>
        <w:rPr>
          <w:rStyle w:val="FootnoteCharacters"/>
        </w:rPr>
        <w:footnoteRef/>
      </w:r>
      <w:r>
        <w:rPr/>
        <w:t xml:space="preserve"> </w:t>
      </w:r>
      <w:r>
        <w:rPr/>
        <w:tab/>
      </w:r>
      <w:r>
        <w:rPr>
          <w:i/>
        </w:rPr>
        <w:t>See San Diego Gas &amp; Elec. Co. v. Pub. Svc. Co. of New Mexico</w:t>
      </w:r>
      <w:r>
        <w:rPr/>
        <w:t xml:space="preserve">, 91 FERC ¶ 61,233 at 61,852 (2000); </w:t>
      </w:r>
      <w:r>
        <w:rPr>
          <w:i/>
        </w:rPr>
        <w:t>see also Texaco Inc.,</w:t>
      </w:r>
      <w:r>
        <w:rPr/>
        <w:t xml:space="preserve"> 148 F.3d 1091, 1095-96 (D.C. Cir. 1998) (citations omitted);  </w:t>
      </w:r>
      <w:r>
        <w:rPr>
          <w:i/>
        </w:rPr>
        <w:t>Boston Edison Co.  v. FERC,</w:t>
      </w:r>
      <w:r>
        <w:rPr/>
        <w:t xml:space="preserve"> 233 F.3d 60, 65 (1st Cir. 2000) (citations omitted).</w:t>
      </w:r>
    </w:p>
  </w:footnote>
  <w:footnote w:id="78">
    <w:p>
      <w:pPr>
        <w:pStyle w:val="FootnoteText"/>
        <w:ind w:hanging="720" w:end="0"/>
        <w:rPr/>
      </w:pPr>
      <w:r>
        <w:rPr>
          <w:rStyle w:val="FootnoteCharacters"/>
        </w:rPr>
        <w:footnoteRef/>
      </w:r>
      <w:r>
        <w:rPr/>
        <w:t xml:space="preserve"> </w:t>
      </w:r>
      <w:r>
        <w:rPr/>
        <w:tab/>
      </w:r>
      <w:r>
        <w:rPr>
          <w:i/>
        </w:rPr>
        <w:t>See Potomac Elec.</w:t>
      </w:r>
      <w:r>
        <w:rPr/>
        <w:t xml:space="preserve">, 210 F.3d at 409 (citations omitted). </w:t>
      </w:r>
    </w:p>
  </w:footnote>
  <w:footnote w:id="79">
    <w:p>
      <w:pPr>
        <w:pStyle w:val="FootnoteText"/>
        <w:ind w:hanging="720" w:end="0"/>
        <w:rPr/>
      </w:pPr>
      <w:r>
        <w:rPr>
          <w:rStyle w:val="FootnoteCharacters"/>
        </w:rPr>
        <w:footnoteRef/>
      </w:r>
      <w:r>
        <w:rPr/>
        <w:t xml:space="preserve"> </w:t>
      </w:r>
      <w:r>
        <w:rPr/>
        <w:tab/>
      </w:r>
      <w:r>
        <w:rPr>
          <w:i/>
        </w:rPr>
        <w:t>See,</w:t>
      </w:r>
      <w:r>
        <w:rPr/>
        <w:t xml:space="preserve"> </w:t>
      </w:r>
      <w:r>
        <w:rPr>
          <w:i/>
        </w:rPr>
        <w:t>e.g.,</w:t>
      </w:r>
      <w:r>
        <w:rPr/>
        <w:t xml:space="preserve"> </w:t>
      </w:r>
      <w:r>
        <w:rPr>
          <w:i/>
        </w:rPr>
        <w:t xml:space="preserve">Boston Edison, </w:t>
      </w:r>
      <w:r>
        <w:rPr/>
        <w:t xml:space="preserve">233 F. 3d at 64-65; </w:t>
      </w:r>
      <w:r>
        <w:rPr>
          <w:i/>
        </w:rPr>
        <w:t>Papago Tribal Utility Auth.</w:t>
      </w:r>
      <w:r>
        <w:rPr/>
        <w:t xml:space="preserve">, 723 F. 2d  at 953.  The burden is on the Commission and any party that seeks unilateral contract modification to make this showing. </w:t>
      </w:r>
      <w:r>
        <w:rPr>
          <w:i/>
        </w:rPr>
        <w:t>Transmission Access Policy Study Group v. FERC</w:t>
      </w:r>
      <w:r>
        <w:rPr/>
        <w:t xml:space="preserve">, 225 F.3d 667,709 (D.C. Cir. 2000) (emphasis added), </w:t>
      </w:r>
      <w:r>
        <w:rPr>
          <w:i/>
        </w:rPr>
        <w:t>cert. granted sub nom., People of the State of New York and Public Serv. Comm. of the State of New York v. FERC</w:t>
      </w:r>
      <w:r>
        <w:rPr/>
        <w:t xml:space="preserve">, 69 U.S.L.W. 3574 (U.S. Feb 26, 2001) (No. 00-568).  The </w:t>
      </w:r>
      <w:r>
        <w:rPr>
          <w:i/>
        </w:rPr>
        <w:t>Mobile-Sierra</w:t>
      </w:r>
      <w:r>
        <w:rPr/>
        <w:t xml:space="preserve"> Doctrine does not apply when parties to a contract expressly provide that the Commission may override the contract’s provisions under Section 206’s just and reasonable standard.  </w:t>
      </w:r>
      <w:r>
        <w:rPr>
          <w:i/>
        </w:rPr>
        <w:t>United Gas Pipe Line Co. v. Memphis Light, Gas &amp; Water Div.</w:t>
      </w:r>
      <w:r>
        <w:rPr/>
        <w:t xml:space="preserve">, 358 U.S. 103 (1958).  The market-based rate tariffs in the Pacific Northwest do not contain a </w:t>
      </w:r>
      <w:r>
        <w:rPr>
          <w:i/>
        </w:rPr>
        <w:t xml:space="preserve">Memphis </w:t>
      </w:r>
      <w:r>
        <w:rPr/>
        <w:t>reservation.</w:t>
      </w:r>
    </w:p>
  </w:footnote>
  <w:footnote w:id="80">
    <w:p>
      <w:pPr>
        <w:pStyle w:val="FootnoteText"/>
        <w:ind w:hanging="720" w:end="0"/>
        <w:rPr/>
      </w:pPr>
      <w:r>
        <w:rPr>
          <w:rStyle w:val="FootnoteCharacters"/>
        </w:rPr>
        <w:footnoteRef/>
      </w:r>
      <w:r>
        <w:rPr/>
        <w:t xml:space="preserve"> </w:t>
      </w:r>
      <w:r>
        <w:rPr/>
        <w:tab/>
      </w:r>
      <w:r>
        <w:rPr>
          <w:i/>
        </w:rPr>
        <w:t>Papago Tribal Utility Auth.</w:t>
      </w:r>
      <w:r>
        <w:rPr/>
        <w:t>, 723 F.2d at 954.</w:t>
      </w:r>
    </w:p>
  </w:footnote>
  <w:footnote w:id="81">
    <w:p>
      <w:pPr>
        <w:pStyle w:val="FootnoteText"/>
        <w:ind w:hanging="720" w:end="0"/>
        <w:rPr/>
      </w:pPr>
      <w:r>
        <w:rPr>
          <w:rStyle w:val="FootnoteCharacters"/>
        </w:rPr>
        <w:footnoteRef/>
      </w:r>
      <w:r>
        <w:rPr/>
        <w:t xml:space="preserve"> </w:t>
      </w:r>
      <w:r>
        <w:rPr/>
        <w:tab/>
      </w:r>
      <w:r>
        <w:rPr>
          <w:i/>
        </w:rPr>
        <w:t>Sierra</w:t>
      </w:r>
      <w:r>
        <w:rPr/>
        <w:t xml:space="preserve">, 350 U.S. at 355 (emphasis supplied); </w:t>
      </w:r>
      <w:r>
        <w:rPr>
          <w:i/>
        </w:rPr>
        <w:t>see also Potomac Elec. Power Co.,</w:t>
      </w:r>
      <w:r>
        <w:rPr/>
        <w:t xml:space="preserve"> 210 F.3d. at 406 (</w:t>
      </w:r>
      <w:r>
        <w:rPr>
          <w:i/>
        </w:rPr>
        <w:t>quoting Papago Tribal Util. Auth</w:t>
      </w:r>
      <w:r>
        <w:rPr/>
        <w:t xml:space="preserve">, 723 F.2d at 953 (citations omitted)); </w:t>
      </w:r>
      <w:r>
        <w:rPr>
          <w:i/>
        </w:rPr>
        <w:t xml:space="preserve">see also, Northeast Util.Svc. Co., </w:t>
      </w:r>
      <w:r>
        <w:rPr/>
        <w:t xml:space="preserve">55 F.3d at 691 (FERC can modify the terms of a contract under </w:t>
      </w:r>
      <w:r>
        <w:rPr>
          <w:i/>
        </w:rPr>
        <w:t>Mobile-Sierra</w:t>
      </w:r>
      <w:r>
        <w:rPr/>
        <w:t xml:space="preserve"> where third parties are threatened by possible "under discrimination" or the imposition of an "excessive burden." (citations omitted)). </w:t>
      </w:r>
    </w:p>
  </w:footnote>
  <w:footnote w:id="82">
    <w:p>
      <w:pPr>
        <w:pStyle w:val="FootnoteText"/>
        <w:rPr/>
      </w:pPr>
      <w:r>
        <w:rPr>
          <w:rStyle w:val="FootnoteCharacters"/>
        </w:rPr>
        <w:footnoteRef/>
      </w:r>
      <w:r>
        <w:rPr/>
        <w:t xml:space="preserve"> </w:t>
      </w:r>
      <w:r>
        <w:rPr/>
        <w:tab/>
      </w:r>
      <w:r>
        <w:rPr>
          <w:i/>
        </w:rPr>
        <w:t xml:space="preserve">See </w:t>
      </w:r>
      <w:r>
        <w:rPr/>
        <w:t xml:space="preserve">Exh. NPG-67 at 8 (stating only that “refunds would simply create some measure of equity to parties that are disproportionately harmed.”).  </w:t>
      </w:r>
    </w:p>
  </w:footnote>
  <w:footnote w:id="83">
    <w:p>
      <w:pPr>
        <w:pStyle w:val="FootnoteText"/>
        <w:rPr/>
      </w:pPr>
      <w:r>
        <w:rPr>
          <w:rStyle w:val="FootnoteCharacters"/>
        </w:rPr>
        <w:footnoteRef/>
      </w:r>
      <w:r>
        <w:rPr/>
        <w:t xml:space="preserve"> </w:t>
      </w:r>
      <w:r>
        <w:rPr/>
        <w:tab/>
      </w:r>
      <w:r>
        <w:rPr>
          <w:i/>
        </w:rPr>
        <w:t>Northeast Util. Svc. Co.</w:t>
      </w:r>
      <w:r>
        <w:rPr/>
        <w:t xml:space="preserve">, 66 FERC ¶ 61,332 at 62,084-85 &amp; nn. 65, 66, </w:t>
      </w:r>
      <w:r>
        <w:rPr>
          <w:i/>
        </w:rPr>
        <w:t>reh'g denied</w:t>
      </w:r>
      <w:r>
        <w:rPr/>
        <w:t xml:space="preserve">, 68 FERC ¶ 61,041 (1994), </w:t>
      </w:r>
      <w:r>
        <w:rPr>
          <w:i/>
        </w:rPr>
        <w:t>aff'd</w:t>
      </w:r>
      <w:r>
        <w:rPr/>
        <w:t>, 55 F.3d 686 (1st Cir. 1995).</w:t>
      </w:r>
    </w:p>
  </w:footnote>
  <w:footnote w:id="84">
    <w:p>
      <w:pPr>
        <w:pStyle w:val="FootnoteText"/>
        <w:rPr/>
      </w:pPr>
      <w:r>
        <w:rPr>
          <w:rStyle w:val="FootnoteCharacters"/>
        </w:rPr>
        <w:footnoteRef/>
      </w:r>
      <w:r>
        <w:rPr/>
        <w:t xml:space="preserve"> </w:t>
      </w:r>
      <w:r>
        <w:rPr/>
        <w:tab/>
        <w:t>April 26 Order at _____ [mimeo at 6-8].</w:t>
      </w:r>
    </w:p>
  </w:footnote>
  <w:footnote w:id="85">
    <w:p>
      <w:pPr>
        <w:pStyle w:val="FootnoteText"/>
        <w:rPr/>
      </w:pPr>
      <w:r>
        <w:rPr>
          <w:rStyle w:val="FootnoteCharacters"/>
        </w:rPr>
        <w:footnoteRef/>
      </w:r>
      <w:r>
        <w:rPr/>
        <w:t xml:space="preserve"> </w:t>
      </w:r>
      <w:r>
        <w:rPr/>
        <w:tab/>
        <w:t>95 FERC at ____ [mimeo at 3].</w:t>
      </w:r>
    </w:p>
  </w:footnote>
  <w:footnote w:id="86">
    <w:p>
      <w:pPr>
        <w:pStyle w:val="FootnoteText"/>
        <w:rPr/>
      </w:pPr>
      <w:r>
        <w:rPr>
          <w:rStyle w:val="FootnoteCharacters"/>
        </w:rPr>
        <w:footnoteRef/>
      </w:r>
      <w:r>
        <w:rPr/>
        <w:t xml:space="preserve"> </w:t>
      </w:r>
      <w:r>
        <w:rPr/>
        <w:tab/>
      </w:r>
      <w:r>
        <w:rPr>
          <w:i/>
          <w:iCs/>
        </w:rPr>
        <w:t>See supra</w:t>
      </w:r>
      <w:r>
        <w:rPr/>
        <w:t xml:space="preserve"> Section ____.</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Protected Material</w:t>
      <w:tab/>
      <w:tab/>
      <w:t>Draft September 14, 2001</w:t>
    </w:r>
  </w:p>
  <w:p>
    <w:pPr>
      <w:pStyle w:val="Header"/>
      <w:rPr>
        <w:b/>
        <w:bCs/>
        <w:sz w:val="20"/>
      </w:rPr>
    </w:pPr>
    <w:r>
      <w:rPr>
        <w:b/>
        <w:bCs/>
        <w:sz w:val="20"/>
      </w:rPr>
      <w:t>Subject to Joint Defense Agreement</w:t>
      <w:tab/>
      <w:tab/>
      <w:t>Attorney-Client Privileged</w:t>
    </w:r>
  </w:p>
  <w:p>
    <w:pPr>
      <w:pStyle w:val="Header"/>
      <w:rPr>
        <w:b/>
        <w:bCs/>
        <w:sz w:val="20"/>
      </w:rPr>
    </w:pPr>
    <w:r>
      <w:rPr>
        <w:b/>
        <w:bCs/>
        <w:sz w:val="20"/>
      </w:rPr>
      <w:t>And Protective Order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Protected Material</w:t>
      <w:tab/>
      <w:tab/>
      <w:t>Draft September 14, 2001</w:t>
    </w:r>
  </w:p>
  <w:p>
    <w:pPr>
      <w:pStyle w:val="Header"/>
      <w:rPr>
        <w:b/>
        <w:bCs/>
        <w:sz w:val="20"/>
      </w:rPr>
    </w:pPr>
    <w:r>
      <w:rPr>
        <w:b/>
        <w:bCs/>
        <w:sz w:val="20"/>
      </w:rPr>
      <w:t>Subject to Joint Defense Agreement</w:t>
      <w:tab/>
      <w:tab/>
      <w:t>Attorney-Client Privileged</w:t>
    </w:r>
  </w:p>
  <w:p>
    <w:pPr>
      <w:pStyle w:val="Header"/>
      <w:rPr>
        <w:b/>
        <w:bCs/>
        <w:sz w:val="20"/>
      </w:rPr>
    </w:pPr>
    <w:r>
      <w:rPr>
        <w:b/>
        <w:bCs/>
        <w:sz w:val="20"/>
      </w:rPr>
      <w:t>And Protective Order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rPr>
        <w:color w:val="000000"/>
      </w:rPr>
    </w:lvl>
    <w:lvl w:ilvl="1">
      <w:start w:val="1"/>
      <w:numFmt w:val="upperLetter"/>
      <w:lvlText w:val="%2."/>
      <w:lvlJc w:val="start"/>
      <w:pPr>
        <w:tabs>
          <w:tab w:val="num" w:pos="1440"/>
        </w:tabs>
        <w:ind w:start="1440" w:hanging="720"/>
      </w:pPr>
      <w:rPr>
        <w:color w:val="000000"/>
      </w:rPr>
    </w:lvl>
    <w:lvl w:ilvl="2">
      <w:start w:val="1"/>
      <w:numFmt w:val="decimal"/>
      <w:lvlText w:val="%3."/>
      <w:lvlJc w:val="start"/>
      <w:pPr>
        <w:tabs>
          <w:tab w:val="num" w:pos="2160"/>
        </w:tabs>
        <w:ind w:start="2160" w:hanging="720"/>
      </w:pPr>
      <w:rPr>
        <w:color w:val="000000"/>
      </w:rPr>
    </w:lvl>
    <w:lvl w:ilvl="3">
      <w:start w:val="1"/>
      <w:numFmt w:val="lowerLetter"/>
      <w:lvlText w:val="(%4)"/>
      <w:lvlJc w:val="start"/>
      <w:pPr>
        <w:tabs>
          <w:tab w:val="num" w:pos="2880"/>
        </w:tabs>
        <w:ind w:start="2880" w:hanging="720"/>
      </w:pPr>
      <w:rPr>
        <w:color w:val="000000"/>
      </w:rPr>
    </w:lvl>
    <w:lvl w:ilvl="4">
      <w:start w:val="1"/>
      <w:numFmt w:val="lowerRoman"/>
      <w:lvlText w:val="(%5)"/>
      <w:lvlJc w:val="start"/>
      <w:pPr>
        <w:tabs>
          <w:tab w:val="num" w:pos="3600"/>
        </w:tabs>
        <w:ind w:start="3600" w:hanging="720"/>
      </w:pPr>
      <w:rPr>
        <w:color w:val="000000"/>
      </w:rPr>
    </w:lvl>
    <w:lvl w:ilvl="5">
      <w:start w:val="1"/>
      <w:numFmt w:val="decimal"/>
      <w:lvlText w:val="(%6)"/>
      <w:lvlJc w:val="start"/>
      <w:pPr>
        <w:tabs>
          <w:tab w:val="num" w:pos="4320"/>
        </w:tabs>
        <w:ind w:start="4320" w:hanging="720"/>
      </w:pPr>
      <w:rPr>
        <w:color w:val="000000"/>
      </w:rPr>
    </w:lvl>
    <w:lvl w:ilvl="6">
      <w:start w:val="1"/>
      <w:numFmt w:val="upperLetter"/>
      <w:lvlText w:val="(%7)"/>
      <w:lvlJc w:val="start"/>
      <w:pPr>
        <w:tabs>
          <w:tab w:val="num" w:pos="5040"/>
        </w:tabs>
        <w:ind w:start="5040" w:hanging="720"/>
      </w:pPr>
      <w:rPr>
        <w:color w:val="000000"/>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upperLetter"/>
      <w:lvlText w:val="%1."/>
      <w:lvlJc w:val="start"/>
      <w:pPr>
        <w:tabs>
          <w:tab w:val="num" w:pos="1440"/>
        </w:tabs>
        <w:ind w:start="1440" w:hanging="720"/>
      </w:pPr>
      <w:rPr/>
    </w:lvl>
  </w:abstractNum>
  <w:abstractNum w:abstractNumId="10">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3"/>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0"/>
        <w:numId w:val="9"/>
      </w:numPr>
      <w:jc w:val="both"/>
      <w:outlineLvl w:val="1"/>
    </w:pPr>
    <w:rPr>
      <w:rFonts w:ascii="Times New Roman Bold;Times New Roman" w:hAnsi="Times New Roman Bold;Times New Roman" w:cs="Times New Roman Bold;Times New Roman"/>
      <w:b/>
      <w:bCs/>
    </w:rPr>
  </w:style>
  <w:style w:type="paragraph" w:styleId="Heading5">
    <w:name w:val="heading 5"/>
    <w:basedOn w:val="Normal"/>
    <w:next w:val="Normal"/>
    <w:qFormat/>
    <w:pPr>
      <w:keepNext w:val="true"/>
      <w:numPr>
        <w:ilvl w:val="4"/>
        <w:numId w:val="1"/>
      </w:numPr>
      <w:spacing w:lineRule="auto" w:line="480"/>
      <w:outlineLvl w:val="4"/>
    </w:pPr>
    <w:rPr>
      <w:b/>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sz w:val="26"/>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color w:val="000000"/>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b/>
    </w:rPr>
  </w:style>
  <w:style w:type="character" w:styleId="WW8Num25z0">
    <w:name w:val="WW8Num25z0"/>
    <w:qFormat/>
    <w:rPr/>
  </w:style>
  <w:style w:type="character" w:styleId="WW8Num26z0">
    <w:name w:val="WW8Num26z0"/>
    <w:qFormat/>
    <w:rPr>
      <w:rFonts w:ascii="Symbol" w:hAnsi="Symbol" w:cs="Symbol"/>
      <w:b w:val="false"/>
      <w:i w:val="false"/>
      <w:color w:val="auto"/>
      <w:sz w:val="20"/>
    </w:rPr>
  </w:style>
  <w:style w:type="character" w:styleId="WW8Num27z0">
    <w:name w:val="WW8Num27z0"/>
    <w:qFormat/>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Bold;Times New Roman" w:hAnsi="Times New Roman Bold;Times New Roman" w:cs="Times New Roman Bold;Times New Roman"/>
      <w:b/>
      <w:i w:val="false"/>
      <w:caps w:val="false"/>
      <w:smallCaps w:val="false"/>
      <w:sz w:val="24"/>
      <w:u w:val="none"/>
    </w:rPr>
  </w:style>
  <w:style w:type="character" w:styleId="WW8Num33z1">
    <w:name w:val="WW8Num33z1"/>
    <w:qFormat/>
    <w:rPr>
      <w:rFonts w:ascii="Times New Roman Bold;Times New Roman" w:hAnsi="Times New Roman Bold;Times New Roman" w:cs="Times New Roman Bold;Times New Roman"/>
      <w:b w:val="false"/>
      <w:i w:val="false"/>
      <w:sz w:val="24"/>
      <w:u w:val="none"/>
    </w:rPr>
  </w:style>
  <w:style w:type="character" w:styleId="WW8Num33z2">
    <w:name w:val="WW8Num33z2"/>
    <w:qFormat/>
    <w:rPr>
      <w:rFonts w:ascii="Times New Roman Bold;Times New Roman" w:hAnsi="Times New Roman Bold;Times New Roman" w:cs="Times New Roman Bold;Times New Roman"/>
      <w:b/>
      <w:i w:val="false"/>
      <w:sz w:val="24"/>
      <w:u w:val="none"/>
    </w:rPr>
  </w:style>
  <w:style w:type="character" w:styleId="WW8Num33z3">
    <w:name w:val="WW8Num33z3"/>
    <w:qFormat/>
    <w:rPr>
      <w:u w:val="no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color w:val="000000"/>
    </w:rPr>
  </w:style>
  <w:style w:type="character" w:styleId="WW8Num41z6">
    <w:name w:val="WW8Num41z6"/>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trike w:val="false"/>
      <w:dstrike w:val="false"/>
      <w:color w:val="auto"/>
      <w:sz w:val="20"/>
      <w:vertAlign w:val="superscript"/>
    </w:rPr>
  </w:style>
  <w:style w:type="character" w:styleId="PageNumber">
    <w:name w:val="page number"/>
    <w:basedOn w:val="DefaultParagraphFont"/>
    <w:rPr/>
  </w:style>
  <w:style w:type="character" w:styleId="TOCMark">
    <w:name w:val="TOC_Mark"/>
    <w:basedOn w:val="DefaultParagraphFont"/>
    <w:qFormat/>
    <w:rPr>
      <w:vanish/>
      <w:color w:val="FF0000"/>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Hyperlink">
    <w:name w:val="Hyperlink"/>
    <w:basedOn w:val="DefaultParagraphFont"/>
    <w:rPr>
      <w:color w:val="0000FF"/>
      <w:u w:val="single"/>
    </w:rPr>
  </w:style>
  <w:style w:type="character" w:styleId="LineNumber">
    <w:name w:val="line number"/>
    <w:basedOn w:val="DefaultParagraphFont"/>
    <w:rPr>
      <w:sz w:val="20"/>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hanging="360" w:start="360" w:end="0"/>
    </w:pPr>
    <w:rPr>
      <w:sz w:val="20"/>
      <w:szCs w:val="20"/>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Subtitle">
    <w:name w:val="Subtitle"/>
    <w:basedOn w:val="Normal"/>
    <w:next w:val="BodyText"/>
    <w:qFormat/>
    <w:pPr>
      <w:jc w:val="center"/>
    </w:pPr>
    <w:rPr>
      <w:b/>
    </w:rPr>
  </w:style>
  <w:style w:type="paragraph" w:styleId="BodyTextIndent2">
    <w:name w:val="Body Text Indent 2"/>
    <w:basedOn w:val="Normal"/>
    <w:qFormat/>
    <w:pPr>
      <w:spacing w:lineRule="auto" w:line="480"/>
      <w:ind w:firstLine="720" w:start="720" w:end="0"/>
    </w:pPr>
    <w:rPr/>
  </w:style>
  <w:style w:type="paragraph" w:styleId="Level1">
    <w:name w:val="Level 1"/>
    <w:basedOn w:val="Normal"/>
    <w:qFormat/>
    <w:pPr>
      <w:widowControl w:val="false"/>
      <w:numPr>
        <w:ilvl w:val="0"/>
        <w:numId w:val="12"/>
      </w:numPr>
      <w:ind w:hanging="720" w:start="720" w:end="0"/>
      <w:outlineLvl w:val="0"/>
    </w:pPr>
    <w:rPr/>
  </w:style>
  <w:style w:type="paragraph" w:styleId="BodyTextIndent3">
    <w:name w:val="Body Text Indent 3"/>
    <w:basedOn w:val="Normal"/>
    <w:qFormat/>
    <w:pPr>
      <w:ind w:hanging="720" w:start="1440" w:end="0"/>
    </w:pPr>
    <w:rPr>
      <w:b/>
      <w:u w:val="single"/>
    </w:rPr>
  </w:style>
  <w:style w:type="paragraph" w:styleId="Quote">
    <w:name w:val="Quote"/>
    <w:basedOn w:val="Normal"/>
    <w:qFormat/>
    <w:pPr>
      <w:spacing w:before="0" w:after="240"/>
      <w:ind w:hanging="0" w:start="720" w:end="720"/>
    </w:pPr>
    <w:rPr/>
  </w:style>
  <w:style w:type="paragraph" w:styleId="afterquote">
    <w:name w:val="after quote"/>
    <w:basedOn w:val="Normal"/>
    <w:next w:val="BodyText"/>
    <w:qFormat/>
    <w:pPr>
      <w:spacing w:lineRule="auto" w:line="480"/>
    </w:pPr>
    <w:rPr/>
  </w:style>
  <w:style w:type="paragraph" w:styleId="BlockText">
    <w:name w:val="Block Text"/>
    <w:basedOn w:val="Normal"/>
    <w:qFormat/>
    <w:pPr>
      <w:ind w:hanging="0" w:start="720" w:end="720"/>
    </w:pPr>
    <w:rPr>
      <w:sz w:val="28"/>
    </w:rPr>
  </w:style>
  <w:style w:type="paragraph" w:styleId="OutlineStyle1">
    <w:name w:val="OutlineStyle1"/>
    <w:basedOn w:val="Normal"/>
    <w:next w:val="Normal"/>
    <w:qFormat/>
    <w:pPr>
      <w:numPr>
        <w:ilvl w:val="0"/>
        <w:numId w:val="8"/>
      </w:numPr>
      <w:spacing w:before="240" w:after="120"/>
      <w:outlineLvl w:val="0"/>
    </w:pPr>
    <w:rPr>
      <w:rFonts w:ascii="Times New Roman Bold;Times New Roman" w:hAnsi="Times New Roman Bold;Times New Roman" w:cs="Times New Roman Bold;Times New Roman"/>
      <w:b/>
    </w:rPr>
  </w:style>
  <w:style w:type="paragraph" w:styleId="OutlineStyle2">
    <w:name w:val="OutlineStyle2"/>
    <w:basedOn w:val="Normal"/>
    <w:qFormat/>
    <w:pPr>
      <w:numPr>
        <w:ilvl w:val="0"/>
        <w:numId w:val="8"/>
      </w:numPr>
      <w:spacing w:before="240" w:after="240"/>
      <w:outlineLvl w:val="1"/>
    </w:pPr>
    <w:rPr>
      <w:rFonts w:ascii="Times New Roman Bold;Times New Roman" w:hAnsi="Times New Roman Bold;Times New Roman" w:cs="Times New Roman Bold;Times New Roman"/>
      <w:b/>
      <w:color w:val="000000"/>
    </w:rPr>
  </w:style>
  <w:style w:type="paragraph" w:styleId="OutlineStyle3">
    <w:name w:val="OutlineStyle3"/>
    <w:basedOn w:val="Normal"/>
    <w:qFormat/>
    <w:pPr>
      <w:numPr>
        <w:ilvl w:val="0"/>
        <w:numId w:val="8"/>
      </w:numPr>
      <w:tabs>
        <w:tab w:val="clear" w:pos="720"/>
      </w:tabs>
      <w:spacing w:before="0" w:after="240"/>
      <w:ind w:hanging="360" w:start="1800" w:end="0"/>
      <w:outlineLvl w:val="2"/>
    </w:pPr>
    <w:rPr>
      <w:rFonts w:ascii="Times New Roman Bold;Times New Roman" w:hAnsi="Times New Roman Bold;Times New Roman" w:cs="Times New Roman Bold;Times New Roman"/>
      <w:b/>
      <w:color w:val="000000"/>
      <w:u w:val="single"/>
    </w:rPr>
  </w:style>
  <w:style w:type="paragraph" w:styleId="OutlineStyle4">
    <w:name w:val="OutlineStyle4"/>
    <w:basedOn w:val="Normal"/>
    <w:qFormat/>
    <w:pPr>
      <w:numPr>
        <w:ilvl w:val="0"/>
        <w:numId w:val="8"/>
      </w:numPr>
      <w:spacing w:before="0" w:after="240"/>
      <w:outlineLvl w:val="3"/>
    </w:pPr>
    <w:rPr>
      <w:rFonts w:ascii="Times New Roman Bold;Times New Roman" w:hAnsi="Times New Roman Bold;Times New Roman" w:cs="Times New Roman Bold;Times New Roman"/>
      <w:b/>
      <w:color w:val="000000"/>
    </w:rPr>
  </w:style>
  <w:style w:type="paragraph" w:styleId="OutlineStyle5">
    <w:name w:val="OutlineStyle5"/>
    <w:basedOn w:val="Normal"/>
    <w:qFormat/>
    <w:pPr>
      <w:numPr>
        <w:ilvl w:val="0"/>
        <w:numId w:val="8"/>
      </w:numPr>
      <w:spacing w:lineRule="auto" w:line="480" w:before="0" w:after="240"/>
      <w:outlineLvl w:val="4"/>
    </w:pPr>
    <w:rPr>
      <w:color w:val="000000"/>
    </w:rPr>
  </w:style>
  <w:style w:type="paragraph" w:styleId="OutlineStyle6">
    <w:name w:val="OutlineStyle6"/>
    <w:basedOn w:val="Normal"/>
    <w:qFormat/>
    <w:pPr>
      <w:numPr>
        <w:ilvl w:val="0"/>
        <w:numId w:val="8"/>
      </w:numPr>
      <w:spacing w:lineRule="auto" w:line="480" w:before="0" w:after="240"/>
      <w:outlineLvl w:val="5"/>
    </w:pPr>
    <w:rPr>
      <w:color w:val="000000"/>
    </w:rPr>
  </w:style>
  <w:style w:type="paragraph" w:styleId="OutlineStyle7">
    <w:name w:val="OutlineStyle7"/>
    <w:basedOn w:val="Normal"/>
    <w:qFormat/>
    <w:pPr>
      <w:numPr>
        <w:ilvl w:val="0"/>
        <w:numId w:val="8"/>
      </w:numPr>
      <w:spacing w:lineRule="auto" w:line="480" w:before="0" w:after="240"/>
      <w:outlineLvl w:val="6"/>
    </w:pPr>
    <w:rPr>
      <w:color w:val="000000"/>
    </w:rPr>
  </w:style>
  <w:style w:type="paragraph" w:styleId="BoldHeading">
    <w:name w:val="Bold Heading"/>
    <w:basedOn w:val="Normal"/>
    <w:next w:val="Normal"/>
    <w:qFormat/>
    <w:pPr>
      <w:spacing w:before="0" w:after="240"/>
      <w:ind w:hanging="0" w:start="720" w:end="0"/>
    </w:pPr>
    <w:rPr>
      <w:b/>
    </w:rPr>
  </w:style>
  <w:style w:type="paragraph" w:styleId="BoldUnderlineHeading">
    <w:name w:val="BoldUnderline Heading"/>
    <w:basedOn w:val="Normal"/>
    <w:next w:val="Normal"/>
    <w:qFormat/>
    <w:pPr>
      <w:spacing w:before="0" w:after="240"/>
    </w:pPr>
    <w:rPr>
      <w:b/>
      <w:u w:val="single"/>
    </w:rPr>
  </w:style>
  <w:style w:type="paragraph" w:styleId="CenterBoldHeading">
    <w:name w:val="CenterBold Heading"/>
    <w:basedOn w:val="Normal"/>
    <w:next w:val="Normal"/>
    <w:qFormat/>
    <w:pPr>
      <w:spacing w:before="0" w:after="240"/>
      <w:jc w:val="center"/>
    </w:pPr>
    <w:rPr>
      <w:b/>
    </w:rPr>
  </w:style>
  <w:style w:type="paragraph" w:styleId="CenterHeading">
    <w:name w:val="Center Heading"/>
    <w:basedOn w:val="Normal"/>
    <w:next w:val="Normal"/>
    <w:qFormat/>
    <w:pPr>
      <w:spacing w:before="0" w:after="240"/>
      <w:jc w:val="center"/>
    </w:pPr>
    <w:rPr/>
  </w:style>
  <w:style w:type="paragraph" w:styleId="CenterUnderlineHeading">
    <w:name w:val="CenterUnderline Heading"/>
    <w:basedOn w:val="Normal"/>
    <w:next w:val="Normal"/>
    <w:qFormat/>
    <w:pPr>
      <w:spacing w:before="0" w:after="240"/>
      <w:jc w:val="center"/>
    </w:pPr>
    <w:rPr>
      <w:u w:val="single"/>
    </w:rPr>
  </w:style>
  <w:style w:type="paragraph" w:styleId="DoublePara">
    <w:name w:val="Double Para"/>
    <w:basedOn w:val="Normal"/>
    <w:qFormat/>
    <w:pPr>
      <w:spacing w:lineRule="auto" w:line="480"/>
      <w:ind w:firstLine="720" w:start="0" w:end="0"/>
    </w:pPr>
    <w:rPr/>
  </w:style>
  <w:style w:type="paragraph" w:styleId="DoubleSpace">
    <w:name w:val="Double Space"/>
    <w:basedOn w:val="Normal"/>
    <w:qFormat/>
    <w:pPr>
      <w:spacing w:lineRule="auto" w:line="480"/>
    </w:pPr>
    <w:rPr/>
  </w:style>
  <w:style w:type="paragraph" w:styleId="QuoteIndent">
    <w:name w:val="Quote Indent"/>
    <w:basedOn w:val="Normal"/>
    <w:qFormat/>
    <w:pPr>
      <w:spacing w:before="0" w:after="240"/>
      <w:ind w:firstLine="720" w:start="720" w:end="720"/>
    </w:pPr>
    <w:rPr/>
  </w:style>
  <w:style w:type="paragraph" w:styleId="ReferenceLine">
    <w:name w:val="Reference Line"/>
    <w:basedOn w:val="Normal"/>
    <w:qFormat/>
    <w:pPr>
      <w:spacing w:lineRule="atLeast" w:line="220" w:before="0" w:after="220"/>
    </w:pPr>
    <w:rPr>
      <w:rFonts w:ascii="Arial" w:hAnsi="Arial" w:cs="Arial"/>
      <w:spacing w:val="-5"/>
      <w:sz w:val="20"/>
    </w:rPr>
  </w:style>
  <w:style w:type="paragraph" w:styleId="SignatureBlock">
    <w:name w:val="Signature Block"/>
    <w:basedOn w:val="Normal"/>
    <w:qFormat/>
    <w:pPr>
      <w:ind w:hanging="0" w:start="4320" w:end="0"/>
    </w:pPr>
    <w:rPr/>
  </w:style>
  <w:style w:type="paragraph" w:styleId="SinglePara">
    <w:name w:val="Single Para"/>
    <w:basedOn w:val="Normal"/>
    <w:qFormat/>
    <w:pPr>
      <w:spacing w:before="0" w:after="240"/>
      <w:ind w:firstLine="1440" w:start="0" w:end="0"/>
    </w:pPr>
    <w:rPr/>
  </w:style>
  <w:style w:type="paragraph" w:styleId="UnderlineHeading">
    <w:name w:val="Underline Heading"/>
    <w:basedOn w:val="Normal"/>
    <w:next w:val="Normal"/>
    <w:qFormat/>
    <w:pPr>
      <w:spacing w:before="0" w:after="240"/>
    </w:pPr>
    <w:rPr>
      <w:u w:val="single"/>
    </w:rPr>
  </w:style>
  <w:style w:type="paragraph" w:styleId="Default1">
    <w:name w:val="Default1"/>
    <w:basedOn w:val="Normal"/>
    <w:next w:val="Normal"/>
    <w:qFormat/>
    <w:pPr>
      <w:numPr>
        <w:ilvl w:val="0"/>
        <w:numId w:val="10"/>
      </w:numPr>
      <w:spacing w:before="0" w:after="240"/>
      <w:outlineLvl w:val="0"/>
    </w:pPr>
    <w:rPr/>
  </w:style>
  <w:style w:type="paragraph" w:styleId="Default2">
    <w:name w:val="Default2"/>
    <w:basedOn w:val="Normal"/>
    <w:qFormat/>
    <w:pPr>
      <w:numPr>
        <w:ilvl w:val="0"/>
        <w:numId w:val="10"/>
      </w:numPr>
      <w:spacing w:before="0" w:after="240"/>
      <w:outlineLvl w:val="1"/>
    </w:pPr>
    <w:rPr/>
  </w:style>
  <w:style w:type="paragraph" w:styleId="Default3">
    <w:name w:val="Default3"/>
    <w:basedOn w:val="Normal"/>
    <w:qFormat/>
    <w:pPr>
      <w:numPr>
        <w:ilvl w:val="0"/>
        <w:numId w:val="10"/>
      </w:numPr>
      <w:tabs>
        <w:tab w:val="clear" w:pos="720"/>
      </w:tabs>
      <w:spacing w:before="0" w:after="240"/>
      <w:outlineLvl w:val="2"/>
    </w:pPr>
    <w:rPr/>
  </w:style>
  <w:style w:type="paragraph" w:styleId="Default4">
    <w:name w:val="Default4"/>
    <w:basedOn w:val="Normal"/>
    <w:qFormat/>
    <w:pPr>
      <w:numPr>
        <w:ilvl w:val="0"/>
        <w:numId w:val="10"/>
      </w:numPr>
      <w:spacing w:before="0" w:after="240"/>
      <w:ind w:hanging="720" w:start="2880" w:end="0"/>
      <w:outlineLvl w:val="3"/>
    </w:pPr>
    <w:rPr/>
  </w:style>
  <w:style w:type="paragraph" w:styleId="Default5">
    <w:name w:val="Default5"/>
    <w:basedOn w:val="Normal"/>
    <w:qFormat/>
    <w:pPr>
      <w:numPr>
        <w:ilvl w:val="0"/>
        <w:numId w:val="10"/>
      </w:numPr>
      <w:spacing w:before="0" w:after="240"/>
      <w:outlineLvl w:val="4"/>
    </w:pPr>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ListBullet">
    <w:name w:val="List Bullet"/>
    <w:basedOn w:val="Normal"/>
    <w:qFormat/>
    <w:pPr>
      <w:numPr>
        <w:ilvl w:val="0"/>
        <w:numId w:val="7"/>
      </w:numPr>
      <w:spacing w:before="120" w:after="240"/>
    </w:pPr>
    <w:rPr/>
  </w:style>
  <w:style w:type="paragraph" w:styleId="ListBullet5">
    <w:name w:val="List Bullet 5"/>
    <w:basedOn w:val="Normal"/>
    <w:qFormat/>
    <w:pPr>
      <w:numPr>
        <w:ilvl w:val="0"/>
        <w:numId w:val="4"/>
      </w:numPr>
    </w:pPr>
    <w:rPr/>
  </w:style>
  <w:style w:type="paragraph" w:styleId="ListBullet31">
    <w:name w:val="List Bullet 31"/>
    <w:basedOn w:val="Normal"/>
    <w:qFormat/>
    <w:pPr>
      <w:numPr>
        <w:ilvl w:val="0"/>
        <w:numId w:val="6"/>
      </w:numPr>
      <w:spacing w:before="120" w:after="240"/>
    </w:pPr>
    <w:rPr/>
  </w:style>
  <w:style w:type="paragraph" w:styleId="ListNumber4">
    <w:name w:val="List Number 4"/>
    <w:basedOn w:val="Normal"/>
    <w:qFormat/>
    <w:pPr>
      <w:numPr>
        <w:ilvl w:val="0"/>
        <w:numId w:val="2"/>
      </w:numPr>
      <w:spacing w:before="120" w:after="240"/>
    </w:pPr>
    <w:rPr/>
  </w:style>
  <w:style w:type="paragraph" w:styleId="ListBullet4">
    <w:name w:val="List Bullet 4"/>
    <w:basedOn w:val="Normal"/>
    <w:qFormat/>
    <w:pPr>
      <w:numPr>
        <w:ilvl w:val="0"/>
        <w:numId w:val="5"/>
      </w:numPr>
      <w:spacing w:before="120" w:after="240"/>
      <w:ind w:hanging="0" w:start="0" w:end="1440"/>
    </w:pPr>
    <w:rPr/>
  </w:style>
  <w:style w:type="paragraph" w:styleId="TOC1">
    <w:name w:val="toc 1"/>
    <w:basedOn w:val="Normal"/>
    <w:next w:val="Normal"/>
    <w:pPr/>
    <w:rPr/>
  </w:style>
  <w:style w:type="paragraph" w:styleId="ListBullet3">
    <w:name w:val="List Bullet 3"/>
    <w:basedOn w:val="Normal"/>
    <w:pPr>
      <w:ind w:hanging="360" w:start="1080" w:end="0"/>
    </w:pPr>
    <w:rPr/>
  </w:style>
  <w:style w:type="paragraph" w:styleId="ListNumber3">
    <w:name w:val="List Number 3"/>
    <w:basedOn w:val="Normal"/>
    <w:qFormat/>
    <w:pPr>
      <w:numPr>
        <w:ilvl w:val="0"/>
        <w:numId w:val="3"/>
      </w:numPr>
      <w:spacing w:before="120" w:after="24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 2"/>
    <w:basedOn w:val="Normal"/>
    <w:qFormat/>
    <w:pPr>
      <w:spacing w:lineRule="auto" w:line="48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2001-09-15T22:59:00Z</dcterms:created>
  <dc:creator/>
  <dc:description/>
  <dc:language>en-CA</dc:language>
  <cp:lastModifiedBy>USER</cp:lastModifiedBy>
  <cp:lastPrinted>2001-09-17T01:26:00Z</cp:lastPrinted>
  <dcterms:modified xsi:type="dcterms:W3CDTF">2001-09-17T03:56:00Z</dcterms:modified>
  <cp:revision>127</cp:revision>
  <dc:subject/>
  <dc:title/>
</cp:coreProperties>
</file>