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Heading2"/>
        <w:ind w:hanging="0" w:start="0"/>
        <w:jc w:val="center"/>
        <w:rPr/>
      </w:pPr>
      <w:r>
        <w:rPr/>
        <w:t>BEFORE THE</w:t>
      </w:r>
    </w:p>
    <w:p>
      <w:pPr>
        <w:pStyle w:val="Normal"/>
        <w:jc w:val="center"/>
        <w:rPr>
          <w:b/>
          <w:sz w:val="26"/>
        </w:rPr>
      </w:pPr>
      <w:r>
        <w:rPr>
          <w:b/>
          <w:sz w:val="26"/>
        </w:rPr>
        <w:t>FEDERAL ENERGY REGULATORY COMMISSION</w:t>
      </w:r>
    </w:p>
    <w:p>
      <w:pPr>
        <w:pStyle w:val="Normal"/>
        <w:jc w:val="center"/>
        <w:rPr>
          <w:b/>
          <w:sz w:val="26"/>
        </w:rPr>
      </w:pPr>
      <w:r>
        <w:rPr>
          <w:b/>
          <w:sz w:val="26"/>
        </w:rPr>
      </w:r>
    </w:p>
    <w:p>
      <w:pPr>
        <w:pStyle w:val="Normal"/>
        <w:rPr/>
      </w:pPr>
      <w:r>
        <w:rPr/>
        <w:t>San Diego Gas &amp; Electric Company,</w:t>
        <w:tab/>
        <w:tab/>
        <w:tab/>
        <w:t>)</w:t>
      </w:r>
    </w:p>
    <w:p>
      <w:pPr>
        <w:pStyle w:val="Normal"/>
        <w:rPr/>
      </w:pPr>
      <w:r>
        <w:rPr/>
        <w:tab/>
        <w:tab/>
        <w:tab/>
        <w:tab/>
        <w:tab/>
        <w:tab/>
        <w:tab/>
        <w:t>)</w:t>
      </w:r>
    </w:p>
    <w:p>
      <w:pPr>
        <w:pStyle w:val="Normal"/>
        <w:rPr/>
      </w:pPr>
      <w:r>
        <w:rPr/>
        <w:tab/>
        <w:tab/>
        <w:tab/>
        <w:t>Complainant,</w:t>
        <w:tab/>
        <w:tab/>
        <w:tab/>
        <w:t>)</w:t>
      </w:r>
    </w:p>
    <w:p>
      <w:pPr>
        <w:pStyle w:val="Normal"/>
        <w:rPr/>
      </w:pPr>
      <w:r>
        <w:rPr/>
        <w:tab/>
        <w:tab/>
        <w:tab/>
        <w:tab/>
        <w:tab/>
        <w:tab/>
        <w:tab/>
        <w:t>)</w:t>
      </w:r>
    </w:p>
    <w:p>
      <w:pPr>
        <w:pStyle w:val="Normal"/>
        <w:rPr/>
      </w:pPr>
      <w:r>
        <w:rPr/>
        <w:tab/>
        <w:tab/>
        <w:t>v.</w:t>
        <w:tab/>
        <w:tab/>
        <w:tab/>
        <w:tab/>
        <w:tab/>
        <w:t>)</w:t>
        <w:tab/>
        <w:t>Docket No. EL00-95-045</w:t>
      </w:r>
    </w:p>
    <w:p>
      <w:pPr>
        <w:pStyle w:val="Normal"/>
        <w:rPr/>
      </w:pPr>
      <w:r>
        <w:rPr/>
        <w:tab/>
        <w:tab/>
        <w:tab/>
        <w:tab/>
        <w:tab/>
        <w:tab/>
        <w:tab/>
        <w:t>)</w:t>
      </w:r>
    </w:p>
    <w:p>
      <w:pPr>
        <w:pStyle w:val="Normal"/>
        <w:rPr/>
      </w:pPr>
      <w:r>
        <w:rPr/>
        <w:t>Sellers of Energy and Ancillary Service Into</w:t>
        <w:tab/>
        <w:tab/>
        <w:t>)</w:t>
      </w:r>
    </w:p>
    <w:p>
      <w:pPr>
        <w:pStyle w:val="Normal"/>
        <w:rPr/>
      </w:pPr>
      <w:r>
        <w:rPr/>
        <w:t>Markets Operated by the California</w:t>
        <w:tab/>
        <w:tab/>
        <w:tab/>
        <w:t>)</w:t>
      </w:r>
    </w:p>
    <w:p>
      <w:pPr>
        <w:pStyle w:val="Normal"/>
        <w:rPr/>
      </w:pPr>
      <w:r>
        <w:rPr/>
        <w:t>Independent System Operator Corporation</w:t>
        <w:tab/>
        <w:tab/>
        <w:t>)</w:t>
      </w:r>
    </w:p>
    <w:p>
      <w:pPr>
        <w:pStyle w:val="Normal"/>
        <w:rPr/>
      </w:pPr>
      <w:r>
        <w:rPr/>
        <w:t>and the California Power Exchange,</w:t>
        <w:tab/>
        <w:tab/>
        <w:tab/>
        <w:t>)</w:t>
      </w:r>
    </w:p>
    <w:p>
      <w:pPr>
        <w:pStyle w:val="Normal"/>
        <w:rPr/>
      </w:pPr>
      <w:r>
        <w:rPr/>
        <w:tab/>
        <w:tab/>
        <w:tab/>
        <w:tab/>
        <w:tab/>
        <w:tab/>
        <w:tab/>
        <w:t>)</w:t>
      </w:r>
    </w:p>
    <w:p>
      <w:pPr>
        <w:pStyle w:val="Normal"/>
        <w:rPr/>
      </w:pPr>
      <w:r>
        <w:rPr/>
        <w:tab/>
        <w:tab/>
        <w:tab/>
        <w:t>Respondents.</w:t>
        <w:tab/>
        <w:tab/>
        <w:tab/>
        <w:t>)</w:t>
      </w:r>
    </w:p>
    <w:p>
      <w:pPr>
        <w:pStyle w:val="Normal"/>
        <w:rPr/>
      </w:pPr>
      <w:r>
        <w:rPr/>
        <w:tab/>
        <w:tab/>
        <w:tab/>
        <w:tab/>
        <w:tab/>
        <w:tab/>
        <w:tab/>
        <w:t>)</w:t>
      </w:r>
    </w:p>
    <w:p>
      <w:pPr>
        <w:pStyle w:val="Normal"/>
        <w:rPr/>
      </w:pPr>
      <w:r>
        <w:rPr/>
        <w:tab/>
        <w:tab/>
        <w:tab/>
        <w:tab/>
        <w:tab/>
        <w:tab/>
        <w:tab/>
        <w:t>)</w:t>
      </w:r>
    </w:p>
    <w:p>
      <w:pPr>
        <w:pStyle w:val="Normal"/>
        <w:rPr/>
      </w:pPr>
      <w:r>
        <w:rPr/>
        <w:t>Investigation of Practices of the California</w:t>
        <w:tab/>
        <w:tab/>
        <w:t>)</w:t>
        <w:tab/>
        <w:t>Docket No. EL00-98-042</w:t>
      </w:r>
    </w:p>
    <w:p>
      <w:pPr>
        <w:pStyle w:val="Normal"/>
        <w:rPr/>
      </w:pPr>
      <w:r>
        <w:rPr/>
        <w:t>Independent System Operator and the</w:t>
        <w:tab/>
        <w:tab/>
        <w:t>)</w:t>
        <w:tab/>
        <w:t xml:space="preserve"> </w:t>
      </w:r>
    </w:p>
    <w:p>
      <w:pPr>
        <w:pStyle w:val="Normal"/>
        <w:rPr/>
      </w:pPr>
      <w:r>
        <w:rPr/>
        <w:t>California Power Exchange</w:t>
        <w:tab/>
        <w:tab/>
        <w:tab/>
        <w:tab/>
        <w:t>)</w:t>
      </w:r>
    </w:p>
    <w:p>
      <w:pPr>
        <w:pStyle w:val="Heading1"/>
        <w:ind w:hanging="0" w:start="0"/>
        <w:rPr/>
      </w:pPr>
      <w:r>
        <w:rPr/>
      </w:r>
    </w:p>
    <w:p>
      <w:pPr>
        <w:pStyle w:val="Heading1"/>
        <w:ind w:hanging="0" w:start="0"/>
        <w:rPr/>
      </w:pPr>
      <w:r>
        <w:rPr/>
        <w:t xml:space="preserve">FIRST SUPPLEMENTAL RESPONSES OF DYNEGY </w:t>
      </w:r>
    </w:p>
    <w:p>
      <w:pPr>
        <w:pStyle w:val="Heading1"/>
        <w:ind w:hanging="0" w:start="0"/>
        <w:rPr/>
      </w:pPr>
      <w:r>
        <w:rPr/>
        <w:t>TO THE  JOINT DATA REQUESTS OF PG&amp;E AND SCE</w:t>
      </w:r>
    </w:p>
    <w:p>
      <w:pPr>
        <w:pStyle w:val="Normal"/>
        <w:rPr/>
      </w:pPr>
      <w:r>
        <w:rPr/>
      </w:r>
    </w:p>
    <w:p>
      <w:pPr>
        <w:pStyle w:val="Normal"/>
        <w:spacing w:lineRule="auto" w:line="480"/>
        <w:rPr/>
      </w:pPr>
      <w:r>
        <w:rPr/>
        <w:tab/>
        <w:t xml:space="preserve"> Dynegy Power Marketing, Inc. ("Dynegy") hereby submits its supplemental responses to the Joint Data Requests of Pacific Gas and Electric Co. ("PG&amp;E") and Southern California Edison Co. ("SCE").  Please note that the objections contained herein were prepared by counsel and other responsive information was prepared by Kent Williams.</w:t>
      </w:r>
      <w:r>
        <w:br w:type="page"/>
      </w:r>
    </w:p>
    <w:p>
      <w:pPr>
        <w:pStyle w:val="Normal"/>
        <w:spacing w:lineRule="auto" w:line="480"/>
        <w:rPr>
          <w:b/>
          <w:bCs/>
        </w:rPr>
      </w:pPr>
      <w:r>
        <w:rPr>
          <w:b/>
          <w:bCs/>
        </w:rPr>
        <w:t>Data Request No. 2</w:t>
      </w:r>
    </w:p>
    <w:p>
      <w:pPr>
        <w:pStyle w:val="Normal"/>
        <w:rPr/>
      </w:pPr>
      <w:r>
        <w:rPr/>
      </w:r>
    </w:p>
    <w:p>
      <w:pPr>
        <w:pStyle w:val="Normal"/>
        <w:rPr/>
      </w:pPr>
      <w:r>
        <w:rPr/>
        <w:t>If the answer to No. 1 is yes, please identify the relevant unit.  In addition, for each unit, please provide:</w:t>
      </w:r>
    </w:p>
    <w:p>
      <w:pPr>
        <w:pStyle w:val="Normal"/>
        <w:rPr/>
      </w:pPr>
      <w:r>
        <w:rPr/>
      </w:r>
    </w:p>
    <w:p>
      <w:pPr>
        <w:pStyle w:val="Normal"/>
        <w:rPr/>
      </w:pPr>
      <w:r>
        <w:rPr/>
        <w:t xml:space="preserve">(a) </w:t>
        <w:tab/>
        <w:t>the type of fuel burned;</w:t>
      </w:r>
    </w:p>
    <w:p>
      <w:pPr>
        <w:pStyle w:val="Normal"/>
        <w:rPr/>
      </w:pPr>
      <w:r>
        <w:rPr/>
      </w:r>
    </w:p>
    <w:p>
      <w:pPr>
        <w:pStyle w:val="Normal"/>
        <w:ind w:hanging="720" w:start="720" w:end="0"/>
        <w:rPr/>
      </w:pPr>
      <w:r>
        <w:rPr/>
        <w:t xml:space="preserve">(b) </w:t>
        <w:tab/>
        <w:t>the number of hours (including the time and the date) during which the unit(s) operated on a fuel other than natural gas; and</w:t>
      </w:r>
    </w:p>
    <w:p>
      <w:pPr>
        <w:pStyle w:val="Normal"/>
        <w:rPr/>
      </w:pPr>
      <w:r>
        <w:rPr/>
      </w:r>
    </w:p>
    <w:p>
      <w:pPr>
        <w:pStyle w:val="Normal"/>
        <w:ind w:hanging="720" w:start="720" w:end="0"/>
        <w:rPr/>
      </w:pPr>
      <w:r>
        <w:rPr/>
        <w:t xml:space="preserve">(c) </w:t>
        <w:tab/>
        <w:t>the output (in MWs) during each hour in which a fuel other than natural gas was burned.</w:t>
      </w:r>
    </w:p>
    <w:p>
      <w:pPr>
        <w:pStyle w:val="Normal"/>
        <w:rPr/>
      </w:pPr>
      <w:r>
        <w:rPr/>
      </w:r>
    </w:p>
    <w:p>
      <w:pPr>
        <w:pStyle w:val="Normal"/>
        <w:rPr/>
      </w:pPr>
      <w:r>
        <w:rPr/>
      </w:r>
    </w:p>
    <w:p>
      <w:pPr>
        <w:pStyle w:val="Normal"/>
        <w:rPr>
          <w:b/>
          <w:bCs/>
        </w:rPr>
      </w:pPr>
      <w:r>
        <w:rPr>
          <w:b/>
          <w:bCs/>
        </w:rPr>
        <w:t>Response to Data Request No. 2</w:t>
      </w:r>
    </w:p>
    <w:p>
      <w:pPr>
        <w:pStyle w:val="Normal"/>
        <w:rPr/>
      </w:pPr>
      <w:r>
        <w:rPr/>
      </w:r>
    </w:p>
    <w:p>
      <w:pPr>
        <w:pStyle w:val="Normal"/>
        <w:rPr/>
      </w:pPr>
      <w:r>
        <w:rPr/>
        <w:t>Dynegy incorporates by reference its objections in its partial responses to the joint data requests of PG&amp;E and SCE.  Dynegy responds further as follows:</w:t>
      </w:r>
    </w:p>
    <w:p>
      <w:pPr>
        <w:pStyle w:val="Normal"/>
        <w:rPr/>
      </w:pPr>
      <w:r>
        <w:rPr/>
      </w:r>
    </w:p>
    <w:p>
      <w:pPr>
        <w:pStyle w:val="Normal"/>
        <w:ind w:hanging="720" w:start="720" w:end="0"/>
        <w:rPr>
          <w:bCs/>
        </w:rPr>
      </w:pPr>
      <w:r>
        <w:rPr>
          <w:bCs/>
        </w:rPr>
        <w:t>The relevant units include all Cabrillo II CTs and Cabrillo I (Encina) Units 1-5.</w:t>
      </w:r>
    </w:p>
    <w:p>
      <w:pPr>
        <w:pStyle w:val="Normal"/>
        <w:ind w:hanging="720" w:start="720" w:end="0"/>
        <w:rPr>
          <w:bCs/>
        </w:rPr>
      </w:pPr>
      <w:r>
        <w:rPr>
          <w:bCs/>
        </w:rPr>
      </w:r>
    </w:p>
    <w:p>
      <w:pPr>
        <w:pStyle w:val="Normal"/>
        <w:ind w:hanging="720" w:start="720" w:end="0"/>
        <w:rPr>
          <w:bCs/>
        </w:rPr>
      </w:pPr>
      <w:r>
        <w:rPr>
          <w:bCs/>
        </w:rPr>
        <w:t>(a)</w:t>
        <w:tab/>
        <w:t>The type of fuel burned is as follows:  Cabrillo II CTs – No. 2 (diesel); Cabrillo I (Encina) – No. 6 (low sulfur fuel oil).</w:t>
      </w:r>
    </w:p>
    <w:p>
      <w:pPr>
        <w:pStyle w:val="Normal"/>
        <w:ind w:hanging="720" w:start="720" w:end="0"/>
        <w:rPr>
          <w:bCs/>
        </w:rPr>
      </w:pPr>
      <w:r>
        <w:rPr>
          <w:bCs/>
        </w:rPr>
        <w:tab/>
        <w:tab/>
        <w:tab/>
        <w:tab/>
        <w:tab/>
        <w:tab/>
      </w:r>
    </w:p>
    <w:p>
      <w:pPr>
        <w:pStyle w:val="Normal"/>
        <w:ind w:hanging="720" w:start="720" w:end="0"/>
        <w:rPr/>
      </w:pPr>
      <w:r>
        <w:rPr/>
        <w:t>(b)</w:t>
        <w:tab/>
        <w:t xml:space="preserve">With respect to Cabrillo I, this information is not readily available.  Dynegy is looking for the source data that would be responsive, and we hope to produce these data this week.  With respect to Cabrillo II, based on the information Dynegy has reviewed thus far in an effort to answer this sub-request, we cannot ascertain whether individual units are operating on oil or gas in any one hour.  </w:t>
      </w:r>
    </w:p>
    <w:p>
      <w:pPr>
        <w:pStyle w:val="Normal"/>
        <w:ind w:hanging="720" w:start="720" w:end="0"/>
        <w:rPr/>
      </w:pPr>
      <w:r>
        <w:rPr/>
      </w:r>
    </w:p>
    <w:p>
      <w:pPr>
        <w:pStyle w:val="Normal"/>
        <w:ind w:hanging="720" w:start="720" w:end="0"/>
        <w:rPr/>
      </w:pPr>
      <w:r>
        <w:rPr/>
        <w:t>(c)</w:t>
        <w:tab/>
        <w:t xml:space="preserve">With respect to Cabrillo I, this information is not readily available.  Dynegy is looking for the source data that would be responsive, and we hope to produce these data this week.  With respect to Cabrillo II, based on the information Dynegy has reviewed thus far in an effort to answer this sub-request, we cannot ascertain the output (in MWs) during each hour in which a fuel other than natural gas was burned.  </w:t>
      </w:r>
    </w:p>
    <w:p>
      <w:pPr>
        <w:pStyle w:val="Normal"/>
        <w:ind w:hanging="720" w:start="720" w:end="0"/>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b/>
          <w:bCs/>
        </w:rPr>
      </w:pPr>
      <w:r>
        <w:rPr>
          <w:b/>
          <w:bCs/>
        </w:rPr>
        <w:t>Data Request No. 4</w:t>
      </w:r>
    </w:p>
    <w:p>
      <w:pPr>
        <w:pStyle w:val="Normal"/>
        <w:rPr/>
      </w:pPr>
      <w:r>
        <w:rPr/>
      </w:r>
    </w:p>
    <w:p>
      <w:pPr>
        <w:pStyle w:val="Normal"/>
        <w:rPr/>
      </w:pPr>
      <w:r>
        <w:rPr/>
        <w:t>Please provide a copy of all Heat Balances (gas) for your generating units in California.</w:t>
      </w:r>
    </w:p>
    <w:p>
      <w:pPr>
        <w:pStyle w:val="Normal"/>
        <w:rPr/>
      </w:pPr>
      <w:r>
        <w:rPr/>
      </w:r>
    </w:p>
    <w:p>
      <w:pPr>
        <w:pStyle w:val="Normal"/>
        <w:rPr/>
      </w:pPr>
      <w:r>
        <w:rPr/>
      </w:r>
    </w:p>
    <w:p>
      <w:pPr>
        <w:pStyle w:val="Normal"/>
        <w:rPr>
          <w:b/>
          <w:bCs/>
        </w:rPr>
      </w:pPr>
      <w:r>
        <w:rPr>
          <w:b/>
          <w:bCs/>
        </w:rPr>
        <w:t>Response to Data Request No. 4</w:t>
      </w:r>
    </w:p>
    <w:p>
      <w:pPr>
        <w:pStyle w:val="Normal"/>
        <w:rPr/>
      </w:pPr>
      <w:r>
        <w:rPr/>
      </w:r>
    </w:p>
    <w:p>
      <w:pPr>
        <w:pStyle w:val="Normal"/>
        <w:rPr>
          <w:i/>
          <w:i/>
          <w:iCs/>
        </w:rPr>
      </w:pPr>
      <w:r>
        <w:rPr/>
        <w:t xml:space="preserve">SCE has this information for Dynegy's Long Beach and El Segundo units, and SDG&amp;E has this information for Dynegy's Cabrillo units.  Dynegy is nonetheless in the process of gathering and copying information responsive to this request.    </w:t>
      </w:r>
    </w:p>
    <w:p>
      <w:pPr>
        <w:pStyle w:val="Normal"/>
        <w:rPr>
          <w:i/>
          <w:i/>
          <w:iCs/>
        </w:rPr>
      </w:pPr>
      <w:r>
        <w:rPr>
          <w:i/>
          <w:iCs/>
        </w:rPr>
      </w:r>
      <w:r>
        <w:br w:type="page"/>
      </w:r>
    </w:p>
    <w:p>
      <w:pPr>
        <w:pStyle w:val="Normal"/>
        <w:rPr>
          <w:i/>
          <w:i/>
          <w:iCs/>
        </w:rPr>
      </w:pPr>
      <w:r>
        <w:rPr>
          <w:i/>
          <w:iCs/>
        </w:rPr>
      </w:r>
    </w:p>
    <w:p>
      <w:pPr>
        <w:pStyle w:val="Normal"/>
        <w:rPr/>
      </w:pPr>
      <w:r>
        <w:rPr/>
      </w:r>
    </w:p>
    <w:p>
      <w:pPr>
        <w:pStyle w:val="Normal"/>
        <w:rPr>
          <w:b/>
          <w:bCs/>
        </w:rPr>
      </w:pPr>
      <w:r>
        <w:rPr>
          <w:b/>
          <w:bCs/>
        </w:rPr>
        <w:t>Data Request No. 6</w:t>
      </w:r>
    </w:p>
    <w:p>
      <w:pPr>
        <w:pStyle w:val="Normal"/>
        <w:rPr/>
      </w:pPr>
      <w:r>
        <w:rPr/>
      </w:r>
    </w:p>
    <w:p>
      <w:pPr>
        <w:pStyle w:val="Normal"/>
        <w:rPr/>
      </w:pPr>
      <w:r>
        <w:rPr/>
        <w:t>Please provide a list, along with the date, of all equipment and plant improvements performed on any of your generating units in California from April 1998 to present, including any minor and major unit overhauls.</w:t>
      </w:r>
    </w:p>
    <w:p>
      <w:pPr>
        <w:pStyle w:val="Normal"/>
        <w:rPr/>
      </w:pPr>
      <w:r>
        <w:rPr/>
      </w:r>
    </w:p>
    <w:p>
      <w:pPr>
        <w:pStyle w:val="Normal"/>
        <w:rPr/>
      </w:pPr>
      <w:r>
        <w:rPr/>
      </w:r>
    </w:p>
    <w:p>
      <w:pPr>
        <w:pStyle w:val="Normal"/>
        <w:rPr>
          <w:b/>
          <w:bCs/>
        </w:rPr>
      </w:pPr>
      <w:r>
        <w:rPr>
          <w:b/>
          <w:bCs/>
        </w:rPr>
        <w:t>Response to Data Request No. 6</w:t>
      </w:r>
    </w:p>
    <w:p>
      <w:pPr>
        <w:pStyle w:val="Normal"/>
        <w:rPr>
          <w:i/>
          <w:i/>
          <w:iCs/>
        </w:rPr>
      </w:pPr>
      <w:r>
        <w:rPr>
          <w:i/>
          <w:iCs/>
        </w:rPr>
      </w:r>
    </w:p>
    <w:p>
      <w:pPr>
        <w:pStyle w:val="Normal"/>
        <w:rPr/>
      </w:pPr>
      <w:r>
        <w:rPr/>
        <w:t xml:space="preserve">Dynegy is still gathering information responsive to this request.  We hope to produce it within the next two days. </w:t>
      </w:r>
      <w:r>
        <w:rPr>
          <w:i/>
          <w:iCs/>
        </w:rPr>
        <w:t xml:space="preserve">  </w:t>
      </w:r>
    </w:p>
    <w:p>
      <w:pPr>
        <w:pStyle w:val="Normal"/>
        <w:rPr/>
      </w:pPr>
      <w:r>
        <w:rPr/>
      </w:r>
    </w:p>
    <w:p>
      <w:pPr>
        <w:pStyle w:val="Normal"/>
        <w:rPr/>
      </w:pPr>
      <w:r>
        <w:rPr/>
      </w:r>
    </w:p>
    <w:p>
      <w:pPr>
        <w:pStyle w:val="Normal"/>
        <w:rPr/>
      </w:pPr>
      <w:r>
        <w:rPr/>
        <w:t xml:space="preserve">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4</w:t>
    </w:r>
    <w:r>
      <w:rPr/>
      <w:fldChar w:fldCharType="end"/>
    </w:r>
  </w:p>
  <w:p>
    <w:pPr>
      <w:pStyle w:val="Normal"/>
      <w:ind w:end="-14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4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 xml:space="preserve">FIRST SUPPLEMENTAL RESPONSES OF DYNEGY </w:t>
    </w:r>
  </w:p>
  <w:p>
    <w:pPr>
      <w:pStyle w:val="Header"/>
      <w:jc w:val="center"/>
      <w:rPr>
        <w:b/>
        <w:bCs/>
      </w:rPr>
    </w:pPr>
    <w:r>
      <w:rPr>
        <w:b/>
        <w:bCs/>
      </w:rPr>
      <w:t>TO THE  JOINT DATA REQUESTS OF PG&amp;E AND SCE</w:t>
    </w:r>
  </w:p>
  <w:p>
    <w:pPr>
      <w:pStyle w:val="Header"/>
      <w:jc w:val="center"/>
      <w:rPr>
        <w:b/>
        <w:bCs/>
      </w:rPr>
    </w:pPr>
    <w:r>
      <w:rPr>
        <w:b/>
        <w:bCs/>
      </w:rPr>
    </w:r>
  </w:p>
  <w:p>
    <w:pPr>
      <w:pStyle w:val="Header"/>
      <w:jc w:val="cent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Cs w:val="20"/>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1"/>
    </w:pPr>
    <w:rPr>
      <w:b/>
      <w:szCs w:val="20"/>
    </w:rPr>
  </w:style>
  <w:style w:type="character" w:styleId="WW8Num1z0">
    <w:name w:val="WW8Num1z0"/>
    <w:qFormat/>
    <w:rPr>
      <w:color w:val="000000"/>
    </w:rPr>
  </w:style>
  <w:style w:type="character" w:styleId="WW8Num1z6">
    <w:name w:val="WW8Num1z6"/>
    <w:qFormat/>
    <w:rPr/>
  </w:style>
  <w:style w:type="character" w:styleId="DefaultParagraphFont">
    <w:name w:val="Default Paragraph Font"/>
    <w:qFormat/>
    <w:rPr/>
  </w:style>
  <w:style w:type="character" w:styleId="PageNumber">
    <w:name w:val="page number"/>
    <w:basedOn w:val="DefaultParagraphFont"/>
    <w:rPr/>
  </w:style>
  <w:style w:type="character" w:styleId="TOCMark">
    <w:name w:val="TOC_Mark"/>
    <w:basedOn w:val="DefaultParagraphFont"/>
    <w:qFormat/>
    <w:rPr>
      <w:vanish/>
      <w:color w:val="FF0000"/>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paragraph" w:styleId="Heading">
    <w:name w:val="Heading"/>
    <w:basedOn w:val="Normal"/>
    <w:next w:val="BodyText"/>
    <w:qFormat/>
    <w:pPr>
      <w:jc w:val="center"/>
    </w:pPr>
    <w:rPr>
      <w:b/>
      <w:sz w:val="26"/>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2"/>
      </w:numPr>
      <w:spacing w:before="0" w:after="240"/>
      <w:outlineLvl w:val="0"/>
    </w:pPr>
    <w:rPr/>
  </w:style>
  <w:style w:type="paragraph" w:styleId="Default2">
    <w:name w:val="Default2"/>
    <w:basedOn w:val="Normal"/>
    <w:qFormat/>
    <w:pPr>
      <w:numPr>
        <w:ilvl w:val="0"/>
        <w:numId w:val="2"/>
      </w:numPr>
      <w:spacing w:before="0" w:after="240"/>
      <w:outlineLvl w:val="1"/>
    </w:pPr>
    <w:rPr/>
  </w:style>
  <w:style w:type="paragraph" w:styleId="Default3">
    <w:name w:val="Default3"/>
    <w:basedOn w:val="Normal"/>
    <w:qFormat/>
    <w:pPr>
      <w:numPr>
        <w:ilvl w:val="0"/>
        <w:numId w:val="2"/>
      </w:numPr>
      <w:tabs>
        <w:tab w:val="clear" w:pos="720"/>
      </w:tabs>
      <w:spacing w:before="0" w:after="240"/>
      <w:outlineLvl w:val="2"/>
    </w:pPr>
    <w:rPr/>
  </w:style>
  <w:style w:type="paragraph" w:styleId="Default4">
    <w:name w:val="Default4"/>
    <w:basedOn w:val="Normal"/>
    <w:qFormat/>
    <w:pPr>
      <w:numPr>
        <w:ilvl w:val="0"/>
        <w:numId w:val="2"/>
      </w:numPr>
      <w:spacing w:before="0" w:after="240"/>
      <w:ind w:hanging="720" w:start="2880" w:end="0"/>
      <w:outlineLvl w:val="3"/>
    </w:pPr>
    <w:rPr/>
  </w:style>
  <w:style w:type="paragraph" w:styleId="Default5">
    <w:name w:val="Default5"/>
    <w:basedOn w:val="Normal"/>
    <w:qFormat/>
    <w:pPr>
      <w:numPr>
        <w:ilvl w:val="0"/>
        <w:numId w:val="2"/>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2001-10-22T20:15:00Z</dcterms:created>
  <dc:creator/>
  <dc:description/>
  <dc:language>en-CA</dc:language>
  <cp:lastModifiedBy>USER</cp:lastModifiedBy>
  <cp:lastPrinted>2001-10-23T16:27:00Z</cp:lastPrinted>
  <dcterms:modified xsi:type="dcterms:W3CDTF">2001-10-23T19:11:00Z</dcterms:modified>
  <cp:revision>7</cp:revision>
  <dc:subject/>
  <dc:title/>
</cp:coreProperties>
</file>