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ATTACHMENT K</w:t>
      </w:r>
    </w:p>
    <w:p>
      <w:pPr>
        <w:pStyle w:val="Normal"/>
        <w:jc w:val="center"/>
        <w:rPr>
          <w:b/>
          <w:bCs/>
        </w:rPr>
      </w:pPr>
      <w:r>
        <w:rPr>
          <w:b/>
          <w:bCs/>
        </w:rPr>
        <w:t>GENERATOR INTERCONNECTION PROCEDURES</w:t>
      </w:r>
    </w:p>
    <w:p>
      <w:pPr>
        <w:pStyle w:val="Normal"/>
        <w:jc w:val="center"/>
        <w:rPr>
          <w:b/>
          <w:bCs/>
        </w:rPr>
      </w:pPr>
      <w:r>
        <w:rPr>
          <w:b/>
          <w:bCs/>
        </w:rPr>
      </w:r>
    </w:p>
    <w:p>
      <w:pPr>
        <w:pStyle w:val="Normal"/>
        <w:rPr>
          <w:b/>
          <w:bCs/>
        </w:rPr>
      </w:pPr>
      <w:r>
        <w:rPr>
          <w:b/>
          <w:bCs/>
        </w:rPr>
        <w:t>Preamble</w:t>
      </w:r>
    </w:p>
    <w:p>
      <w:pPr>
        <w:pStyle w:val="Normal"/>
        <w:rPr>
          <w:b/>
          <w:bCs/>
        </w:rPr>
      </w:pPr>
      <w:r>
        <w:rPr>
          <w:b/>
          <w:bCs/>
        </w:rPr>
      </w:r>
    </w:p>
    <w:p>
      <w:pPr>
        <w:pStyle w:val="Normal"/>
        <w:rPr/>
      </w:pPr>
      <w:r>
        <w:rPr/>
        <w:t>The Transmission Provider will interconnect new generating facilities to the Transmission System and will accommodate increases in the generating capacity of existing generation that is interconnected to the Transmission System pursuant to the terms of the Interconnection Procedures set out below.  These Interconnection Procedures apply to the interconnection of all such generation, including generation owned by the Transmission Provider and its affiliates, regardless of whether it is interconnected at transmission voltages or distribution voltages.  These Interconnection Procedures do not provide for transmission service on the Transmission System.  Transmission Service is provided pursuant to Parts II and III of the Transmission System.  Transmission Service from a new generator may not be requested before an Interconnection Request is submitted with respect to that generator.</w:t>
      </w:r>
    </w:p>
    <w:p>
      <w:pPr>
        <w:pStyle w:val="Normal"/>
        <w:rPr/>
      </w:pPr>
      <w:r>
        <w:rPr/>
      </w:r>
    </w:p>
    <w:p>
      <w:pPr>
        <w:pStyle w:val="Normal"/>
        <w:numPr>
          <w:ilvl w:val="0"/>
          <w:numId w:val="5"/>
        </w:numPr>
        <w:spacing w:before="0" w:after="240"/>
        <w:rPr/>
      </w:pPr>
      <w:bookmarkStart w:id="0" w:name="ParaMarkHold"/>
      <w:bookmarkEnd w:id="0"/>
      <w:r>
        <w:rPr>
          <w:b/>
          <w:bCs/>
        </w:rPr>
        <w:t>Generator Interconnection Requests</w:t>
      </w:r>
    </w:p>
    <w:p>
      <w:pPr>
        <w:pStyle w:val="Normal"/>
        <w:numPr>
          <w:ilvl w:val="1"/>
          <w:numId w:val="5"/>
        </w:numPr>
        <w:spacing w:before="0" w:after="240"/>
        <w:rPr/>
      </w:pPr>
      <w:r>
        <w:rPr>
          <w:b/>
          <w:bCs/>
        </w:rPr>
        <w:t xml:space="preserve">Submission of Interconnection Request: </w:t>
      </w:r>
      <w:r>
        <w:rPr/>
        <w:t>An Eligible Customer that desires to interconnect a new generator to the Transmission System or to increase the generating capacity of a generator that is already interconnected to the Transmission System  (an "Interconnection Customer") shall submit to the Transmission Provider by telecopy an Interconnection Request in the form set out in Attachment K-1 ("Interconnection Request").  An Interconnection Customer may withdraw its Interconnection Request at any time pursuant to telecopied notice to the Transmission Provider.  The Transmission Provider shall notify the Interconnection Customer, within 15 days of receipt of an Interconnection Request, if the Interconnection Request fails to meet the requirements of these Interconnection Procedures.</w:t>
      </w:r>
    </w:p>
    <w:p>
      <w:pPr>
        <w:pStyle w:val="Normal"/>
        <w:numPr>
          <w:ilvl w:val="1"/>
          <w:numId w:val="5"/>
        </w:numPr>
        <w:spacing w:before="0" w:after="240"/>
        <w:rPr/>
      </w:pPr>
      <w:r>
        <w:rPr>
          <w:b/>
          <w:bCs/>
        </w:rPr>
        <w:t>Initial Deposit:</w:t>
      </w:r>
      <w:r>
        <w:rPr/>
        <w:t xml:space="preserve">  The Interconnection Customer shall submit to the Transmission Provider a deposit in the amount of $10,000 which must be received by the Transmission Provider not later than three business days after the Interconnection Customer submits its Interconnection Request.  The Transmission Provider will apply the deposit to the cost of evaluating the Interconnection Request and will return any portion of the deposit that is not needed to defray that cost.</w:t>
      </w:r>
    </w:p>
    <w:p>
      <w:pPr>
        <w:pStyle w:val="Normal"/>
        <w:numPr>
          <w:ilvl w:val="1"/>
          <w:numId w:val="5"/>
        </w:numPr>
        <w:spacing w:before="0" w:after="240"/>
        <w:rPr/>
      </w:pPr>
      <w:r>
        <w:rPr>
          <w:b/>
          <w:bCs/>
        </w:rPr>
        <w:t>Posting of Interconnection Requests:</w:t>
      </w:r>
      <w:r>
        <w:rPr/>
        <w:t xml:space="preserve">  The Transmission Provider will maintain on its OASIS information on the status of each pending Interconnection Request.  The OASIS posting will include the date and time of the request, the size (in Megawatts) of the proposed generation capacity addition, the location of the generation capacity addition and the station or transmission line(s) where the proposed generation capacity addition is likely to be interconnected, the projected in-service date of the generator, the status of the interconnection process and the availability of any studies related to the Interconnection Request.  The OASIS posting will not disclose the identity of the Interconnection Customer until the Transmission Provider tenders the Facility Interconnection and Operation Agreement for filing with the Commission.</w:t>
      </w:r>
    </w:p>
    <w:p>
      <w:pPr>
        <w:pStyle w:val="Normal"/>
        <w:numPr>
          <w:ilvl w:val="1"/>
          <w:numId w:val="5"/>
        </w:numPr>
        <w:spacing w:before="0" w:after="240"/>
        <w:rPr/>
      </w:pPr>
      <w:r>
        <w:rPr>
          <w:b/>
          <w:bCs/>
        </w:rPr>
        <w:t>Posting of Technical Data:</w:t>
      </w:r>
      <w:r>
        <w:rPr/>
        <w:t xml:space="preserve">  The Transmission Provider will provide on its OASIS information on the technical data that are typically required from an Interconnection Customer when it completes an Interconnection Impact Study Agreement.</w:t>
      </w:r>
    </w:p>
    <w:p>
      <w:pPr>
        <w:pStyle w:val="Normal"/>
        <w:numPr>
          <w:ilvl w:val="0"/>
          <w:numId w:val="5"/>
        </w:numPr>
        <w:spacing w:before="0" w:after="240"/>
        <w:rPr/>
      </w:pPr>
      <w:r>
        <w:rPr>
          <w:b/>
          <w:bCs/>
        </w:rPr>
        <w:t>Interconnection Queue</w:t>
      </w:r>
    </w:p>
    <w:p>
      <w:pPr>
        <w:pStyle w:val="Normal"/>
        <w:numPr>
          <w:ilvl w:val="1"/>
          <w:numId w:val="5"/>
        </w:numPr>
        <w:spacing w:before="0" w:after="240"/>
        <w:rPr/>
      </w:pPr>
      <w:r>
        <w:rPr>
          <w:b/>
          <w:bCs/>
        </w:rPr>
        <w:t>Queue Priority:</w:t>
      </w:r>
      <w:r>
        <w:rPr/>
        <w:t xml:space="preserve">  The Transmission Provider shall evaluate Interconnection Requests on a first-come, first-served basis, and will include in the evaluation all pending higher-queued Interconnection Requests.  The position of each Interconnection Request in the queue shall be based on the date and time when the Transmission Provider receives a telecopied, completed Interconnection Request, provided that the Interconnection Customer submits the deposit as required by Section 1.2.  If the Interconnection Customer does not comply with the time requirements set out in these Interconnection Procedures for providing a deposit, interconnection information and documents to the Transmission Provider, the Transmission Provider shall refuse the Interconnection Request and the Interconnection Customer shall lose its queue priority.</w:t>
      </w:r>
    </w:p>
    <w:p>
      <w:pPr>
        <w:pStyle w:val="Normal"/>
        <w:numPr>
          <w:ilvl w:val="1"/>
          <w:numId w:val="5"/>
        </w:numPr>
        <w:spacing w:before="0" w:after="240"/>
        <w:rPr/>
      </w:pPr>
      <w:r>
        <w:rPr>
          <w:b/>
          <w:bCs/>
        </w:rPr>
        <w:t>Changes in Interconnection Information:</w:t>
      </w:r>
      <w:r>
        <w:rPr/>
        <w:t xml:space="preserve">  An Interconnection Customer may submit by telecopy changes to any of the information provided in its Interconnection Request, its Interconnection Impact Study Agreement or its Interconnection Facilities Study Agreement.  In such event the Interconnection Customer shall retain its queue priority only if the changes do not materially affect its interconnection, the results of the Interconnection Customer's Interconnection Impact Study, the results of the Interconnection Customer's Interconnection Facilities Study, or the interconnection of any other Interconnection Customer in the queue.</w:t>
      </w:r>
    </w:p>
    <w:p>
      <w:pPr>
        <w:pStyle w:val="Normal"/>
        <w:numPr>
          <w:ilvl w:val="1"/>
          <w:numId w:val="5"/>
        </w:numPr>
        <w:spacing w:before="0" w:after="240"/>
        <w:rPr/>
      </w:pPr>
      <w:r>
        <w:rPr>
          <w:b/>
          <w:bCs/>
        </w:rPr>
        <w:t>Pending Interconnection Requests:</w:t>
      </w:r>
      <w:r>
        <w:rPr/>
        <w:t xml:space="preserve">  For Interconnection Requests received prior to the effective date of this Attachment K, the queue date and time will be established by the earlier of (i) the date and time that any facsimile, electronic mail, or other written request for interconnection was received by PGEC, or (ii) if an informal request to evaluate such interconnection was made, the earlier of the date that such informal request was made, the date that information was provided to PGEC that indicated the Interconnection Customer's interest in evaluating such interconnection, or the date that PGEC commenced an evaluation of such interconnection.  The Interconnection Customer shall comply with all requirements that are established by these Interconnection Procedures that become applicable to the Interconnection Customer's request for interconnection on or after the effective date of these Interconnection Procedures.  The Interconnection Customer will retain its queue priority under this section if, within 15 days from the date of the Commission's order accepting this Attachment K for filing, the Interconnection Customer submits an Interconnection Request in compliance with this Attachment K.</w:t>
      </w:r>
    </w:p>
    <w:p>
      <w:pPr>
        <w:pStyle w:val="Normal"/>
        <w:numPr>
          <w:ilvl w:val="0"/>
          <w:numId w:val="5"/>
        </w:numPr>
        <w:spacing w:before="0" w:after="240"/>
        <w:rPr/>
      </w:pPr>
      <w:r>
        <w:rPr>
          <w:b/>
          <w:bCs/>
        </w:rPr>
        <w:t>Interconnection Impact Study</w:t>
      </w:r>
    </w:p>
    <w:p>
      <w:pPr>
        <w:pStyle w:val="Normal"/>
        <w:numPr>
          <w:ilvl w:val="1"/>
          <w:numId w:val="5"/>
        </w:numPr>
        <w:spacing w:before="0" w:after="240"/>
        <w:rPr>
          <w:spacing w:val="-2"/>
        </w:rPr>
      </w:pPr>
      <w:r>
        <w:rPr>
          <w:b/>
          <w:bCs/>
          <w:spacing w:val="-2"/>
        </w:rPr>
        <w:t xml:space="preserve">Interconnection Impact Study Agreement:  </w:t>
      </w:r>
      <w:r>
        <w:rPr>
          <w:spacing w:val="-2"/>
        </w:rPr>
        <w:t>Within 15 days of its receipt of a completed Interconnection Request, the Transmission Provider shall provide to the Interconnection Customer an agreement providing for the Transmission Provider to conduct an evaluation of the impact of the interconnection on the Transmission System (an Interconnection Impact Study Agreement").  The Interconnection Impact Study Agreement will define the scope of the Interconnection Impact Study, specify the Transmission Provider's estimates of the cost to complete the study and the time for completion of the study, and specify the technical data that the Interconnection Customer must provide in order for the Transmission Provider to complete the study.  The Interconnection Impact Study Agreement also shall provide that the Interconnection Customer shall pay the entire cost of completion of the Interconnection Impact Study, including any additional studies that are necessitated by higher-queued Interconnection Customers losing their queue priority.  The Interconnection Customer must provide the completed Interconnection Impact Study Agreement (including the required technical data) to the Transmission Provider within 15 days of its receipt or the Transmission Provider will refuse the Interconnection Request as provided in Section 2.1.</w:t>
      </w:r>
    </w:p>
    <w:p>
      <w:pPr>
        <w:pStyle w:val="Normal"/>
        <w:numPr>
          <w:ilvl w:val="1"/>
          <w:numId w:val="5"/>
        </w:numPr>
        <w:spacing w:before="0" w:after="240"/>
        <w:rPr/>
      </w:pPr>
      <w:r>
        <w:rPr>
          <w:b/>
          <w:bCs/>
        </w:rPr>
        <w:t>Interconnection Impact Study Procedures:</w:t>
      </w:r>
      <w:r>
        <w:rPr/>
        <w:t xml:space="preserve">  The Transmission Provider will make use of existing studies to the extent practicable.  The Transmission Provider will use due diligence to complete the Interconnection Impact Study within 60 days of receipt of a completed Interconnection Impact Study Agreement.  If the Transmission Provider is unable to complete the Interconnection Impact Study within such time period, it shall notify the Interconnection Customer and provide an estimated completion date along with an explanation of the reasons why additional time is needed.  The Transmission Provider will provide  a copy of the Interconnection Impact Study to the Interconnection Customer, including an estimate of time necessary to complete the Interconnection Facilities Study, and will provide related work papers on the request.</w:t>
      </w:r>
    </w:p>
    <w:p>
      <w:pPr>
        <w:pStyle w:val="Normal"/>
        <w:numPr>
          <w:ilvl w:val="1"/>
          <w:numId w:val="5"/>
        </w:numPr>
        <w:spacing w:before="0" w:after="240"/>
        <w:rPr/>
      </w:pPr>
      <w:r>
        <w:rPr>
          <w:b/>
          <w:bCs/>
        </w:rPr>
        <w:t>Scope of Interconnection Impact Study:</w:t>
      </w:r>
      <w:r>
        <w:rPr/>
        <w:t xml:space="preserve">  The Interconnection Impact Study is an assessment of the impact of the proposed interconnection on the reliability of the Transmission System.  There are three components to an Interconnection Impact Study:</w:t>
      </w:r>
    </w:p>
    <w:p>
      <w:pPr>
        <w:pStyle w:val="Normal"/>
        <w:numPr>
          <w:ilvl w:val="2"/>
          <w:numId w:val="5"/>
        </w:numPr>
        <w:spacing w:before="0" w:after="240"/>
        <w:rPr/>
      </w:pPr>
      <w:r>
        <w:rPr/>
        <w:t>A short circuit analysis that evaluates the impact of the proposed generation capacity addition on the Transmission System's short circuit capability.</w:t>
      </w:r>
    </w:p>
    <w:p>
      <w:pPr>
        <w:pStyle w:val="Normal"/>
        <w:numPr>
          <w:ilvl w:val="2"/>
          <w:numId w:val="5"/>
        </w:numPr>
        <w:spacing w:before="0" w:after="240"/>
        <w:rPr/>
      </w:pPr>
      <w:r>
        <w:rPr/>
        <w:t>A stability study that (a) assesses the ability of the proposed generation facility to remain in synchronism following credible system events, including faults, (b) assesses the adequacy of damping of generation/transmission oscillations and (c) evaluates the impact on stability performance of other generators.</w:t>
      </w:r>
    </w:p>
    <w:p>
      <w:pPr>
        <w:pStyle w:val="Normal"/>
        <w:numPr>
          <w:ilvl w:val="2"/>
          <w:numId w:val="5"/>
        </w:numPr>
        <w:spacing w:before="0" w:after="240"/>
        <w:rPr/>
      </w:pPr>
      <w:r>
        <w:rPr/>
        <w:t>A power flow study that evaluates the impact on the Transmission System of injecting power at the point of interconnection.  The power flow study will be conducted by modeling the proposed generator at full output and scaling down generation that is directly connected to the Transmission System and proposed generation that is higher in the interconnection queue.</w:t>
      </w:r>
    </w:p>
    <w:p>
      <w:pPr>
        <w:pStyle w:val="Normal"/>
        <w:numPr>
          <w:ilvl w:val="0"/>
          <w:numId w:val="5"/>
        </w:numPr>
        <w:spacing w:before="0" w:after="240"/>
        <w:rPr/>
      </w:pPr>
      <w:r>
        <w:rPr>
          <w:b/>
          <w:bCs/>
        </w:rPr>
        <w:t xml:space="preserve">Interconnection Facilities Study </w:t>
      </w:r>
    </w:p>
    <w:p>
      <w:pPr>
        <w:pStyle w:val="Normal"/>
        <w:numPr>
          <w:ilvl w:val="1"/>
          <w:numId w:val="5"/>
        </w:numPr>
        <w:spacing w:before="0" w:after="240"/>
        <w:rPr/>
      </w:pPr>
      <w:r>
        <w:rPr>
          <w:b/>
          <w:bCs/>
        </w:rPr>
        <w:t xml:space="preserve">Interconnection Facilities Study Agreement:  </w:t>
      </w:r>
      <w:r>
        <w:rPr/>
        <w:t>At the time it provides the Interconnection Impact Study, the Transmission Provider shall provide to the Interconnection Customer an agreement providing for the Transmission Provider to conduct an engineering study of the modifications to the Transmission System ("Interconnection Facilities Study Agreement").  The Interconnection Facilities Study Agreement will define the scope of the Interconnection Facilities Study, specify the Transmission Provider's estimates of the cost to complete the study and the time for completion of the study, and provide any additional information the Interconnection Customer must provide to the Transmission Provider.  The Study Agreement shall provide that the Interconnection Customer will pay the entire cost of completion of the Interconnection Facilities Study, including any additional studies that are necessitated by higher-queued Interconnection Customers losing their queue priority or by changes or operation of other transmission systems.  The Interconnection Customer must execute the Interconnection Facilities Study Agreement and submit an additional deposit of $50,000 both of which must be received by the Transmission Provider not later than 21 days after the Interconnection Customer receives the Agreement or the Transmission Provider will refuse the Interconnection Request as provided in Section 2.1.  The Transmission Provider may in its discretion reduce the deposit requirement for requests to interconnect generators of less than 5 MW, to reflect the anticipated cost of the Interconnection Facilities Study.  The Transmission Provider will apply the deposit to the cost of conducting the Interconnection Facilities Study and will return any portion of the deposit that is not required to defray that cost.</w:t>
      </w:r>
    </w:p>
    <w:p>
      <w:pPr>
        <w:pStyle w:val="Normal"/>
        <w:numPr>
          <w:ilvl w:val="1"/>
          <w:numId w:val="5"/>
        </w:numPr>
        <w:spacing w:before="0" w:after="240"/>
        <w:rPr/>
      </w:pPr>
      <w:r>
        <w:rPr>
          <w:b/>
          <w:bCs/>
        </w:rPr>
        <w:t>Interconnection Facilities Study Procedures:</w:t>
      </w:r>
      <w:r>
        <w:rPr/>
        <w:t xml:space="preserve">  The Transmission Provider will make use of existing studies to the extent practicable.  The Transmission Provider will use due diligence to complete the Interconnection Facilities Study within 90 days of receipt of a completed Interconnection Facilities Study Agreement.  If the Transmission Provider is unable to complete the Interconnection Facilities Study within such time period, it shall notify the Interconnection Customer and provide an estimated completion date along with an explanation of the reasons why additional time is needed.  The Transmission Provider will provide a copy of the Interconnection Facilities Study to the Interconnection Customer and will provide related work papers on request.</w:t>
      </w:r>
    </w:p>
    <w:p>
      <w:pPr>
        <w:pStyle w:val="Normal"/>
        <w:numPr>
          <w:ilvl w:val="1"/>
          <w:numId w:val="5"/>
        </w:numPr>
        <w:spacing w:before="0" w:after="240"/>
        <w:rPr/>
      </w:pPr>
      <w:r>
        <w:rPr>
          <w:b/>
          <w:bCs/>
        </w:rPr>
        <w:t>Scope of Interconnection Facilities Study:</w:t>
      </w:r>
      <w:r>
        <w:rPr/>
        <w:t xml:space="preserve">  The Interconnection Facilities Study will determine what Interconnection Facilities are necessary to complete the physical connection between the generator and the Transmission System and to address any reliability problems identifies in the Interconnection Impact Study.  Interconnection Facilities consist of (i) the Transmission Connection Facilities, which are facilities located between the interconnection point to the Interconnection Customer's generation facilities and the Transmission Provider's networked transmission grid; and (ii) the Network Upgrades that are necessary to accommodate the Interconnection Request, which consist of (a) Network Upgrades necessary to remove overloads and (b) Network Upgrades needed to remedy short-circuit or stability problems resulting from the connection of the new generating facilities or the increased generating capacity to the Transmission System.  The Interconnection Facilities Study will identify the configuration of the Interconnection Facilities equipment, including any necessary modifications or additions to the Transmission Provider's transmission lines and substations.  The Interconnection Facilities Study also will include good faith estimates of the cost to accommodate the Interconnection Request and the time needed to complete the interconnection.</w:t>
      </w:r>
    </w:p>
    <w:p>
      <w:pPr>
        <w:pStyle w:val="Normal"/>
        <w:keepNext w:val="true"/>
        <w:numPr>
          <w:ilvl w:val="0"/>
          <w:numId w:val="5"/>
        </w:numPr>
        <w:spacing w:before="0" w:after="240"/>
        <w:rPr/>
      </w:pPr>
      <w:r>
        <w:rPr>
          <w:b/>
          <w:bCs/>
        </w:rPr>
        <w:t>Early Initiation of Interconnection Activities</w:t>
      </w:r>
    </w:p>
    <w:p>
      <w:pPr>
        <w:pStyle w:val="Normal"/>
        <w:keepNext w:val="true"/>
        <w:spacing w:before="0" w:after="240"/>
        <w:ind w:start="720" w:end="0"/>
        <w:rPr/>
      </w:pPr>
      <w:r>
        <w:rPr/>
        <w:t>At any time after the Interconnection Customer executes the Interconnection Facilities Study Agreement, it may request the Transmission Provider to provide it a letter agreement providing for the Transmission Provider to begin engineering and design activities, the procurement of long-lead time items and/or construction activities necessary for the establishment of the interconnection.  The letter agreement will provide for the Interconnection Customer to provide the information the Transmission Provider needs to complete such work and to pay all of the costs of such activities and equipment that are prudently incurred by the Transmission Provider, and shall provide for a guarantee in the form set out in Section 6.3.</w:t>
      </w:r>
    </w:p>
    <w:p>
      <w:pPr>
        <w:pStyle w:val="Normal"/>
        <w:numPr>
          <w:ilvl w:val="0"/>
          <w:numId w:val="5"/>
        </w:numPr>
        <w:spacing w:before="0" w:after="240"/>
        <w:rPr/>
      </w:pPr>
      <w:r>
        <w:rPr>
          <w:b/>
          <w:bCs/>
        </w:rPr>
        <w:t>Facility Interconnection and Operation Agreement</w:t>
      </w:r>
    </w:p>
    <w:p>
      <w:pPr>
        <w:pStyle w:val="Normal"/>
        <w:numPr>
          <w:ilvl w:val="1"/>
          <w:numId w:val="5"/>
        </w:numPr>
        <w:spacing w:before="0" w:after="240"/>
        <w:rPr/>
      </w:pPr>
      <w:r>
        <w:rPr>
          <w:b/>
          <w:bCs/>
        </w:rPr>
        <w:t xml:space="preserve">Tender and Execution of Agreement:  </w:t>
      </w:r>
      <w:r>
        <w:rPr/>
        <w:t>The Transmission Provider will tender a Facility Interconnection and Operation Agreement to the Interconnection Customer no later than 30 days after it provides the Interconnection Facilities Study to the Interconnection Customer.  The Interconnection Customer shall, not later than 90 days after receipt of the Facility Interconnection and Operation Agreement, provide the guarantee required by Section 6.3 and either execute the Agreement and return it to the Transmission Provider or request the Transmission Provider to file an unexecuted Agreement with the Commission and agree to abide by all of the terms of the Agreement, as modified by the Commission.  The Transmission Provider shall file an unexecuted Agreement with the Commission within 30 days of receiving a request to do so.</w:t>
      </w:r>
    </w:p>
    <w:p>
      <w:pPr>
        <w:pStyle w:val="Normal"/>
        <w:numPr>
          <w:ilvl w:val="1"/>
          <w:numId w:val="5"/>
        </w:numPr>
        <w:spacing w:before="0" w:after="240"/>
        <w:rPr/>
      </w:pPr>
      <w:r>
        <w:rPr>
          <w:b/>
          <w:bCs/>
        </w:rPr>
        <w:t>Terms of Agreement:</w:t>
      </w:r>
      <w:r>
        <w:rPr/>
        <w:t xml:space="preserve">  The Facility Interconnection and Operation Agreement will address matters related to the interconnection of the generator to the Transmission System, including without limitation the construction of Interconnection Facilities, generator operation, interconnection cost and billing, credits for Network Upgrades, defaults and remedies, insurance and liability.  The Agreement will provide that the Interconnection Customer must make reasonable progress toward placing the generator in service or it will lose its queue priority.</w:t>
      </w:r>
    </w:p>
    <w:p>
      <w:pPr>
        <w:pStyle w:val="Normal"/>
        <w:numPr>
          <w:ilvl w:val="1"/>
          <w:numId w:val="5"/>
        </w:numPr>
        <w:spacing w:before="0" w:after="240"/>
        <w:rPr/>
      </w:pPr>
      <w:r>
        <w:rPr>
          <w:b/>
          <w:bCs/>
        </w:rPr>
        <w:t>Guarantee:</w:t>
      </w:r>
      <w:r>
        <w:rPr/>
        <w:t xml:space="preserve">  The Interconnection Customer shall provide the Transmission Provider a guarantee, in a form acceptable to the Transmission Provider, of payment in an amount equal to the Transmission Provider's estimated cost of establishing the interconnection consistent with commercial practices as established by the Uniform Commercial Code.</w:t>
      </w:r>
    </w:p>
    <w:p>
      <w:pPr>
        <w:pStyle w:val="Normal"/>
        <w:keepNext w:val="true"/>
        <w:numPr>
          <w:ilvl w:val="0"/>
          <w:numId w:val="5"/>
        </w:numPr>
        <w:spacing w:before="0" w:after="240"/>
        <w:rPr/>
      </w:pPr>
      <w:r>
        <w:rPr>
          <w:b/>
          <w:bCs/>
        </w:rPr>
        <w:t>Ownership and Cost Responsibility</w:t>
      </w:r>
    </w:p>
    <w:p>
      <w:pPr>
        <w:pStyle w:val="Normal"/>
        <w:keepNext w:val="true"/>
        <w:numPr>
          <w:ilvl w:val="1"/>
          <w:numId w:val="5"/>
        </w:numPr>
        <w:spacing w:before="0" w:after="240"/>
        <w:rPr/>
      </w:pPr>
      <w:r>
        <w:rPr>
          <w:b/>
          <w:bCs/>
        </w:rPr>
        <w:t xml:space="preserve">Ownership of Facilities:  </w:t>
      </w:r>
      <w:r>
        <w:rPr/>
        <w:t>The Interconnection Customer shall construct, own, operate and maintain all facilities that connect the Interconnection Customer's generator the to Interconnection Facilities. The Transmission Provider shall construct, own, operate and maintain all Interconnection Facilities.</w:t>
      </w:r>
    </w:p>
    <w:p>
      <w:pPr>
        <w:pStyle w:val="Normal"/>
        <w:numPr>
          <w:ilvl w:val="1"/>
          <w:numId w:val="5"/>
        </w:numPr>
        <w:spacing w:before="0" w:after="240"/>
        <w:rPr/>
      </w:pPr>
      <w:r>
        <w:rPr>
          <w:b/>
          <w:bCs/>
        </w:rPr>
        <w:t>Responsibility for Costs:</w:t>
      </w:r>
      <w:r>
        <w:rPr/>
        <w:t xml:space="preserve">  The Interconnection Customer is responsible for all costs incurred with respect to facilities that connect the Interconnection Customer's generator to the Interconnection Facilities.  The Interconnection Customer also is responsible for all costs that the Transmission Provider prudently incurs or becomes obligated to pay with respect the Interconnection Request through the date of the withdrawal or refusal.  All Interconnection Facilities are Direct Assignment Facilities.</w:t>
      </w:r>
    </w:p>
    <w:p>
      <w:pPr>
        <w:pStyle w:val="Normal"/>
        <w:numPr>
          <w:ilvl w:val="1"/>
          <w:numId w:val="5"/>
        </w:numPr>
        <w:spacing w:before="0" w:after="240"/>
        <w:rPr/>
      </w:pPr>
      <w:r>
        <w:rPr>
          <w:b/>
          <w:bCs/>
        </w:rPr>
        <w:t>Credit for Payments for Network Upgrades:</w:t>
      </w:r>
      <w:r>
        <w:rPr/>
        <w:t xml:space="preserve">  The Interconnection Customer is entitled to a credit, in an amount equal to the cost of the portion of the Interconnection Facilities that are Network Upgrades necessary to remove overloads, against the cost of Point-To-Point Transmission Service or Network Transmission Service from the generator with respect to which such Network Upgrades were constructed.  The credit has no expiration date.  The Interconnection Customer may assign rights to the credit to any Transmission Customer that takes transmission service from that generator.  The Transmission Customer is not entitled to a credit for Transmission Connection Facilities or Network Upgrades needed to remedy short-circuit or stability problems resulting from the connection of the new generating facilities or the increased generating capacity to the Transmission System, as defined in Section 4.3.</w:t>
      </w:r>
      <w:r>
        <w:br w:type="page"/>
      </w:r>
    </w:p>
    <w:p>
      <w:pPr>
        <w:pStyle w:val="Normal"/>
        <w:spacing w:before="0" w:after="240"/>
        <w:jc w:val="center"/>
        <w:rPr>
          <w:b/>
          <w:bCs/>
        </w:rPr>
      </w:pPr>
      <w:r>
        <w:rPr>
          <w:b/>
          <w:bCs/>
        </w:rPr>
        <w:t>ATTACHMENT K-1</w:t>
      </w:r>
    </w:p>
    <w:p>
      <w:pPr>
        <w:pStyle w:val="Normal"/>
        <w:spacing w:before="0" w:after="240"/>
        <w:ind w:start="360" w:end="0"/>
        <w:jc w:val="center"/>
        <w:rPr>
          <w:b/>
          <w:bCs/>
        </w:rPr>
      </w:pPr>
      <w:r>
        <w:rPr>
          <w:b/>
          <w:bCs/>
        </w:rPr>
        <w:t xml:space="preserve">REQUEST FOR INTERCONNECTION OF </w:t>
        <w:br/>
        <w:t>GENERATION WITH PGEC TRANSMISSION SYSTEM</w:t>
      </w:r>
    </w:p>
    <w:p>
      <w:pPr>
        <w:pStyle w:val="Normal"/>
        <w:numPr>
          <w:ilvl w:val="0"/>
          <w:numId w:val="3"/>
        </w:numPr>
        <w:spacing w:before="0" w:after="240"/>
        <w:rPr/>
      </w:pPr>
      <w:r>
        <w:rPr/>
        <w:t>The undersigned Interconnection Customer submits this request to interconnect and operate generation interconnected with the Portland General Electric Company ("PGEC") Transmission System pursuant to Attachment K to PGEC's Open Access Transmission Tariff.</w:t>
      </w:r>
    </w:p>
    <w:p>
      <w:pPr>
        <w:pStyle w:val="Normal"/>
        <w:numPr>
          <w:ilvl w:val="0"/>
          <w:numId w:val="3"/>
        </w:numPr>
        <w:spacing w:before="0" w:after="240"/>
        <w:rPr/>
      </w:pPr>
      <w:r>
        <w:rPr/>
        <w:t>An Interconnection Customer requesting interconnection of a new generating project to the PGEC Transmission System or an increase in the capacity of an existing generator must provide the following:</w:t>
      </w:r>
    </w:p>
    <w:p>
      <w:pPr>
        <w:pStyle w:val="Normal"/>
        <w:numPr>
          <w:ilvl w:val="1"/>
          <w:numId w:val="3"/>
        </w:numPr>
        <w:spacing w:before="0" w:after="240"/>
        <w:rPr/>
      </w:pPr>
      <w:r>
        <w:rPr/>
        <w:t>Description of the location of the proposed generating plant site and a USGS map showing the location of the generator and the proposed point(s) of interconnection to the Transmission System:</w:t>
        <w:br/>
        <w:t>____________________________________________________________</w:t>
        <w:br/>
        <w:t>____________________________________________________________</w:t>
      </w:r>
    </w:p>
    <w:p>
      <w:pPr>
        <w:pStyle w:val="Normal"/>
        <w:numPr>
          <w:ilvl w:val="1"/>
          <w:numId w:val="3"/>
        </w:numPr>
        <w:spacing w:before="0" w:after="240"/>
        <w:rPr/>
      </w:pPr>
      <w:r>
        <w:rPr/>
        <w:t>Summer and winter Maximum Net Dependable Capacity of generating unit(s) or increase in capacity of existing generating unit(s):</w:t>
        <w:br/>
        <w:t>____________________________________________________________</w:t>
        <w:br/>
        <w:t>____________________________________________________________</w:t>
      </w:r>
    </w:p>
    <w:p>
      <w:pPr>
        <w:pStyle w:val="Normal"/>
        <w:numPr>
          <w:ilvl w:val="1"/>
          <w:numId w:val="3"/>
        </w:numPr>
        <w:spacing w:before="0" w:after="240"/>
        <w:rPr/>
      </w:pPr>
      <w:r>
        <w:rPr/>
        <w:t>Description of the equipment configuration and proposed connection one-line diagram:</w:t>
        <w:br/>
        <w:t>____________________________________________________________</w:t>
        <w:br/>
        <w:t>____________________________________________________________</w:t>
      </w:r>
    </w:p>
    <w:p>
      <w:pPr>
        <w:pStyle w:val="Normal"/>
        <w:numPr>
          <w:ilvl w:val="1"/>
          <w:numId w:val="3"/>
        </w:numPr>
        <w:spacing w:before="0" w:after="240"/>
        <w:rPr/>
      </w:pPr>
      <w:r>
        <w:rPr/>
        <w:t>Day, month and year that the new generating unit(s) or increase in capacity of the existing generating unit(s) are projected to go into service:</w:t>
        <w:br/>
        <w:t>____________________________________________________________</w:t>
        <w:br/>
        <w:t>____________________________________________________________</w:t>
      </w:r>
    </w:p>
    <w:p>
      <w:pPr>
        <w:pStyle w:val="Normal"/>
        <w:numPr>
          <w:ilvl w:val="1"/>
          <w:numId w:val="3"/>
        </w:numPr>
        <w:spacing w:before="0" w:after="240"/>
        <w:rPr/>
      </w:pPr>
      <w:r>
        <w:rPr/>
        <w:t>Type and planned use (base load, intermediate or peaking) of generating unit(s):</w:t>
        <w:br/>
        <w:t>____________________________________________________________</w:t>
        <w:br/>
        <w:t>____________________________________________________________</w:t>
      </w:r>
    </w:p>
    <w:p>
      <w:pPr>
        <w:pStyle w:val="Normal"/>
        <w:numPr>
          <w:ilvl w:val="1"/>
          <w:numId w:val="3"/>
        </w:numPr>
        <w:spacing w:before="0" w:after="240"/>
        <w:rPr/>
      </w:pPr>
      <w:r>
        <w:rPr/>
        <w:t>Name, address, telephone number and e-mail address of the contact person:</w:t>
        <w:br/>
        <w:t>____________________________________________________________</w:t>
        <w:br/>
        <w:t>____________________________________________________________</w:t>
      </w:r>
    </w:p>
    <w:p>
      <w:pPr>
        <w:pStyle w:val="Normal"/>
        <w:numPr>
          <w:ilvl w:val="0"/>
          <w:numId w:val="3"/>
        </w:numPr>
        <w:spacing w:before="0" w:after="240"/>
        <w:rPr/>
      </w:pPr>
      <w:r>
        <w:rPr/>
        <w:t>This request for Interconnection shall be made to the representative of PGEC, whose name is posted on PGEC's OASIS.</w:t>
      </w:r>
    </w:p>
    <w:p>
      <w:pPr>
        <w:pStyle w:val="Normal"/>
        <w:numPr>
          <w:ilvl w:val="0"/>
          <w:numId w:val="3"/>
        </w:numPr>
        <w:spacing w:before="0" w:after="240"/>
        <w:rPr/>
      </w:pPr>
      <w:r>
        <w:rPr/>
        <w:t>I, the undersigned authorized representative of the Interconnection Customer, submit this Interconnection Request for PGEC's review.</w:t>
      </w:r>
    </w:p>
    <w:p>
      <w:pPr>
        <w:pStyle w:val="Normal"/>
        <w:spacing w:before="0" w:after="240"/>
        <w:rPr/>
      </w:pPr>
      <w:r>
        <w:rPr/>
      </w:r>
    </w:p>
    <w:p>
      <w:pPr>
        <w:pStyle w:val="Normal"/>
        <w:tabs>
          <w:tab w:val="clear" w:pos="720"/>
          <w:tab w:val="left" w:pos="5760" w:leader="none"/>
        </w:tabs>
        <w:spacing w:before="0" w:after="240"/>
        <w:rPr/>
      </w:pPr>
      <w:r>
        <w:rPr/>
        <w:t>Authorized Signature: _______________________</w:t>
        <w:tab/>
        <w:t>Date:  _________________</w:t>
      </w:r>
    </w:p>
    <w:p>
      <w:pPr>
        <w:pStyle w:val="Normal"/>
        <w:tabs>
          <w:tab w:val="clear" w:pos="720"/>
          <w:tab w:val="left" w:pos="5760" w:leader="none"/>
        </w:tabs>
        <w:spacing w:before="0" w:after="240"/>
        <w:rPr/>
      </w:pPr>
      <w:r>
        <w:rPr/>
        <w:t>Name (PRINT): ____________________________</w:t>
        <w:tab/>
        <w:t>Title:  __________________</w:t>
      </w:r>
    </w:p>
    <w:p>
      <w:pPr>
        <w:pStyle w:val="Normal"/>
        <w:tabs>
          <w:tab w:val="clear" w:pos="720"/>
          <w:tab w:val="left" w:pos="5760" w:leader="none"/>
        </w:tabs>
        <w:spacing w:before="0" w:after="240"/>
        <w:rPr/>
      </w:pPr>
      <w:r>
        <w:rPr/>
        <w:t>Company Name:  ___________________________</w:t>
      </w:r>
    </w:p>
    <w:p>
      <w:pPr>
        <w:pStyle w:val="Normal"/>
        <w:spacing w:before="0" w:after="240"/>
        <w:rPr/>
      </w:pPr>
      <w:r>
        <w:rPr/>
      </w:r>
    </w:p>
    <w:p>
      <w:pPr>
        <w:pStyle w:val="Normal"/>
        <w:spacing w:before="0" w:after="24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69"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12" w:space="1" w:color="000000"/>
      </w:pBdr>
      <w:tabs>
        <w:tab w:val="clear" w:pos="720"/>
        <w:tab w:val="center" w:pos="4320" w:leader="none"/>
        <w:tab w:val="right" w:pos="8640" w:leader="none"/>
      </w:tabs>
      <w:rPr/>
    </w:pPr>
    <w:r>
      <w:rPr/>
      <w:t>Issued by:</w:t>
      <w:tab/>
      <w:tab/>
      <w:t>Effective:</w:t>
    </w:r>
  </w:p>
  <w:p>
    <w:pPr>
      <w:pStyle w:val="Normal"/>
      <w:tabs>
        <w:tab w:val="clear" w:pos="720"/>
        <w:tab w:val="center" w:pos="4320" w:leader="none"/>
        <w:tab w:val="right" w:pos="8640" w:leader="none"/>
      </w:tabs>
      <w:rPr/>
    </w:pPr>
    <w:r>
      <w:rPr/>
      <w:t>Issued on:</w:t>
    </w:r>
  </w:p>
  <w:p>
    <w:pPr>
      <w:pStyle w:val="FooterB"/>
      <w:ind w:end="-1440"/>
      <w:rPr/>
    </w:pPr>
    <w:r>
      <w:rPr/>
      <w:t>334442.01-D.C. Server 1A</w:t>
      <w:tab/>
      <w:tab/>
      <w:t>Draft March 2, 2001 - 3:40 PM</w:t>
    </w:r>
  </w:p>
  <w:p>
    <w:pPr>
      <w:pStyle w:val="FooterB"/>
      <w:ind w:end="-1440"/>
      <w:rPr/>
    </w:pPr>
    <w:r>
      <w:rPr/>
      <w:tab/>
      <w:tab/>
      <w:t xml:space="preserve">WORD Document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lear" w:pos="4320"/>
        <w:tab w:val="right" w:pos="8640" w:leader="none"/>
      </w:tabs>
      <w:rPr/>
    </w:pPr>
    <w:r>
      <w:rPr/>
      <w:t>Issued by:</w:t>
      <w:tab/>
      <w:t>Effective:</w:t>
    </w:r>
  </w:p>
  <w:p>
    <w:pPr>
      <w:pStyle w:val="Footer"/>
      <w:pBdr>
        <w:top w:val="single" w:sz="12" w:space="1" w:color="000000"/>
      </w:pBdr>
      <w:tabs>
        <w:tab w:val="clear" w:pos="4320"/>
        <w:tab w:val="right" w:pos="8640" w:leader="none"/>
      </w:tabs>
      <w:rPr/>
    </w:pPr>
    <w:r>
      <w:rPr/>
      <w:t>Issued on:</w:t>
    </w:r>
  </w:p>
  <w:p>
    <w:pPr>
      <w:pStyle w:val="FooterB"/>
      <w:ind w:end="-1440"/>
      <w:rPr/>
    </w:pPr>
    <w:r>
      <w:rPr/>
      <w:t>334442.01-D.C. Server 1A</w:t>
      <w:tab/>
      <w:tab/>
      <w:t>Draft March 2, 2001 - 3:40 PM</w:t>
    </w:r>
  </w:p>
  <w:p>
    <w:pPr>
      <w:pStyle w:val="FooterB"/>
      <w:ind w:end="-1440"/>
      <w:rPr/>
    </w:pPr>
    <w:r>
      <w:rPr/>
      <w:tab/>
      <w:tab/>
      <w:t xml:space="preserve">WORD Document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t>Portland General Electric Company</w:t>
      <w:tab/>
      <w:t>Original Sheet No. ___</w:t>
    </w:r>
  </w:p>
  <w:p>
    <w:pPr>
      <w:pStyle w:val="Header"/>
      <w:rPr/>
    </w:pPr>
    <w:r>
      <w:rPr/>
      <w:t>FERC Electric Tariff</w:t>
      <w:tab/>
      <w:tab/>
      <w:t xml:space="preserve"> </w:t>
    </w:r>
  </w:p>
  <w:p>
    <w:pPr>
      <w:pStyle w:val="Header"/>
      <w:pBdr>
        <w:bottom w:val="single" w:sz="12" w:space="3" w:color="000000"/>
      </w:pBdr>
      <w:rPr/>
    </w:pPr>
    <w:r>
      <w:rPr/>
      <w:t>Revised Volume No.</w:t>
    </w:r>
  </w:p>
  <w:p>
    <w:pPr>
      <w:pStyle w:val="Header"/>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t>Portland General Electric Company</w:t>
      <w:tab/>
      <w:t xml:space="preserve">Original Sheet No. </w:t>
    </w:r>
    <w:r>
      <w:rPr>
        <w:rStyle w:val="PageNumber"/>
      </w:rPr>
      <w:t>___</w:t>
    </w:r>
  </w:p>
  <w:p>
    <w:pPr>
      <w:pStyle w:val="Header"/>
      <w:rPr/>
    </w:pPr>
    <w:r>
      <w:rPr/>
      <w:t>FERC Electric Tariff</w:t>
    </w:r>
  </w:p>
  <w:p>
    <w:pPr>
      <w:pStyle w:val="Header"/>
      <w:pBdr>
        <w:bottom w:val="single" w:sz="12" w:space="3" w:color="000000"/>
      </w:pBdr>
      <w:rPr/>
    </w:pPr>
    <w:r>
      <w:rPr/>
      <w:t>Revised Volume No. __</w:t>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color w:val="000000"/>
      </w:rPr>
    </w:lvl>
    <w:lvl w:ilvl="1">
      <w:start w:val="1"/>
      <w:isLgl/>
      <w:numFmt w:val="decimal"/>
      <w:suff w:val="space"/>
      <w:lvlText w:val="%1.%2   "/>
      <w:lvlJc w:val="start"/>
      <w:pPr>
        <w:tabs>
          <w:tab w:val="num" w:pos="0"/>
        </w:tabs>
        <w:ind w:start="0" w:firstLine="1440"/>
      </w:pPr>
      <w:rPr>
        <w:color w:val="000000"/>
      </w:rPr>
    </w:lvl>
    <w:lvl w:ilvl="2">
      <w:start w:val="1"/>
      <w:isLgl/>
      <w:numFmt w:val="decimal"/>
      <w:suff w:val="space"/>
      <w:lvlText w:val="%1.%2.%3   "/>
      <w:lvlJc w:val="start"/>
      <w:pPr>
        <w:tabs>
          <w:tab w:val="num" w:pos="0"/>
        </w:tabs>
        <w:ind w:start="0" w:firstLine="2016"/>
      </w:pPr>
      <w:rPr>
        <w:color w:val="000000"/>
      </w:rPr>
    </w:lvl>
    <w:lvl w:ilvl="3">
      <w:start w:val="1"/>
      <w:isLgl/>
      <w:numFmt w:val="decimal"/>
      <w:suff w:val="space"/>
      <w:lvlText w:val="%1.%2.%3.%4   "/>
      <w:lvlJc w:val="start"/>
      <w:pPr>
        <w:tabs>
          <w:tab w:val="num" w:pos="0"/>
        </w:tabs>
        <w:ind w:start="0" w:firstLine="2794"/>
      </w:pPr>
      <w:rPr>
        <w:color w:val="000000"/>
      </w:rPr>
    </w:lvl>
    <w:lvl w:ilvl="4">
      <w:start w:val="1"/>
      <w:numFmt w:val="lowerLetter"/>
      <w:suff w:val="space"/>
      <w:lvlText w:val="(%5)   "/>
      <w:lvlJc w:val="start"/>
      <w:pPr>
        <w:tabs>
          <w:tab w:val="num" w:pos="0"/>
        </w:tabs>
        <w:ind w:start="0" w:firstLine="2016"/>
      </w:pPr>
      <w:rPr>
        <w:color w:val="000000"/>
      </w:rPr>
    </w:lvl>
    <w:lvl w:ilvl="5">
      <w:start w:val="1"/>
      <w:numFmt w:val="lowerRoman"/>
      <w:suff w:val="space"/>
      <w:lvlText w:val="(%6)   "/>
      <w:lvlJc w:val="end"/>
      <w:pPr>
        <w:tabs>
          <w:tab w:val="num" w:pos="0"/>
        </w:tabs>
        <w:ind w:start="720" w:firstLine="2448"/>
      </w:pPr>
      <w:rPr>
        <w:color w:val="000000"/>
      </w:rPr>
    </w:lvl>
    <w:lvl w:ilvl="6">
      <w:start w:val="1"/>
      <w:numFmt w:val="upperLetter"/>
      <w:suff w:val="space"/>
      <w:lvlText w:val="(%7)   "/>
      <w:lvlJc w:val="start"/>
      <w:pPr>
        <w:tabs>
          <w:tab w:val="num" w:pos="0"/>
        </w:tabs>
        <w:ind w:start="1440" w:firstLine="1872"/>
      </w:pPr>
      <w:rPr>
        <w:color w:val="000000"/>
      </w:r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720"/>
        </w:tabs>
        <w:ind w:start="720" w:hanging="720"/>
      </w:pPr>
      <w:rPr>
        <w:i w:val="false"/>
        <w:b w:val="false"/>
      </w:rPr>
    </w:lvl>
    <w:lvl w:ilvl="1">
      <w:start w:val="1"/>
      <w:numFmt w:val="lowerLetter"/>
      <w:lvlText w:val="%2."/>
      <w:lvlJc w:val="start"/>
      <w:pPr>
        <w:tabs>
          <w:tab w:val="num" w:pos="1440"/>
        </w:tabs>
        <w:ind w:start="1440" w:hanging="720"/>
      </w:pPr>
      <w:rPr>
        <w:i w:val="false"/>
        <w:b w:val="false"/>
      </w:rPr>
    </w:lvl>
    <w:lvl w:ilvl="2">
      <w:start w:val="1"/>
      <w:numFmt w:val="lowerRoman"/>
      <w:lvlText w:val="(%3)"/>
      <w:lvlJc w:val="start"/>
      <w:pPr>
        <w:tabs>
          <w:tab w:val="num" w:pos="1800"/>
        </w:tabs>
        <w:ind w:start="1800" w:hanging="720"/>
      </w:pPr>
      <w:rPr>
        <w:i w:val="false"/>
        <w:b w:val="false"/>
      </w:rPr>
    </w:lvl>
    <w:lvl w:ilvl="3">
      <w:start w:val="1"/>
      <w:numFmt w:val="decimal"/>
      <w:lvlText w:val="%1.%2.%3.%4."/>
      <w:lvlJc w:val="start"/>
      <w:pPr>
        <w:tabs>
          <w:tab w:val="num" w:pos="180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4">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decimal"/>
      <w:lvlText w:val="%1.0"/>
      <w:lvlJc w:val="start"/>
      <w:pPr>
        <w:tabs>
          <w:tab w:val="num" w:pos="720"/>
        </w:tabs>
        <w:ind w:start="720" w:hanging="720"/>
      </w:pPr>
      <w:rPr>
        <w:i w:val="false"/>
        <w:b/>
      </w:rPr>
    </w:lvl>
    <w:lvl w:ilvl="1">
      <w:start w:val="1"/>
      <w:numFmt w:val="decimal"/>
      <w:lvlText w:val="%1.%2."/>
      <w:lvlJc w:val="start"/>
      <w:pPr>
        <w:tabs>
          <w:tab w:val="num" w:pos="1440"/>
        </w:tabs>
        <w:ind w:start="1440" w:hanging="720"/>
      </w:pPr>
      <w:rPr>
        <w:i w:val="false"/>
        <w:b/>
      </w:rPr>
    </w:lvl>
    <w:lvl w:ilvl="2">
      <w:start w:val="1"/>
      <w:numFmt w:val="lowerRoman"/>
      <w:lvlText w:val="(%3)"/>
      <w:lvlJc w:val="start"/>
      <w:pPr>
        <w:tabs>
          <w:tab w:val="num" w:pos="2160"/>
        </w:tabs>
        <w:ind w:start="2160" w:hanging="720"/>
      </w:pPr>
      <w:rPr>
        <w:i w:val="false"/>
        <w:b w:val="false"/>
      </w:rPr>
    </w:lvl>
    <w:lvl w:ilvl="3">
      <w:start w:val="1"/>
      <w:numFmt w:val="decimal"/>
      <w:lvlText w:val="%1.%2.%3.%4."/>
      <w:lvlJc w:val="start"/>
      <w:pPr>
        <w:tabs>
          <w:tab w:val="num" w:pos="180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color w:val="000000"/>
    </w:rPr>
  </w:style>
  <w:style w:type="character" w:styleId="WW8Num2z0">
    <w:name w:val="WW8Num2z0"/>
    <w:qFormat/>
    <w:rPr>
      <w:b/>
      <w:i w:val="false"/>
    </w:rPr>
  </w:style>
  <w:style w:type="character" w:styleId="WW8Num2z2">
    <w:name w:val="WW8Num2z2"/>
    <w:qFormat/>
    <w:rPr>
      <w:b w:val="false"/>
      <w:i w:val="false"/>
    </w:rPr>
  </w:style>
  <w:style w:type="character" w:styleId="WW8Num2z3">
    <w:name w:val="WW8Num2z3"/>
    <w:qFormat/>
    <w:rPr/>
  </w:style>
  <w:style w:type="character" w:styleId="WW8Num3z0">
    <w:name w:val="WW8Num3z0"/>
    <w:qFormat/>
    <w:rPr>
      <w:b w:val="false"/>
      <w:i w:val="false"/>
    </w:rPr>
  </w:style>
  <w:style w:type="character" w:styleId="WW8Num3z3">
    <w:name w:val="WW8Num3z3"/>
    <w:qFormat/>
    <w:rPr/>
  </w:style>
  <w:style w:type="character" w:styleId="WW8Num4z0">
    <w:name w:val="WW8Num4z0"/>
    <w:qFormat/>
    <w:rPr>
      <w:color w:val="000000"/>
    </w:rPr>
  </w:style>
  <w:style w:type="character" w:styleId="WW8Num4z6">
    <w:name w:val="WW8Num4z6"/>
    <w:qFormat/>
    <w:rPr/>
  </w:style>
  <w:style w:type="character" w:styleId="WW8Num5z0">
    <w:name w:val="WW8Num5z0"/>
    <w:qFormat/>
    <w:rPr>
      <w:b/>
      <w:i w:val="false"/>
    </w:rPr>
  </w:style>
  <w:style w:type="character" w:styleId="WW8Num5z2">
    <w:name w:val="WW8Num5z2"/>
    <w:qFormat/>
    <w:rPr>
      <w:b w:val="false"/>
      <w:i w:val="false"/>
    </w:rPr>
  </w:style>
  <w:style w:type="character" w:styleId="WW8Num5z3">
    <w:name w:val="WW8Num5z3"/>
    <w:qFormat/>
    <w:rPr/>
  </w:style>
  <w:style w:type="character" w:styleId="DefaultParagraphFont">
    <w:name w:val="Default Paragraph Font"/>
    <w:qFormat/>
    <w:rPr/>
  </w:style>
  <w:style w:type="character" w:styleId="PageNumber">
    <w:name w:val="page number"/>
    <w:basedOn w:val="DefaultParagraphFont"/>
    <w:rPr/>
  </w:style>
  <w:style w:type="character" w:styleId="TOCMark">
    <w:name w:val="TOC_Mark"/>
    <w:basedOn w:val="DefaultParagraphFont"/>
    <w:qFormat/>
    <w:rPr>
      <w:vanish/>
      <w:color w:val="FF0000"/>
    </w:rPr>
  </w:style>
  <w:style w:type="character" w:styleId="Draftline">
    <w:name w:val="Draftline"/>
    <w:basedOn w:val="DefaultParagraphFont"/>
    <w:qFormat/>
    <w:rPr>
      <w:rFonts w:ascii="Times New Roman" w:hAnsi="Times New Roman" w:cs="Times New Roman"/>
      <w:b w:val="false"/>
      <w:bCs/>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ldHeading">
    <w:name w:val="Bold Heading"/>
    <w:basedOn w:val="Normal"/>
    <w:next w:val="Normal"/>
    <w:qFormat/>
    <w:pPr>
      <w:spacing w:before="0" w:after="240"/>
    </w:pPr>
    <w:rPr>
      <w:b/>
    </w:rPr>
  </w:style>
  <w:style w:type="paragraph" w:styleId="BoldUnderlineHeading">
    <w:name w:val="BoldUnderline Heading"/>
    <w:basedOn w:val="Normal"/>
    <w:next w:val="Normal"/>
    <w:qFormat/>
    <w:pPr>
      <w:spacing w:before="0" w:after="240"/>
    </w:pPr>
    <w:rPr>
      <w:b/>
      <w:u w:val="single"/>
    </w:rPr>
  </w:style>
  <w:style w:type="paragraph" w:styleId="CenterBoldHeading">
    <w:name w:val="CenterBold Heading"/>
    <w:basedOn w:val="Normal"/>
    <w:next w:val="Normal"/>
    <w:qFormat/>
    <w:pPr>
      <w:spacing w:before="0" w:after="240"/>
      <w:jc w:val="center"/>
    </w:pPr>
    <w:rPr>
      <w:b/>
    </w:rPr>
  </w:style>
  <w:style w:type="paragraph" w:styleId="CenterHeading">
    <w:name w:val="Center Heading"/>
    <w:basedOn w:val="Normal"/>
    <w:next w:val="Normal"/>
    <w:qFormat/>
    <w:pPr>
      <w:spacing w:before="0" w:after="240"/>
      <w:jc w:val="center"/>
    </w:pPr>
    <w:rPr/>
  </w:style>
  <w:style w:type="paragraph" w:styleId="CenterUnderlineHeading">
    <w:name w:val="CenterUnderline Heading"/>
    <w:basedOn w:val="Normal"/>
    <w:next w:val="Normal"/>
    <w:qFormat/>
    <w:pPr>
      <w:spacing w:before="0" w:after="240"/>
      <w:jc w:val="center"/>
    </w:pPr>
    <w:rPr>
      <w:u w:val="single"/>
    </w:rPr>
  </w:style>
  <w:style w:type="paragraph" w:styleId="DoublePara">
    <w:name w:val="Double Para"/>
    <w:basedOn w:val="Normal"/>
    <w:qFormat/>
    <w:pPr>
      <w:spacing w:lineRule="auto" w:line="480"/>
      <w:ind w:firstLine="1440" w:start="0" w:end="0"/>
    </w:pPr>
    <w:rPr/>
  </w:style>
  <w:style w:type="paragraph" w:styleId="DoubleSpace">
    <w:name w:val="Double Space"/>
    <w:basedOn w:val="Normal"/>
    <w:qFormat/>
    <w:pPr>
      <w:spacing w:lineRule="auto" w:line="480"/>
    </w:pPr>
    <w:rPr/>
  </w:style>
  <w:style w:type="paragraph" w:styleId="4-LevelLegal1">
    <w:name w:val="4-Level Legal1"/>
    <w:basedOn w:val="Normal"/>
    <w:next w:val="Normal"/>
    <w:qFormat/>
    <w:pPr>
      <w:numPr>
        <w:ilvl w:val="0"/>
        <w:numId w:val="2"/>
      </w:numPr>
      <w:spacing w:before="0" w:after="240"/>
      <w:outlineLvl w:val="0"/>
    </w:pPr>
    <w:rPr/>
  </w:style>
  <w:style w:type="paragraph" w:styleId="Quote">
    <w:name w:val="Quote"/>
    <w:basedOn w:val="Normal"/>
    <w:qFormat/>
    <w:pPr>
      <w:spacing w:before="0" w:after="240"/>
      <w:ind w:hanging="0" w:start="720" w:end="720"/>
    </w:pPr>
    <w:rPr/>
  </w:style>
  <w:style w:type="paragraph" w:styleId="QuoteIndent">
    <w:name w:val="Quote Indent"/>
    <w:basedOn w:val="Normal"/>
    <w:qFormat/>
    <w:pPr>
      <w:spacing w:before="0" w:after="240"/>
      <w:ind w:firstLine="720" w:start="720" w:end="720"/>
    </w:pPr>
    <w:rPr/>
  </w:style>
  <w:style w:type="paragraph" w:styleId="ReferenceLine">
    <w:name w:val="Reference Line"/>
    <w:basedOn w:val="Normal"/>
    <w:qFormat/>
    <w:pPr>
      <w:spacing w:lineRule="atLeast" w:line="220" w:before="0" w:after="220"/>
    </w:pPr>
    <w:rPr>
      <w:rFonts w:ascii="Arial" w:hAnsi="Arial" w:cs="Arial"/>
      <w:spacing w:val="-5"/>
      <w:sz w:val="20"/>
    </w:rPr>
  </w:style>
  <w:style w:type="paragraph" w:styleId="SignatureBlock">
    <w:name w:val="Signature Block"/>
    <w:basedOn w:val="Normal"/>
    <w:qFormat/>
    <w:pPr>
      <w:ind w:hanging="0" w:start="4320" w:end="0"/>
    </w:pPr>
    <w:rPr/>
  </w:style>
  <w:style w:type="paragraph" w:styleId="SinglePara">
    <w:name w:val="Single Para"/>
    <w:basedOn w:val="Normal"/>
    <w:qFormat/>
    <w:pPr>
      <w:spacing w:before="0" w:after="240"/>
      <w:ind w:firstLine="1440" w:start="0" w:end="0"/>
    </w:pPr>
    <w:rPr/>
  </w:style>
  <w:style w:type="paragraph" w:styleId="UnderlineHeading">
    <w:name w:val="Underline Heading"/>
    <w:basedOn w:val="Normal"/>
    <w:next w:val="Normal"/>
    <w:qFormat/>
    <w:pPr>
      <w:spacing w:before="0" w:after="240"/>
    </w:pPr>
    <w:rPr>
      <w:u w:val="single"/>
    </w:rPr>
  </w:style>
  <w:style w:type="paragraph" w:styleId="Default1">
    <w:name w:val="Default1"/>
    <w:basedOn w:val="Normal"/>
    <w:next w:val="Normal"/>
    <w:qFormat/>
    <w:pPr>
      <w:numPr>
        <w:ilvl w:val="0"/>
        <w:numId w:val="4"/>
      </w:numPr>
      <w:spacing w:before="0" w:after="240"/>
      <w:outlineLvl w:val="0"/>
    </w:pPr>
    <w:rPr/>
  </w:style>
  <w:style w:type="paragraph" w:styleId="Default2">
    <w:name w:val="Default2"/>
    <w:basedOn w:val="Default1"/>
    <w:qFormat/>
    <w:pPr>
      <w:numPr>
        <w:ilvl w:val="0"/>
        <w:numId w:val="4"/>
      </w:numPr>
      <w:outlineLvl w:val="1"/>
    </w:pPr>
    <w:rPr/>
  </w:style>
  <w:style w:type="paragraph" w:styleId="Default3">
    <w:name w:val="Default3"/>
    <w:basedOn w:val="Default1"/>
    <w:qFormat/>
    <w:pPr>
      <w:numPr>
        <w:ilvl w:val="0"/>
        <w:numId w:val="4"/>
      </w:numPr>
      <w:tabs>
        <w:tab w:val="clear" w:pos="720"/>
      </w:tabs>
      <w:outlineLvl w:val="2"/>
    </w:pPr>
    <w:rPr/>
  </w:style>
  <w:style w:type="paragraph" w:styleId="Default4">
    <w:name w:val="Default4"/>
    <w:basedOn w:val="Default1"/>
    <w:qFormat/>
    <w:pPr>
      <w:numPr>
        <w:ilvl w:val="0"/>
        <w:numId w:val="4"/>
      </w:numPr>
      <w:ind w:hanging="720" w:start="2880" w:end="0"/>
      <w:outlineLvl w:val="3"/>
    </w:pPr>
    <w:rPr/>
  </w:style>
  <w:style w:type="paragraph" w:styleId="Default5">
    <w:name w:val="Default5"/>
    <w:basedOn w:val="Default1"/>
    <w:qFormat/>
    <w:pPr>
      <w:numPr>
        <w:ilvl w:val="0"/>
        <w:numId w:val="4"/>
      </w:numPr>
      <w:outlineLvl w:val="4"/>
    </w:pPr>
    <w:rPr/>
  </w:style>
  <w:style w:type="paragraph" w:styleId="FootnoteText">
    <w:name w:val="footnote text"/>
    <w:basedOn w:val="Normal"/>
    <w:pPr>
      <w:spacing w:before="0" w:after="120"/>
      <w:ind w:hanging="360" w:start="360" w:end="0"/>
    </w:pPr>
    <w:rPr>
      <w:szCs w:val="20"/>
    </w:rPr>
  </w:style>
  <w:style w:type="paragraph" w:styleId="4-LevelLegal2">
    <w:name w:val="4-Level Legal2"/>
    <w:basedOn w:val="Normal"/>
    <w:qFormat/>
    <w:pPr>
      <w:numPr>
        <w:ilvl w:val="0"/>
        <w:numId w:val="2"/>
      </w:numPr>
      <w:spacing w:before="0" w:after="240"/>
      <w:outlineLvl w:val="1"/>
    </w:pPr>
    <w:rPr>
      <w:color w:val="00000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bCs/>
      <w:color w:val="auto"/>
      <w:sz w:val="15"/>
      <w:szCs w:val="20"/>
      <w:lang w:val="en-US" w:bidi="ar-SA" w:eastAsia="zh-CN"/>
    </w:rPr>
  </w:style>
  <w:style w:type="paragraph" w:styleId="4-LevelLegal3">
    <w:name w:val="4-Level Legal3"/>
    <w:basedOn w:val="Normal"/>
    <w:qFormat/>
    <w:pPr>
      <w:numPr>
        <w:ilvl w:val="0"/>
        <w:numId w:val="2"/>
      </w:numPr>
      <w:spacing w:before="0" w:after="240"/>
      <w:outlineLvl w:val="2"/>
    </w:pPr>
    <w:rPr>
      <w:color w:val="000000"/>
    </w:rPr>
  </w:style>
  <w:style w:type="paragraph" w:styleId="4-LevelLegal4">
    <w:name w:val="4-Level Legal4"/>
    <w:basedOn w:val="Normal"/>
    <w:qFormat/>
    <w:pPr>
      <w:numPr>
        <w:ilvl w:val="0"/>
        <w:numId w:val="2"/>
      </w:numPr>
      <w:spacing w:before="0" w:after="240"/>
      <w:outlineLvl w:val="3"/>
    </w:pPr>
    <w:rPr>
      <w:color w:val="000000"/>
    </w:rPr>
  </w:style>
  <w:style w:type="paragraph" w:styleId="4-LevelLegal5">
    <w:name w:val="4-Level Legal5"/>
    <w:basedOn w:val="Normal"/>
    <w:qFormat/>
    <w:pPr>
      <w:numPr>
        <w:ilvl w:val="0"/>
        <w:numId w:val="2"/>
      </w:numPr>
      <w:spacing w:before="0" w:after="240"/>
      <w:outlineLvl w:val="4"/>
    </w:pPr>
    <w:rPr>
      <w:color w:val="000000"/>
    </w:rPr>
  </w:style>
  <w:style w:type="paragraph" w:styleId="4-LevelLegal6">
    <w:name w:val="4-Level Legal6"/>
    <w:basedOn w:val="Normal"/>
    <w:qFormat/>
    <w:pPr>
      <w:numPr>
        <w:ilvl w:val="0"/>
        <w:numId w:val="2"/>
      </w:numPr>
      <w:spacing w:before="0" w:after="240"/>
      <w:ind w:hanging="0" w:start="0" w:end="720"/>
      <w:outlineLvl w:val="5"/>
    </w:pPr>
    <w:rPr>
      <w:color w:val="000000"/>
    </w:rPr>
  </w:style>
  <w:style w:type="paragraph" w:styleId="4-LevelLegal7">
    <w:name w:val="4-Level Legal7"/>
    <w:basedOn w:val="Normal"/>
    <w:qFormat/>
    <w:pPr>
      <w:numPr>
        <w:ilvl w:val="0"/>
        <w:numId w:val="2"/>
      </w:numPr>
      <w:spacing w:before="0" w:after="240"/>
      <w:ind w:hanging="0" w:start="0" w:end="1440"/>
      <w:outlineLvl w:val="6"/>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2001-03-05T12:09:00Z</dcterms:created>
  <dc:creator>rzirkin</dc:creator>
  <dc:description/>
  <dc:language>en-CA</dc:language>
  <cp:lastModifiedBy>USER</cp:lastModifiedBy>
  <cp:lastPrinted>2001-03-02T15:40:00Z</cp:lastPrinted>
  <dcterms:modified xsi:type="dcterms:W3CDTF">2001-03-05T23:26:00Z</dcterms:modified>
  <cp:revision>6</cp:revision>
  <dc:subject/>
  <dc:title>ATTACHMENT M</dc:title>
</cp:coreProperties>
</file>