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0000"/>
        </w:rPr>
      </w:pPr>
      <w:r>
        <w:rPr>
          <w:color w:val="000000"/>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color w:val="000000"/>
        </w:rPr>
      </w:pPr>
      <w:r>
        <w:rPr>
          <w:color w:val="000000"/>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color w:val="000000"/>
                <w:sz w:val="16"/>
              </w:rPr>
            </w:pPr>
            <w:r>
              <w:rPr>
                <w:color w:val="000000"/>
                <w:sz w:val="16"/>
              </w:rPr>
              <w:t>To:</w:t>
            </w:r>
          </w:p>
        </w:tc>
        <w:tc>
          <w:tcPr>
            <w:tcW w:w="6045" w:type="dxa"/>
            <w:tcBorders/>
          </w:tcPr>
          <w:p>
            <w:pPr>
              <w:pStyle w:val="To"/>
              <w:rPr>
                <w:color w:val="000000"/>
              </w:rPr>
            </w:pPr>
            <w:r>
              <w:rPr>
                <w:color w:val="000000"/>
              </w:rPr>
              <w:t>Vision and Values Task Force</w:t>
            </w:r>
          </w:p>
        </w:tc>
        <w:tc>
          <w:tcPr>
            <w:tcW w:w="990" w:type="dxa"/>
            <w:tcBorders/>
          </w:tcPr>
          <w:p>
            <w:pPr>
              <w:pStyle w:val="Normal"/>
              <w:snapToGrid w:val="false"/>
              <w:ind w:start="-180" w:end="0"/>
              <w:rPr>
                <w:color w:val="000000"/>
              </w:rPr>
            </w:pPr>
            <w:r>
              <w:rPr>
                <w:color w:val="000000"/>
              </w:rPr>
            </w:r>
          </w:p>
        </w:tc>
        <w:tc>
          <w:tcPr>
            <w:tcW w:w="2965" w:type="dxa"/>
            <w:tcBorders/>
          </w:tcPr>
          <w:p>
            <w:pPr>
              <w:pStyle w:val="Normal"/>
              <w:snapToGrid w:val="false"/>
              <w:rPr>
                <w:color w:val="000000"/>
              </w:rPr>
            </w:pPr>
            <w:r>
              <w:rPr>
                <w:color w:val="000000"/>
              </w:rPr>
            </w:r>
          </w:p>
        </w:tc>
      </w:tr>
      <w:tr>
        <w:trPr>
          <w:trHeight w:val="216" w:hRule="exact"/>
        </w:trPr>
        <w:tc>
          <w:tcPr>
            <w:tcW w:w="708" w:type="dxa"/>
            <w:tcBorders/>
          </w:tcPr>
          <w:p>
            <w:pPr>
              <w:pStyle w:val="Normal"/>
              <w:snapToGrid w:val="false"/>
              <w:ind w:start="-180" w:end="0"/>
              <w:jc w:val="end"/>
              <w:rPr>
                <w:color w:val="000000"/>
                <w:sz w:val="18"/>
              </w:rPr>
            </w:pPr>
            <w:r>
              <w:rPr>
                <w:color w:val="000000"/>
                <w:sz w:val="18"/>
              </w:rPr>
            </w:r>
          </w:p>
        </w:tc>
        <w:tc>
          <w:tcPr>
            <w:tcW w:w="6045" w:type="dxa"/>
            <w:tcBorders/>
          </w:tcPr>
          <w:p>
            <w:pPr>
              <w:pStyle w:val="Normal"/>
              <w:snapToGrid w:val="false"/>
              <w:rPr>
                <w:color w:val="000000"/>
                <w:sz w:val="18"/>
              </w:rPr>
            </w:pPr>
            <w:r>
              <w:rPr>
                <w:color w:val="000000"/>
                <w:sz w:val="18"/>
              </w:rPr>
            </w:r>
          </w:p>
        </w:tc>
        <w:tc>
          <w:tcPr>
            <w:tcW w:w="990" w:type="dxa"/>
            <w:tcBorders/>
          </w:tcPr>
          <w:p>
            <w:pPr>
              <w:pStyle w:val="Normal"/>
              <w:snapToGrid w:val="false"/>
              <w:ind w:start="-180" w:end="0"/>
              <w:rPr>
                <w:color w:val="000000"/>
                <w:sz w:val="18"/>
              </w:rPr>
            </w:pPr>
            <w:r>
              <w:rPr>
                <w:color w:val="000000"/>
                <w:sz w:val="18"/>
              </w:rPr>
            </w:r>
          </w:p>
        </w:tc>
        <w:tc>
          <w:tcPr>
            <w:tcW w:w="2965" w:type="dxa"/>
            <w:tcBorders/>
          </w:tcPr>
          <w:p>
            <w:pPr>
              <w:pStyle w:val="Normal"/>
              <w:snapToGrid w:val="false"/>
              <w:rPr>
                <w:color w:val="000000"/>
                <w:sz w:val="18"/>
              </w:rPr>
            </w:pPr>
            <w:r>
              <w:rPr>
                <w:color w:val="000000"/>
                <w:sz w:val="18"/>
              </w:rPr>
            </w:r>
          </w:p>
        </w:tc>
      </w:tr>
      <w:tr>
        <w:trPr>
          <w:trHeight w:val="300" w:hRule="exact"/>
        </w:trPr>
        <w:tc>
          <w:tcPr>
            <w:tcW w:w="708" w:type="dxa"/>
            <w:tcBorders/>
          </w:tcPr>
          <w:p>
            <w:pPr>
              <w:pStyle w:val="Normal"/>
              <w:ind w:start="-180" w:end="0"/>
              <w:jc w:val="end"/>
              <w:rPr>
                <w:color w:val="000000"/>
                <w:sz w:val="16"/>
              </w:rPr>
            </w:pPr>
            <w:r>
              <w:rPr>
                <w:color w:val="000000"/>
                <w:sz w:val="16"/>
              </w:rPr>
              <w:t>From:</w:t>
            </w:r>
          </w:p>
        </w:tc>
        <w:tc>
          <w:tcPr>
            <w:tcW w:w="6045" w:type="dxa"/>
            <w:tcBorders/>
          </w:tcPr>
          <w:p>
            <w:pPr>
              <w:pStyle w:val="From"/>
              <w:rPr>
                <w:color w:val="000000"/>
              </w:rPr>
            </w:pPr>
            <w:r>
              <w:rPr>
                <w:color w:val="000000"/>
              </w:rPr>
              <w:t>Beth Tilney</w:t>
            </w:r>
          </w:p>
        </w:tc>
        <w:tc>
          <w:tcPr>
            <w:tcW w:w="990" w:type="dxa"/>
            <w:tcBorders/>
          </w:tcPr>
          <w:p>
            <w:pPr>
              <w:pStyle w:val="Normal"/>
              <w:ind w:start="-180" w:end="0"/>
              <w:jc w:val="end"/>
              <w:rPr>
                <w:color w:val="000000"/>
                <w:sz w:val="16"/>
              </w:rPr>
            </w:pPr>
            <w:r>
              <w:rPr>
                <w:color w:val="000000"/>
                <w:sz w:val="16"/>
              </w:rPr>
              <w:t>Department:</w:t>
            </w:r>
          </w:p>
        </w:tc>
        <w:tc>
          <w:tcPr>
            <w:tcW w:w="2965" w:type="dxa"/>
            <w:tcBorders/>
          </w:tcPr>
          <w:p>
            <w:pPr>
              <w:pStyle w:val="Department"/>
              <w:rPr>
                <w:color w:val="000000"/>
              </w:rPr>
            </w:pPr>
            <w:bookmarkStart w:id="0" w:name="From"/>
            <w:bookmarkEnd w:id="0"/>
            <w:r>
              <w:rPr>
                <w:color w:val="000000"/>
              </w:rPr>
              <w:t>Marketing Communications</w:t>
            </w:r>
          </w:p>
        </w:tc>
      </w:tr>
      <w:tr>
        <w:trPr>
          <w:trHeight w:val="216" w:hRule="exact"/>
        </w:trPr>
        <w:tc>
          <w:tcPr>
            <w:tcW w:w="708" w:type="dxa"/>
            <w:tcBorders/>
          </w:tcPr>
          <w:p>
            <w:pPr>
              <w:pStyle w:val="Normal"/>
              <w:snapToGrid w:val="false"/>
              <w:ind w:start="-180" w:end="0"/>
              <w:jc w:val="end"/>
              <w:rPr>
                <w:color w:val="000000"/>
                <w:sz w:val="18"/>
              </w:rPr>
            </w:pPr>
            <w:r>
              <w:rPr>
                <w:color w:val="000000"/>
                <w:sz w:val="18"/>
              </w:rPr>
            </w:r>
          </w:p>
        </w:tc>
        <w:tc>
          <w:tcPr>
            <w:tcW w:w="6045" w:type="dxa"/>
            <w:tcBorders/>
          </w:tcPr>
          <w:p>
            <w:pPr>
              <w:pStyle w:val="Normal"/>
              <w:snapToGrid w:val="false"/>
              <w:rPr>
                <w:color w:val="000000"/>
                <w:sz w:val="18"/>
              </w:rPr>
            </w:pPr>
            <w:r>
              <w:rPr>
                <w:color w:val="000000"/>
                <w:sz w:val="18"/>
              </w:rPr>
            </w:r>
          </w:p>
        </w:tc>
        <w:tc>
          <w:tcPr>
            <w:tcW w:w="990" w:type="dxa"/>
            <w:tcBorders/>
          </w:tcPr>
          <w:p>
            <w:pPr>
              <w:pStyle w:val="Normal"/>
              <w:snapToGrid w:val="false"/>
              <w:ind w:start="-180" w:end="0"/>
              <w:rPr>
                <w:color w:val="000000"/>
                <w:sz w:val="18"/>
              </w:rPr>
            </w:pPr>
            <w:r>
              <w:rPr>
                <w:color w:val="000000"/>
                <w:sz w:val="18"/>
              </w:rPr>
            </w:r>
          </w:p>
        </w:tc>
        <w:tc>
          <w:tcPr>
            <w:tcW w:w="2965" w:type="dxa"/>
            <w:tcBorders/>
          </w:tcPr>
          <w:p>
            <w:pPr>
              <w:pStyle w:val="Normal"/>
              <w:snapToGrid w:val="false"/>
              <w:rPr>
                <w:color w:val="000000"/>
                <w:sz w:val="18"/>
              </w:rPr>
            </w:pPr>
            <w:r>
              <w:rPr>
                <w:color w:val="000000"/>
                <w:sz w:val="18"/>
              </w:rPr>
            </w:r>
          </w:p>
        </w:tc>
      </w:tr>
      <w:tr>
        <w:trPr>
          <w:trHeight w:val="600" w:hRule="exact"/>
        </w:trPr>
        <w:tc>
          <w:tcPr>
            <w:tcW w:w="708" w:type="dxa"/>
            <w:tcBorders>
              <w:bottom w:val="single" w:sz="12" w:space="0" w:color="000000"/>
            </w:tcBorders>
          </w:tcPr>
          <w:p>
            <w:pPr>
              <w:pStyle w:val="Normal"/>
              <w:ind w:start="-180" w:end="0"/>
              <w:jc w:val="end"/>
              <w:rPr>
                <w:color w:val="000000"/>
                <w:sz w:val="16"/>
              </w:rPr>
            </w:pPr>
            <w:r>
              <w:rPr>
                <w:color w:val="000000"/>
                <w:sz w:val="16"/>
              </w:rPr>
              <w:t>Subject:</w:t>
            </w:r>
          </w:p>
        </w:tc>
        <w:tc>
          <w:tcPr>
            <w:tcW w:w="6045" w:type="dxa"/>
            <w:tcBorders>
              <w:bottom w:val="single" w:sz="12" w:space="0" w:color="000000"/>
            </w:tcBorders>
          </w:tcPr>
          <w:p>
            <w:pPr>
              <w:pStyle w:val="Subject"/>
              <w:rPr>
                <w:color w:val="000000"/>
              </w:rPr>
            </w:pPr>
            <w:r>
              <w:rPr>
                <w:color w:val="000000"/>
              </w:rPr>
              <w:t>2000 Initiative Summary</w:t>
            </w:r>
          </w:p>
        </w:tc>
        <w:tc>
          <w:tcPr>
            <w:tcW w:w="990" w:type="dxa"/>
            <w:tcBorders>
              <w:bottom w:val="single" w:sz="12" w:space="0" w:color="000000"/>
            </w:tcBorders>
          </w:tcPr>
          <w:p>
            <w:pPr>
              <w:pStyle w:val="Normal"/>
              <w:ind w:start="-180" w:end="0"/>
              <w:jc w:val="end"/>
              <w:rPr>
                <w:color w:val="000000"/>
                <w:sz w:val="16"/>
              </w:rPr>
            </w:pPr>
            <w:r>
              <w:rPr>
                <w:color w:val="000000"/>
                <w:sz w:val="16"/>
              </w:rPr>
              <w:t>Date:</w:t>
            </w:r>
          </w:p>
        </w:tc>
        <w:tc>
          <w:tcPr>
            <w:tcW w:w="2965" w:type="dxa"/>
            <w:tcBorders>
              <w:bottom w:val="single" w:sz="12" w:space="0" w:color="000000"/>
            </w:tcBorders>
          </w:tcPr>
          <w:p>
            <w:pPr>
              <w:pStyle w:val="Date"/>
              <w:rPr>
                <w:color w:val="000000"/>
              </w:rPr>
            </w:pPr>
            <w:r>
              <w:rPr>
                <w:color w:val="000000"/>
              </w:rPr>
              <w:fldChar w:fldCharType="begin"/>
            </w:r>
            <w:r>
              <w:rPr>
                <w:color w:val="000000"/>
              </w:rPr>
              <w:instrText xml:space="preserve"> DATE \@"MMMM\ d', 'yyyy" </w:instrText>
            </w:r>
            <w:r>
              <w:rPr>
                <w:color w:val="000000"/>
              </w:rPr>
              <w:fldChar w:fldCharType="separate"/>
            </w:r>
            <w:r>
              <w:rPr>
                <w:color w:val="000000"/>
              </w:rPr>
              <w:t>September 28, 2025</w:t>
            </w:r>
            <w:r>
              <w:rPr>
                <w:color w:val="000000"/>
              </w:rPr>
              <w:fldChar w:fldCharType="end"/>
            </w:r>
          </w:p>
        </w:tc>
      </w:tr>
    </w:tbl>
    <w:p>
      <w:pPr>
        <w:pStyle w:val="Body"/>
        <w:rPr>
          <w:color w:val="000000"/>
        </w:rPr>
      </w:pPr>
      <w:r>
        <w:rPr>
          <w:color w:val="000000"/>
        </w:rPr>
      </w:r>
      <w:bookmarkStart w:id="1" w:name="StartOfMemo"/>
      <w:bookmarkStart w:id="2" w:name="StartOfMemo"/>
      <w:bookmarkEnd w:id="2"/>
    </w:p>
    <w:p>
      <w:pPr>
        <w:pStyle w:val="Body"/>
        <w:jc w:val="both"/>
        <w:rPr>
          <w:color w:val="000000"/>
        </w:rPr>
      </w:pPr>
      <w:r>
        <w:rPr>
          <w:color w:val="000000"/>
        </w:rPr>
      </w:r>
    </w:p>
    <w:p>
      <w:pPr>
        <w:pStyle w:val="Body"/>
        <w:ind w:firstLine="648" w:end="0"/>
        <w:jc w:val="both"/>
        <w:rPr/>
      </w:pPr>
      <w:r>
        <w:rPr>
          <w:color w:val="000000"/>
        </w:rPr>
        <w:t xml:space="preserve">We had an extremely productive meeting on December 2 and agreed upon our key areas of focus for 2000. As all of us were not able to attend the meeting, I thought I would briefly review our decisions and the timetable for moving forward in 2000.  I ask that each of you </w:t>
      </w:r>
      <w:r>
        <w:rPr>
          <w:color w:val="000000"/>
          <w:u w:val="single"/>
        </w:rPr>
        <w:t>carefully</w:t>
      </w:r>
      <w:r>
        <w:rPr>
          <w:color w:val="000000"/>
        </w:rPr>
        <w:t xml:space="preserve"> review the following information as it describes our commitments to each other </w:t>
      </w:r>
      <w:r>
        <w:rPr>
          <w:color w:val="000000"/>
          <w:u w:val="single"/>
        </w:rPr>
        <w:t>and</w:t>
      </w:r>
      <w:r>
        <w:rPr>
          <w:color w:val="000000"/>
        </w:rPr>
        <w:t xml:space="preserve"> to Enron.  The information also includes some key dates </w:t>
      </w:r>
      <w:r>
        <w:rPr>
          <w:color w:val="000000"/>
          <w:u w:val="single"/>
        </w:rPr>
        <w:t>and</w:t>
      </w:r>
      <w:r>
        <w:rPr>
          <w:color w:val="000000"/>
        </w:rPr>
        <w:t xml:space="preserve"> re-assignment of some of the task force members to a new committee.</w:t>
      </w:r>
    </w:p>
    <w:p>
      <w:pPr>
        <w:pStyle w:val="Body"/>
        <w:jc w:val="both"/>
        <w:rPr>
          <w:color w:val="000000"/>
        </w:rPr>
      </w:pPr>
      <w:r>
        <w:rPr>
          <w:color w:val="000000"/>
        </w:rPr>
      </w:r>
    </w:p>
    <w:p>
      <w:pPr>
        <w:pStyle w:val="Body"/>
        <w:ind w:firstLine="648" w:end="0"/>
        <w:jc w:val="both"/>
        <w:rPr/>
      </w:pPr>
      <w:r>
        <w:rPr>
          <w:color w:val="000000"/>
        </w:rPr>
        <w:t xml:space="preserve">First, we agreed that our focus for 2000 will be on the value of </w:t>
      </w:r>
      <w:r>
        <w:rPr>
          <w:color w:val="000000"/>
          <w:u w:val="single"/>
        </w:rPr>
        <w:t>Communication</w:t>
      </w:r>
      <w:r>
        <w:rPr>
          <w:color w:val="000000"/>
        </w:rPr>
        <w:t>.  This was decided upon because of the weak scores we got from our employees on communication-related questions on the “ETC” survey, in addition to the consistent “noise” at Enron around the need to improve communication.  (Where we’ll never solve this entirely, we still want to make a concerted effort to attack this problem.)</w:t>
      </w:r>
    </w:p>
    <w:p>
      <w:pPr>
        <w:pStyle w:val="Body"/>
        <w:jc w:val="both"/>
        <w:rPr>
          <w:color w:val="000000"/>
        </w:rPr>
      </w:pPr>
      <w:r>
        <w:rPr>
          <w:color w:val="000000"/>
        </w:rPr>
      </w:r>
    </w:p>
    <w:p>
      <w:pPr>
        <w:pStyle w:val="Body"/>
        <w:ind w:firstLine="360" w:end="0"/>
        <w:jc w:val="both"/>
        <w:rPr>
          <w:color w:val="000000"/>
        </w:rPr>
      </w:pPr>
      <w:r>
        <w:rPr>
          <w:color w:val="000000"/>
        </w:rPr>
        <w:t>Given our commitment to focus on this single value we then agreed upon the following three sub-committees for our Vision and Values Task Force:</w:t>
      </w:r>
    </w:p>
    <w:p>
      <w:pPr>
        <w:pStyle w:val="Body"/>
        <w:jc w:val="both"/>
        <w:rPr>
          <w:color w:val="000000"/>
        </w:rPr>
      </w:pPr>
      <w:r>
        <w:rPr>
          <w:color w:val="000000"/>
        </w:rPr>
      </w:r>
    </w:p>
    <w:p>
      <w:pPr>
        <w:pStyle w:val="Body"/>
        <w:numPr>
          <w:ilvl w:val="0"/>
          <w:numId w:val="5"/>
        </w:numPr>
        <w:tabs>
          <w:tab w:val="left" w:pos="792" w:leader="none"/>
        </w:tabs>
        <w:ind w:hanging="360" w:start="792" w:end="0"/>
        <w:jc w:val="both"/>
        <w:rPr>
          <w:color w:val="000000"/>
        </w:rPr>
      </w:pPr>
      <w:r>
        <w:rPr>
          <w:b/>
          <w:color w:val="000000"/>
        </w:rPr>
        <w:t>Information Flow and Communication Tools</w:t>
      </w:r>
      <w:r>
        <w:rPr>
          <w:color w:val="000000"/>
        </w:rPr>
        <w:t xml:space="preserve"> – some areas that may be looked at are:</w:t>
      </w:r>
    </w:p>
    <w:p>
      <w:pPr>
        <w:pStyle w:val="Body"/>
        <w:numPr>
          <w:ilvl w:val="0"/>
          <w:numId w:val="4"/>
        </w:numPr>
        <w:tabs>
          <w:tab w:val="left" w:pos="1080" w:leader="none"/>
        </w:tabs>
        <w:ind w:hanging="360" w:start="1080" w:end="0"/>
        <w:jc w:val="both"/>
        <w:rPr>
          <w:color w:val="000000"/>
        </w:rPr>
      </w:pPr>
      <w:r>
        <w:rPr>
          <w:color w:val="000000"/>
        </w:rPr>
        <w:t>How global companies communicate and bridge time-zones and cultures</w:t>
      </w:r>
    </w:p>
    <w:p>
      <w:pPr>
        <w:pStyle w:val="Body"/>
        <w:numPr>
          <w:ilvl w:val="0"/>
          <w:numId w:val="4"/>
        </w:numPr>
        <w:tabs>
          <w:tab w:val="left" w:pos="1080" w:leader="none"/>
        </w:tabs>
        <w:ind w:hanging="360" w:start="1080" w:end="0"/>
        <w:jc w:val="both"/>
        <w:rPr>
          <w:color w:val="000000"/>
        </w:rPr>
      </w:pPr>
      <w:r>
        <w:rPr>
          <w:color w:val="000000"/>
        </w:rPr>
        <w:t>Enron directories – simplification and standardization</w:t>
      </w:r>
    </w:p>
    <w:p>
      <w:pPr>
        <w:pStyle w:val="Body"/>
        <w:numPr>
          <w:ilvl w:val="0"/>
          <w:numId w:val="4"/>
        </w:numPr>
        <w:tabs>
          <w:tab w:val="left" w:pos="1080" w:leader="none"/>
        </w:tabs>
        <w:ind w:hanging="360" w:start="1080" w:end="0"/>
        <w:jc w:val="both"/>
        <w:rPr>
          <w:color w:val="000000"/>
        </w:rPr>
      </w:pPr>
      <w:r>
        <w:rPr>
          <w:color w:val="000000"/>
        </w:rPr>
        <w:t>Computer literacy of employees, especially senior management</w:t>
      </w:r>
    </w:p>
    <w:p>
      <w:pPr>
        <w:pStyle w:val="Body"/>
        <w:numPr>
          <w:ilvl w:val="0"/>
          <w:numId w:val="4"/>
        </w:numPr>
        <w:tabs>
          <w:tab w:val="left" w:pos="1080" w:leader="none"/>
        </w:tabs>
        <w:ind w:hanging="360" w:start="1080" w:end="0"/>
        <w:jc w:val="both"/>
        <w:rPr>
          <w:color w:val="000000"/>
        </w:rPr>
      </w:pPr>
      <w:r>
        <w:rPr>
          <w:color w:val="000000"/>
        </w:rPr>
        <w:t>Education on tools currently available at Enron</w:t>
      </w:r>
    </w:p>
    <w:p>
      <w:pPr>
        <w:pStyle w:val="Body"/>
        <w:numPr>
          <w:ilvl w:val="0"/>
          <w:numId w:val="4"/>
        </w:numPr>
        <w:tabs>
          <w:tab w:val="left" w:pos="1080" w:leader="none"/>
        </w:tabs>
        <w:ind w:hanging="360" w:start="1080" w:end="0"/>
        <w:jc w:val="both"/>
        <w:rPr>
          <w:color w:val="000000"/>
        </w:rPr>
      </w:pPr>
      <w:r>
        <w:rPr>
          <w:color w:val="000000"/>
        </w:rPr>
        <w:t>Communication etiquette (ie, What is and isn’t SPAM…)</w:t>
      </w:r>
    </w:p>
    <w:p>
      <w:pPr>
        <w:pStyle w:val="Body"/>
        <w:ind w:start="432" w:end="0"/>
        <w:jc w:val="both"/>
        <w:rPr>
          <w:color w:val="000000"/>
        </w:rPr>
      </w:pPr>
      <w:r>
        <w:rPr>
          <w:color w:val="000000"/>
        </w:rPr>
      </w:r>
    </w:p>
    <w:p>
      <w:pPr>
        <w:pStyle w:val="Body"/>
        <w:numPr>
          <w:ilvl w:val="0"/>
          <w:numId w:val="5"/>
        </w:numPr>
        <w:tabs>
          <w:tab w:val="left" w:pos="792" w:leader="none"/>
        </w:tabs>
        <w:ind w:hanging="360" w:start="792" w:end="0"/>
        <w:jc w:val="both"/>
        <w:rPr>
          <w:b/>
          <w:color w:val="000000"/>
        </w:rPr>
      </w:pPr>
      <w:r>
        <w:rPr>
          <w:b/>
          <w:color w:val="000000"/>
        </w:rPr>
        <w:t>“</w:t>
      </w:r>
      <w:r>
        <w:rPr>
          <w:b/>
          <w:color w:val="000000"/>
        </w:rPr>
        <w:t xml:space="preserve">Participate and Dissent” Sessions </w:t>
      </w:r>
      <w:r>
        <w:rPr>
          <w:color w:val="000000"/>
        </w:rPr>
        <w:t>– these sessions would be designed to:</w:t>
      </w:r>
    </w:p>
    <w:p>
      <w:pPr>
        <w:pStyle w:val="Body"/>
        <w:numPr>
          <w:ilvl w:val="0"/>
          <w:numId w:val="2"/>
        </w:numPr>
        <w:tabs>
          <w:tab w:val="left" w:pos="1080" w:leader="none"/>
        </w:tabs>
        <w:ind w:hanging="360" w:start="1080" w:end="0"/>
        <w:jc w:val="both"/>
        <w:rPr>
          <w:b/>
          <w:color w:val="000000"/>
          <w:u w:val="single"/>
        </w:rPr>
      </w:pPr>
      <w:r>
        <w:rPr>
          <w:color w:val="000000"/>
        </w:rPr>
        <w:t xml:space="preserve">Create an informal means by which to solve problems at Enron </w:t>
      </w:r>
      <w:r>
        <w:rPr>
          <w:color w:val="000000"/>
          <w:u w:val="single"/>
        </w:rPr>
        <w:t>and</w:t>
      </w:r>
      <w:r>
        <w:rPr>
          <w:color w:val="000000"/>
        </w:rPr>
        <w:t xml:space="preserve"> create new business opportunities</w:t>
      </w:r>
    </w:p>
    <w:p>
      <w:pPr>
        <w:pStyle w:val="Body"/>
        <w:numPr>
          <w:ilvl w:val="0"/>
          <w:numId w:val="2"/>
        </w:numPr>
        <w:tabs>
          <w:tab w:val="left" w:pos="1080" w:leader="none"/>
        </w:tabs>
        <w:ind w:hanging="360" w:start="1080" w:end="0"/>
        <w:jc w:val="both"/>
        <w:rPr>
          <w:b/>
          <w:color w:val="000000"/>
          <w:u w:val="single"/>
        </w:rPr>
      </w:pPr>
      <w:r>
        <w:rPr>
          <w:color w:val="000000"/>
        </w:rPr>
        <w:t>Encourage employees to take ownership in Enron’s business</w:t>
      </w:r>
    </w:p>
    <w:p>
      <w:pPr>
        <w:pStyle w:val="Body"/>
        <w:ind w:start="0" w:end="0"/>
        <w:jc w:val="both"/>
        <w:rPr>
          <w:b/>
          <w:color w:val="000000"/>
          <w:u w:val="single"/>
        </w:rPr>
      </w:pPr>
      <w:r>
        <w:rPr>
          <w:b/>
          <w:color w:val="000000"/>
          <w:u w:val="single"/>
        </w:rPr>
      </w:r>
    </w:p>
    <w:p>
      <w:pPr>
        <w:pStyle w:val="Body"/>
        <w:numPr>
          <w:ilvl w:val="0"/>
          <w:numId w:val="5"/>
        </w:numPr>
        <w:tabs>
          <w:tab w:val="left" w:pos="810" w:leader="none"/>
        </w:tabs>
        <w:ind w:hanging="360" w:start="810" w:end="0"/>
        <w:jc w:val="both"/>
        <w:rPr>
          <w:color w:val="000000"/>
        </w:rPr>
      </w:pPr>
      <w:r>
        <w:rPr>
          <w:b/>
          <w:color w:val="000000"/>
        </w:rPr>
        <w:t>Communication Training</w:t>
      </w:r>
      <w:r>
        <w:rPr>
          <w:color w:val="000000"/>
        </w:rPr>
        <w:t xml:space="preserve"> – this group will look at creating an instructional training block around communication that would be </w:t>
      </w:r>
      <w:r>
        <w:rPr>
          <w:color w:val="000000"/>
          <w:u w:val="single"/>
        </w:rPr>
        <w:t>required</w:t>
      </w:r>
      <w:r>
        <w:rPr>
          <w:color w:val="000000"/>
        </w:rPr>
        <w:t xml:space="preserve"> for VP’s and above and </w:t>
      </w:r>
      <w:r>
        <w:rPr>
          <w:color w:val="000000"/>
          <w:u w:val="single"/>
        </w:rPr>
        <w:t>available</w:t>
      </w:r>
      <w:r>
        <w:rPr>
          <w:color w:val="000000"/>
        </w:rPr>
        <w:t xml:space="preserve"> to others, perhaps “on-line” and for some type of “credit.” </w:t>
      </w:r>
    </w:p>
    <w:p>
      <w:pPr>
        <w:pStyle w:val="Body"/>
        <w:ind w:start="432" w:end="0"/>
        <w:jc w:val="both"/>
        <w:rPr>
          <w:color w:val="000000"/>
        </w:rPr>
      </w:pPr>
      <w:r>
        <w:rPr>
          <w:color w:val="000000"/>
        </w:rPr>
      </w:r>
    </w:p>
    <w:p>
      <w:pPr>
        <w:pStyle w:val="CopyList"/>
        <w:tabs>
          <w:tab w:val="clear" w:pos="504"/>
          <w:tab w:val="left" w:pos="90" w:leader="none"/>
        </w:tabs>
        <w:spacing w:before="0" w:after="0"/>
        <w:ind w:hanging="0" w:start="90" w:end="0"/>
        <w:jc w:val="both"/>
        <w:rPr/>
      </w:pPr>
      <w:r>
        <w:rPr>
          <w:color w:val="000000"/>
        </w:rPr>
        <w:tab/>
        <w:t>Additionally, we asked a small group of people to work quickly to establish measurable objectives and goals for the 2000 V&amp;V Task Force.  This group should present recommendations on these objectives to the broader Task Force at the January 19</w:t>
      </w:r>
      <w:r>
        <w:rPr>
          <w:color w:val="000000"/>
          <w:vertAlign w:val="superscript"/>
        </w:rPr>
        <w:t>th</w:t>
      </w:r>
      <w:r>
        <w:rPr>
          <w:color w:val="000000"/>
        </w:rPr>
        <w:t xml:space="preserve"> meeting.  As to timing for the sub-committees’ work, we should be prepared to take complete recommendations to the Enron Executive Committee in </w:t>
      </w:r>
      <w:r>
        <w:rPr>
          <w:color w:val="000000"/>
          <w:u w:val="single"/>
        </w:rPr>
        <w:t>mid-March</w:t>
      </w:r>
      <w:r>
        <w:rPr>
          <w:color w:val="000000"/>
        </w:rPr>
        <w:t xml:space="preserve"> and begin to kick-off our programs at that time.  Obviously some of our work will take more time </w:t>
      </w:r>
      <w:r>
        <w:rPr>
          <w:color w:val="000000"/>
          <w:u w:val="single"/>
        </w:rPr>
        <w:t>and</w:t>
      </w:r>
      <w:r>
        <w:rPr>
          <w:color w:val="000000"/>
        </w:rPr>
        <w:t xml:space="preserve"> require continuous improvement throughout the year but we should get some things kicked off end of Q1, beginning of Q2.</w:t>
      </w:r>
    </w:p>
    <w:p>
      <w:pPr>
        <w:pStyle w:val="CopyList"/>
        <w:tabs>
          <w:tab w:val="clear" w:pos="504"/>
          <w:tab w:val="left" w:pos="90" w:leader="none"/>
        </w:tabs>
        <w:spacing w:before="0" w:after="0"/>
        <w:ind w:hanging="0" w:start="90" w:end="0"/>
        <w:jc w:val="both"/>
        <w:rPr>
          <w:color w:val="000000"/>
        </w:rPr>
      </w:pPr>
      <w:r>
        <w:rPr>
          <w:color w:val="000000"/>
        </w:rPr>
      </w:r>
      <w:r>
        <w:br w:type="page"/>
      </w:r>
    </w:p>
    <w:p>
      <w:pPr>
        <w:pStyle w:val="CopyList"/>
        <w:tabs>
          <w:tab w:val="clear" w:pos="504"/>
          <w:tab w:val="left" w:pos="90" w:leader="none"/>
        </w:tabs>
        <w:spacing w:before="0" w:after="0"/>
        <w:ind w:hanging="0" w:start="90" w:end="0"/>
        <w:jc w:val="both"/>
        <w:rPr>
          <w:color w:val="000000"/>
        </w:rPr>
      </w:pPr>
      <w:r>
        <w:rPr>
          <w:color w:val="000000"/>
        </w:rPr>
      </w:r>
    </w:p>
    <w:p>
      <w:pPr>
        <w:pStyle w:val="CopyList"/>
        <w:tabs>
          <w:tab w:val="clear" w:pos="504"/>
          <w:tab w:val="left" w:pos="90" w:leader="none"/>
        </w:tabs>
        <w:spacing w:before="0" w:after="0"/>
        <w:ind w:hanging="0" w:start="90" w:end="0"/>
        <w:jc w:val="both"/>
        <w:rPr>
          <w:color w:val="000000"/>
        </w:rPr>
      </w:pPr>
      <w:r>
        <w:rPr>
          <w:color w:val="000000"/>
        </w:rPr>
      </w:r>
    </w:p>
    <w:p>
      <w:pPr>
        <w:pStyle w:val="CopyList"/>
        <w:tabs>
          <w:tab w:val="clear" w:pos="504"/>
          <w:tab w:val="left" w:pos="90" w:leader="none"/>
        </w:tabs>
        <w:spacing w:before="0" w:after="0"/>
        <w:ind w:hanging="0" w:start="90" w:end="0"/>
        <w:jc w:val="both"/>
        <w:rPr>
          <w:color w:val="000000"/>
        </w:rPr>
      </w:pPr>
      <w:r>
        <w:rPr>
          <w:color w:val="000000"/>
        </w:rPr>
      </w:r>
    </w:p>
    <w:p>
      <w:pPr>
        <w:pStyle w:val="CopyList"/>
        <w:tabs>
          <w:tab w:val="clear" w:pos="504"/>
          <w:tab w:val="left" w:pos="90" w:leader="none"/>
        </w:tabs>
        <w:spacing w:before="0" w:after="0"/>
        <w:ind w:hanging="0" w:start="90" w:end="0"/>
        <w:jc w:val="both"/>
        <w:rPr>
          <w:b/>
          <w:color w:val="000000"/>
          <w:u w:val="single"/>
        </w:rPr>
      </w:pPr>
      <w:r>
        <w:rPr>
          <w:b/>
          <w:color w:val="000000"/>
          <w:u w:val="single"/>
        </w:rPr>
        <w:t>OTHER</w:t>
      </w:r>
    </w:p>
    <w:p>
      <w:pPr>
        <w:pStyle w:val="CopyList"/>
        <w:tabs>
          <w:tab w:val="clear" w:pos="504"/>
          <w:tab w:val="left" w:pos="90" w:leader="none"/>
        </w:tabs>
        <w:spacing w:before="0" w:after="0"/>
        <w:ind w:hanging="0" w:start="90" w:end="0"/>
        <w:jc w:val="both"/>
        <w:rPr>
          <w:b/>
          <w:color w:val="000000"/>
          <w:u w:val="single"/>
        </w:rPr>
      </w:pPr>
      <w:r>
        <w:rPr>
          <w:b/>
          <w:color w:val="000000"/>
          <w:u w:val="single"/>
        </w:rPr>
      </w:r>
    </w:p>
    <w:p>
      <w:pPr>
        <w:pStyle w:val="CopyList"/>
        <w:numPr>
          <w:ilvl w:val="0"/>
          <w:numId w:val="3"/>
        </w:numPr>
        <w:tabs>
          <w:tab w:val="clear" w:pos="504"/>
          <w:tab w:val="left" w:pos="90" w:leader="none"/>
        </w:tabs>
        <w:spacing w:before="0" w:after="0"/>
        <w:jc w:val="both"/>
        <w:rPr>
          <w:color w:val="000000"/>
        </w:rPr>
      </w:pPr>
      <w:r>
        <w:rPr>
          <w:color w:val="000000"/>
        </w:rPr>
        <w:t xml:space="preserve">Now that we have gotten 5000 employees to respond to “ETC,” I am concerned that we will not take timely action on these results.  If this occurs, our employees may not participate again.  To that end, I would like to ask </w:t>
      </w:r>
      <w:r>
        <w:rPr>
          <w:color w:val="000000"/>
          <w:u w:val="single"/>
        </w:rPr>
        <w:t>Ray Bennett</w:t>
      </w:r>
      <w:r>
        <w:rPr>
          <w:color w:val="000000"/>
        </w:rPr>
        <w:t xml:space="preserve">, </w:t>
      </w:r>
      <w:r>
        <w:rPr>
          <w:color w:val="000000"/>
          <w:u w:val="single"/>
        </w:rPr>
        <w:t>Ranabir Dutt</w:t>
      </w:r>
      <w:r>
        <w:rPr>
          <w:color w:val="000000"/>
        </w:rPr>
        <w:t xml:space="preserve"> and </w:t>
      </w:r>
      <w:r>
        <w:rPr>
          <w:color w:val="000000"/>
          <w:u w:val="single"/>
        </w:rPr>
        <w:t>Kathy Cook</w:t>
      </w:r>
      <w:r>
        <w:rPr>
          <w:color w:val="000000"/>
        </w:rPr>
        <w:t xml:space="preserve"> to take the lead on developing a plan to ensure that our employees are given the proper feedback by their business units.</w:t>
      </w:r>
    </w:p>
    <w:p>
      <w:pPr>
        <w:pStyle w:val="CopyList"/>
        <w:numPr>
          <w:ilvl w:val="0"/>
          <w:numId w:val="3"/>
        </w:numPr>
        <w:tabs>
          <w:tab w:val="clear" w:pos="504"/>
          <w:tab w:val="left" w:pos="90" w:leader="none"/>
        </w:tabs>
        <w:spacing w:before="0" w:after="0"/>
        <w:jc w:val="both"/>
        <w:rPr>
          <w:color w:val="000000"/>
        </w:rPr>
      </w:pPr>
      <w:r>
        <w:rPr>
          <w:color w:val="000000"/>
        </w:rPr>
        <w:t xml:space="preserve">Given that we are getting feedback from 250 employee surveys from the “100 Best Companies Survey” in early December, </w:t>
      </w:r>
      <w:r>
        <w:rPr>
          <w:color w:val="000000"/>
          <w:u w:val="single"/>
        </w:rPr>
        <w:t>Jim Prentice</w:t>
      </w:r>
      <w:r>
        <w:rPr>
          <w:color w:val="000000"/>
        </w:rPr>
        <w:t xml:space="preserve"> has volunteered to study this data and give us any recommendations for additional areas of focus for our task force that might come from this survey.</w:t>
      </w:r>
    </w:p>
    <w:p>
      <w:pPr>
        <w:pStyle w:val="CopyList"/>
        <w:numPr>
          <w:ilvl w:val="0"/>
          <w:numId w:val="3"/>
        </w:numPr>
        <w:tabs>
          <w:tab w:val="clear" w:pos="504"/>
          <w:tab w:val="left" w:pos="90" w:leader="none"/>
        </w:tabs>
        <w:spacing w:before="0" w:after="0"/>
        <w:jc w:val="both"/>
        <w:rPr>
          <w:color w:val="000000"/>
        </w:rPr>
      </w:pPr>
      <w:r>
        <w:rPr>
          <w:color w:val="000000"/>
        </w:rPr>
        <w:t xml:space="preserve">The group agreed to look seriously at an </w:t>
      </w:r>
      <w:r>
        <w:rPr>
          <w:color w:val="000000"/>
          <w:u w:val="single"/>
        </w:rPr>
        <w:t>All-Spouse Meeting</w:t>
      </w:r>
      <w:r>
        <w:rPr>
          <w:color w:val="000000"/>
        </w:rPr>
        <w:t xml:space="preserve">, </w:t>
      </w:r>
      <w:r>
        <w:rPr>
          <w:color w:val="000000"/>
          <w:u w:val="single"/>
        </w:rPr>
        <w:t>but</w:t>
      </w:r>
      <w:r>
        <w:rPr>
          <w:color w:val="000000"/>
        </w:rPr>
        <w:t xml:space="preserve"> that it must be done right.  I would like to ask </w:t>
      </w:r>
      <w:r>
        <w:rPr>
          <w:color w:val="000000"/>
          <w:u w:val="single"/>
        </w:rPr>
        <w:t>Cindy Olson</w:t>
      </w:r>
      <w:r>
        <w:rPr>
          <w:color w:val="000000"/>
        </w:rPr>
        <w:t xml:space="preserve"> and </w:t>
      </w:r>
      <w:r>
        <w:rPr>
          <w:color w:val="000000"/>
          <w:u w:val="single"/>
        </w:rPr>
        <w:t>Andy Fastow</w:t>
      </w:r>
      <w:r>
        <w:rPr>
          <w:color w:val="000000"/>
        </w:rPr>
        <w:t xml:space="preserve"> to work with me on the possibility of this meeting.</w:t>
      </w:r>
    </w:p>
    <w:p>
      <w:pPr>
        <w:pStyle w:val="CopyList"/>
        <w:numPr>
          <w:ilvl w:val="0"/>
          <w:numId w:val="3"/>
        </w:numPr>
        <w:tabs>
          <w:tab w:val="clear" w:pos="504"/>
          <w:tab w:val="left" w:pos="90" w:leader="none"/>
        </w:tabs>
        <w:spacing w:before="0" w:after="0"/>
        <w:jc w:val="both"/>
        <w:rPr>
          <w:color w:val="000000"/>
        </w:rPr>
      </w:pPr>
      <w:r>
        <w:rPr>
          <w:color w:val="000000"/>
        </w:rPr>
        <w:t xml:space="preserve">We decided not to pursue the idea of an internal campaign around “Why Enron is a Great Place” to work as we need to focus our efforts on communicating the importance of the value of Communication at Enron.  </w:t>
      </w:r>
    </w:p>
    <w:p>
      <w:pPr>
        <w:pStyle w:val="CopyList"/>
        <w:tabs>
          <w:tab w:val="clear" w:pos="504"/>
          <w:tab w:val="left" w:pos="90" w:leader="none"/>
        </w:tabs>
        <w:spacing w:before="0" w:after="0"/>
        <w:jc w:val="both"/>
        <w:rPr>
          <w:color w:val="000000"/>
        </w:rPr>
      </w:pPr>
      <w:r>
        <w:rPr>
          <w:color w:val="000000"/>
        </w:rPr>
      </w:r>
    </w:p>
    <w:p>
      <w:pPr>
        <w:pStyle w:val="CopyList"/>
        <w:tabs>
          <w:tab w:val="clear" w:pos="504"/>
          <w:tab w:val="left" w:pos="90" w:leader="none"/>
        </w:tabs>
        <w:spacing w:before="0" w:after="0"/>
        <w:ind w:hanging="0" w:start="90" w:end="0"/>
        <w:jc w:val="both"/>
        <w:rPr/>
      </w:pPr>
      <w:r>
        <w:rPr>
          <w:color w:val="000000"/>
        </w:rPr>
        <w:tab/>
        <w:t xml:space="preserve">As you can all see, we have an ambitious year planned for V&amp;V, but I am very pleased with our ideas and commitment and look forward to working with you to achieve these goals.  If we are successful, clearly </w:t>
      </w:r>
      <w:r>
        <w:rPr>
          <w:color w:val="000000"/>
          <w:u w:val="single"/>
        </w:rPr>
        <w:t xml:space="preserve">Communication </w:t>
      </w:r>
      <w:r>
        <w:rPr>
          <w:color w:val="000000"/>
        </w:rPr>
        <w:t xml:space="preserve">across Enron will improve and our company will be an even better place to work </w:t>
      </w:r>
      <w:r>
        <w:rPr>
          <w:color w:val="000000"/>
          <w:u w:val="single"/>
        </w:rPr>
        <w:t>and</w:t>
      </w:r>
      <w:r>
        <w:rPr>
          <w:color w:val="000000"/>
        </w:rPr>
        <w:t xml:space="preserve"> even more successful!</w:t>
      </w:r>
    </w:p>
    <w:p>
      <w:pPr>
        <w:pStyle w:val="CopyList"/>
        <w:tabs>
          <w:tab w:val="clear" w:pos="504"/>
          <w:tab w:val="left" w:pos="90" w:leader="none"/>
        </w:tabs>
        <w:spacing w:before="0" w:after="0"/>
        <w:jc w:val="both"/>
        <w:rPr>
          <w:color w:val="000000"/>
        </w:rPr>
      </w:pPr>
      <w:r>
        <w:rPr>
          <w:color w:val="000000"/>
        </w:rPr>
      </w:r>
    </w:p>
    <w:p>
      <w:pPr>
        <w:pStyle w:val="CopyList"/>
        <w:tabs>
          <w:tab w:val="clear" w:pos="504"/>
          <w:tab w:val="left" w:pos="90" w:leader="none"/>
        </w:tabs>
        <w:spacing w:before="0" w:after="0"/>
        <w:ind w:hanging="36" w:start="90" w:end="0"/>
        <w:jc w:val="both"/>
        <w:rPr>
          <w:color w:val="000000"/>
        </w:rPr>
      </w:pPr>
      <w:r>
        <w:rPr>
          <w:color w:val="000000"/>
        </w:rPr>
        <w:tab/>
        <w:tab/>
        <w:t>Also, attached you will find a meeting schedule with dates for 2000 Task Force meetings and an updated Task Force member contact list.  Please feel free to call me with questions or concerns.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280035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2.0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Symbol" w:hAnsi="Symbol" w:cs="Symbol"/>
      <w:color w:val="auto"/>
      <w:sz w:val="28"/>
    </w:rPr>
  </w:style>
  <w:style w:type="character" w:styleId="WW8Num3z0">
    <w:name w:val="WW8Num3z0"/>
    <w:qFormat/>
    <w:rPr>
      <w:rFonts w:ascii="Symbol" w:hAnsi="Symbol" w:cs="Symbol"/>
    </w:rPr>
  </w:style>
  <w:style w:type="character" w:styleId="WW8Num5z0">
    <w:name w:val="WW8Num5z0"/>
    <w:qFormat/>
    <w:rPr>
      <w:rFonts w:ascii="Symbol" w:hAnsi="Symbol" w:cs="Symbol"/>
      <w:color w:val="auto"/>
      <w:sz w:val="28"/>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EESmemo</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1999-12-06T18:38:00Z</dcterms:created>
  <dc:creator>EES User</dc:creator>
  <dc:description/>
  <dc:language>en-CA</dc:language>
  <cp:lastModifiedBy>rbrown</cp:lastModifiedBy>
  <cp:lastPrinted>1999-12-09T11:57:00Z</cp:lastPrinted>
  <dcterms:modified xsi:type="dcterms:W3CDTF">1999-12-09T15:29:00Z</dcterms:modified>
  <cp:revision>25</cp:revision>
  <dc:subject/>
  <dc:title>Eron Capital &amp; Trade Resources Memo</dc:title>
</cp:coreProperties>
</file>