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bookmarkStart w:id="0" w:name="to"/>
            <w:bookmarkEnd w:id="0"/>
            <w:r>
              <w:rPr/>
              <w:t>Enron Corp. VP PRC Committee</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Kevin Hannon, Cindy Olson, David Oxley</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1" w:name="From"/>
            <w:bookmarkEnd w:id="1"/>
            <w:r>
              <w:rPr/>
              <w:t>PRC</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rPr/>
            </w:pPr>
            <w:bookmarkStart w:id="2" w:name="Subject"/>
            <w:bookmarkEnd w:id="2"/>
            <w:r>
              <w:rPr/>
              <w:t>VP PRC Committee Minutes – 10 October 2000</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p>
    <w:p>
      <w:pPr>
        <w:pStyle w:val="Body"/>
        <w:rPr/>
      </w:pPr>
      <w:r>
        <w:rPr/>
      </w:r>
      <w:bookmarkStart w:id="3" w:name="StartOfMemo"/>
      <w:bookmarkStart w:id="4" w:name="StartOfMemo"/>
      <w:bookmarkEnd w:id="4"/>
    </w:p>
    <w:p>
      <w:pPr>
        <w:pStyle w:val="Body"/>
        <w:rPr/>
      </w:pPr>
      <w:r>
        <w:rPr/>
        <w:t>VP PRC Committee meeting, 10 October 2000</w:t>
      </w:r>
    </w:p>
    <w:p>
      <w:pPr>
        <w:pStyle w:val="Body"/>
        <w:rPr/>
      </w:pPr>
      <w:r>
        <w:rPr/>
      </w:r>
    </w:p>
    <w:p>
      <w:pPr>
        <w:pStyle w:val="Body"/>
        <w:rPr/>
      </w:pPr>
      <w:r>
        <w:rPr/>
        <w:t>Further to yesterday’s meeting, the following comprises the results of the outcome and action points.</w:t>
      </w:r>
    </w:p>
    <w:p>
      <w:pPr>
        <w:pStyle w:val="Body"/>
        <w:rPr/>
      </w:pPr>
      <w:r>
        <w:rPr/>
      </w:r>
    </w:p>
    <w:p>
      <w:pPr>
        <w:pStyle w:val="Body"/>
        <w:rPr/>
      </w:pPr>
      <w:r>
        <w:rPr/>
        <w:t>Mid-Year 2000 Final results</w:t>
      </w:r>
    </w:p>
    <w:p>
      <w:pPr>
        <w:pStyle w:val="Body"/>
        <w:rPr/>
      </w:pPr>
      <w:r>
        <w:rPr/>
      </w:r>
    </w:p>
    <w:p>
      <w:pPr>
        <w:pStyle w:val="Body"/>
        <w:numPr>
          <w:ilvl w:val="0"/>
          <w:numId w:val="2"/>
        </w:numPr>
        <w:tabs>
          <w:tab w:val="left" w:pos="432" w:leader="none"/>
        </w:tabs>
        <w:ind w:hanging="360" w:start="432" w:end="0"/>
        <w:rPr/>
      </w:pPr>
      <w:r>
        <w:rPr/>
        <w:t>Mid-year 2000 Commercial VP results were presented to the Committee to review changes made by the Executive Committee.  Committee recommends that it have the opportunity to review any changes made to the slate before the Executive Committee finalizes them. To this end the recommendation from the Committee was that they should reconvene the day following the Executive Committee to consider any comments they may have.</w:t>
        <w:tab/>
        <w:tab/>
        <w:tab/>
        <w:t>ACTION : Kevin and Cindy to discuss with Jeff S.</w:t>
        <w:tab/>
      </w:r>
    </w:p>
    <w:p>
      <w:pPr>
        <w:pStyle w:val="Body"/>
        <w:rPr/>
      </w:pPr>
      <w:r>
        <w:rPr/>
      </w:r>
    </w:p>
    <w:p>
      <w:pPr>
        <w:pStyle w:val="Body"/>
        <w:rPr/>
      </w:pPr>
      <w:r>
        <w:rPr/>
        <w:t>Mid-year 2000 Post Script</w:t>
      </w:r>
    </w:p>
    <w:p>
      <w:pPr>
        <w:pStyle w:val="Body"/>
        <w:rPr/>
      </w:pPr>
      <w:r>
        <w:rPr/>
      </w:r>
    </w:p>
    <w:p>
      <w:pPr>
        <w:pStyle w:val="Body"/>
        <w:numPr>
          <w:ilvl w:val="0"/>
          <w:numId w:val="6"/>
        </w:numPr>
        <w:tabs>
          <w:tab w:val="left" w:pos="432" w:leader="none"/>
        </w:tabs>
        <w:ind w:hanging="360" w:start="432" w:end="0"/>
        <w:rPr/>
      </w:pPr>
      <w:r>
        <w:rPr/>
        <w:t xml:space="preserve">Regarding more comprehensive Business Unit and Functional representation at final pre-ranking meetings, committee will recommend to Mr. Skilling that four additional members be nominated to join the VP PRC Committee for year-end, representing Enron Global Markets, Enron Industrial Markets, EES/Europe and RAC.  (Messrs. Shankman, Bowen, Scrimshaw and Buy).   Pending approval, the schedule for MD participation at BU and Functional meetings will be adjusted accordingly and distributed to Committee.   </w:t>
      </w:r>
    </w:p>
    <w:p>
      <w:pPr>
        <w:pStyle w:val="Body"/>
        <w:ind w:start="720" w:end="0"/>
        <w:rPr/>
      </w:pPr>
      <w:r>
        <w:rPr/>
        <w:t>ACTION: Kevin and Cindy to discuss with Jeff S.</w:t>
      </w:r>
    </w:p>
    <w:p>
      <w:pPr>
        <w:pStyle w:val="Body"/>
        <w:tabs>
          <w:tab w:val="left" w:pos="552" w:leader="none"/>
        </w:tabs>
        <w:ind w:start="0" w:end="0"/>
        <w:rPr/>
      </w:pPr>
      <w:r>
        <w:rPr/>
      </w:r>
    </w:p>
    <w:p>
      <w:pPr>
        <w:pStyle w:val="Body"/>
        <w:numPr>
          <w:ilvl w:val="0"/>
          <w:numId w:val="7"/>
        </w:numPr>
        <w:tabs>
          <w:tab w:val="left" w:pos="432" w:leader="none"/>
          <w:tab w:val="left" w:pos="552" w:leader="none"/>
        </w:tabs>
        <w:ind w:hanging="360" w:start="432" w:end="0"/>
        <w:rPr/>
      </w:pPr>
      <w:r>
        <w:rPr/>
        <w:t xml:space="preserve">Exceptions Reports – Committee wants the following exception reports for year-end: Tenure less than one year in top 2 categories, promoted or hired since year end 99, moved business units since year end, moved two or more ratings since year end, rating changes between functional and BU final meetings (see below).  Committee has also asked for a report to illustrate the follow up if any on those employees who fell in the bottom two categories after mid-year 2000. Specifically this was requested with a view to facilitating a discussion about a targeted bottom 15% while not penalizing groups who may have parted company with marginal performers since mid-year.  </w:t>
      </w:r>
    </w:p>
    <w:p>
      <w:pPr>
        <w:pStyle w:val="Body"/>
        <w:tabs>
          <w:tab w:val="left" w:pos="552" w:leader="none"/>
        </w:tabs>
        <w:ind w:start="0" w:end="0"/>
        <w:rPr>
          <w:rFonts w:eastAsia="Arial"/>
        </w:rPr>
      </w:pPr>
      <w:r>
        <w:rPr>
          <w:rFonts w:eastAsia="Arial"/>
        </w:rPr>
        <w:t xml:space="preserve">  </w:t>
      </w:r>
    </w:p>
    <w:p>
      <w:pPr>
        <w:pStyle w:val="Body"/>
        <w:numPr>
          <w:ilvl w:val="0"/>
          <w:numId w:val="7"/>
        </w:numPr>
        <w:tabs>
          <w:tab w:val="left" w:pos="432" w:leader="none"/>
          <w:tab w:val="left" w:pos="552" w:leader="none"/>
        </w:tabs>
        <w:ind w:hanging="360" w:start="432" w:end="0"/>
        <w:rPr/>
      </w:pPr>
      <w:r>
        <w:rPr/>
        <w:t>Regarding discrepancies between Functional and BU rankings, committee has mandated that the lower rank will prevail unless the discrepancy is resolved before the VP final meeting.</w:t>
      </w:r>
    </w:p>
    <w:p>
      <w:pPr>
        <w:pStyle w:val="Body"/>
        <w:tabs>
          <w:tab w:val="left" w:pos="552" w:leader="none"/>
        </w:tabs>
        <w:ind w:start="0" w:end="0"/>
        <w:rPr/>
      </w:pPr>
      <w:r>
        <w:rPr/>
      </w:r>
    </w:p>
    <w:p>
      <w:pPr>
        <w:pStyle w:val="Body"/>
        <w:numPr>
          <w:ilvl w:val="0"/>
          <w:numId w:val="7"/>
        </w:numPr>
        <w:tabs>
          <w:tab w:val="left" w:pos="432" w:leader="none"/>
          <w:tab w:val="left" w:pos="552" w:leader="none"/>
        </w:tabs>
        <w:ind w:hanging="360" w:start="432" w:end="0"/>
        <w:rPr/>
      </w:pPr>
      <w:r>
        <w:rPr/>
        <w:t>Supplementary information - Committee requests that supplementary information, hi/low/average 360 feedback, recruitment efforts and attendance at Impact and Influence course and participation on V&amp;V and Diversity Task Force  (new for year-end 2000) be included on the biographic profile rather than in the data book.</w:t>
      </w:r>
    </w:p>
    <w:p>
      <w:pPr>
        <w:pStyle w:val="Body"/>
        <w:tabs>
          <w:tab w:val="left" w:pos="552" w:leader="none"/>
        </w:tabs>
        <w:ind w:start="0" w:end="0"/>
        <w:rPr/>
      </w:pPr>
      <w:r>
        <w:rPr/>
      </w:r>
    </w:p>
    <w:p>
      <w:pPr>
        <w:pStyle w:val="Body"/>
        <w:numPr>
          <w:ilvl w:val="0"/>
          <w:numId w:val="7"/>
        </w:numPr>
        <w:tabs>
          <w:tab w:val="left" w:pos="432" w:leader="none"/>
          <w:tab w:val="left" w:pos="552" w:leader="none"/>
        </w:tabs>
        <w:ind w:hanging="360" w:start="432" w:end="0"/>
        <w:rPr/>
      </w:pPr>
      <w:r>
        <w:rPr/>
        <w:t xml:space="preserve">Books, Materials and Profiles – Committee recognizes that materials cannot be distributed in advance.  Instead, PRC team will ensure that materials are available at PRC Department in Enron Building Houston for Committee members to see in advance, if they wish.  Committee prefers hard copy profile books—similar to those provided at mid-year.  Committee has also asked us to project profiles on a second screen in the meeting room. (Requires a second system driver—likely to be Cindy Olson at year-end). </w:t>
      </w:r>
    </w:p>
    <w:p>
      <w:pPr>
        <w:pStyle w:val="Body"/>
        <w:tabs>
          <w:tab w:val="left" w:pos="552" w:leader="none"/>
        </w:tabs>
        <w:ind w:start="0" w:end="0"/>
        <w:rPr/>
      </w:pPr>
      <w:r>
        <w:rPr/>
      </w:r>
    </w:p>
    <w:p>
      <w:pPr>
        <w:pStyle w:val="Body"/>
        <w:tabs>
          <w:tab w:val="left" w:pos="552" w:leader="none"/>
        </w:tabs>
        <w:ind w:start="0" w:end="0"/>
        <w:rPr/>
      </w:pPr>
      <w:r>
        <w:rPr/>
        <w:t>Key Year-End 2000 Issues</w:t>
      </w:r>
    </w:p>
    <w:p>
      <w:pPr>
        <w:pStyle w:val="Body"/>
        <w:tabs>
          <w:tab w:val="left" w:pos="552" w:leader="none"/>
        </w:tabs>
        <w:ind w:start="0" w:end="0"/>
        <w:rPr/>
      </w:pPr>
      <w:r>
        <w:rPr/>
      </w:r>
    </w:p>
    <w:p>
      <w:pPr>
        <w:pStyle w:val="Body"/>
        <w:numPr>
          <w:ilvl w:val="0"/>
          <w:numId w:val="5"/>
        </w:numPr>
        <w:tabs>
          <w:tab w:val="left" w:pos="480" w:leader="none"/>
          <w:tab w:val="left" w:pos="552" w:leader="none"/>
        </w:tabs>
        <w:ind w:hanging="360" w:start="480" w:end="0"/>
        <w:rPr/>
      </w:pPr>
      <w:r>
        <w:rPr/>
        <w:t xml:space="preserve">Performance Criteria – To illustrate connecting and leveraging we will add in the Communication/Setting Direction category the phrase “utilizes skills and resources to connect and leverage across Enron.”  To describe or highlight movement between operating companies, in the Innovation/Entrepreneurship category we will include the phrase “possesses or develops broad skill sets transferable across Enron”.    </w:t>
      </w:r>
    </w:p>
    <w:p>
      <w:pPr>
        <w:pStyle w:val="Body"/>
        <w:tabs>
          <w:tab w:val="left" w:pos="552" w:leader="none"/>
        </w:tabs>
        <w:rPr/>
      </w:pPr>
      <w:r>
        <w:rPr/>
      </w:r>
    </w:p>
    <w:p>
      <w:pPr>
        <w:pStyle w:val="Body"/>
        <w:numPr>
          <w:ilvl w:val="0"/>
          <w:numId w:val="9"/>
        </w:numPr>
        <w:tabs>
          <w:tab w:val="left" w:pos="432" w:leader="none"/>
          <w:tab w:val="left" w:pos="552" w:leader="none"/>
        </w:tabs>
        <w:ind w:hanging="360" w:start="432" w:end="0"/>
        <w:rPr/>
      </w:pPr>
      <w:r>
        <w:rPr/>
        <w:t>Proposed Changes to Cluster Descriptors - Committee concurred on changes to the Superior through Needs Improvement cluster descriptors.  It has suggested the following wording for the Issues cluster: “Against the performance criteria these employees do not meet expectations.  They must make changes or termination likely.</w:t>
      </w:r>
    </w:p>
    <w:p>
      <w:pPr>
        <w:pStyle w:val="Body"/>
        <w:tabs>
          <w:tab w:val="left" w:pos="552" w:leader="none"/>
        </w:tabs>
        <w:rPr/>
      </w:pPr>
      <w:r>
        <w:rPr/>
      </w:r>
    </w:p>
    <w:p>
      <w:pPr>
        <w:pStyle w:val="Body"/>
        <w:numPr>
          <w:ilvl w:val="0"/>
          <w:numId w:val="3"/>
        </w:numPr>
        <w:tabs>
          <w:tab w:val="left" w:pos="432" w:leader="none"/>
        </w:tabs>
        <w:ind w:hanging="360" w:start="432" w:end="0"/>
        <w:rPr/>
      </w:pPr>
      <w:r>
        <w:rPr/>
        <w:t xml:space="preserve">Preferred Distribution – Committee discussed suggested modified year end preferred distribution of 5% Superior, 30% Excellent, 30% Strong, 20% Satisfactory and 15% among the Needs Improvement and Issues categories.  The Committee agreed to take responsibility to ensure that these guidelines are communicated to the appropriate individuals in their organizations who will conduct the Price’s, while remaining extremely discreet given the organization sensitivities and possible misunderstandings.  In order to assist with concerns expressed over the across the board application of the preferred distribution regardless of BU performance, it was agreed that an independent financial report would be helpful illustrating how each Business Unit had performed relative to plan. </w:t>
      </w:r>
    </w:p>
    <w:p>
      <w:pPr>
        <w:pStyle w:val="Body"/>
        <w:ind w:firstLine="720" w:start="720" w:end="0"/>
        <w:rPr/>
      </w:pPr>
      <w:r>
        <w:rPr/>
        <w:t xml:space="preserve">ACTION: (Mr. Colwell to ensure that financials are available at final meeting.) </w:t>
      </w:r>
    </w:p>
    <w:p>
      <w:pPr>
        <w:pStyle w:val="Body"/>
        <w:rPr/>
      </w:pPr>
      <w:r>
        <w:rPr/>
      </w:r>
    </w:p>
    <w:p>
      <w:pPr>
        <w:pStyle w:val="Body"/>
        <w:numPr>
          <w:ilvl w:val="0"/>
          <w:numId w:val="8"/>
        </w:numPr>
        <w:tabs>
          <w:tab w:val="left" w:pos="420" w:leader="none"/>
        </w:tabs>
        <w:ind w:hanging="360" w:start="420" w:end="0"/>
        <w:rPr/>
      </w:pPr>
      <w:r>
        <w:rPr/>
        <w:t xml:space="preserve">Promotion Criteria – Promotion nominations may occur at both the BU/Functional pre-ranking meetings and in the final VP PRC meeting. Nominations will be solicited from BU’s and Functions beforehand but no formality will be introduced requiring only advance nominations to be eligible.  </w:t>
      </w:r>
    </w:p>
    <w:p>
      <w:pPr>
        <w:pStyle w:val="Body"/>
        <w:ind w:start="60" w:end="0"/>
        <w:rPr/>
      </w:pPr>
      <w:r>
        <w:rPr/>
      </w:r>
    </w:p>
    <w:p>
      <w:pPr>
        <w:pStyle w:val="Body"/>
        <w:numPr>
          <w:ilvl w:val="0"/>
          <w:numId w:val="4"/>
        </w:numPr>
        <w:tabs>
          <w:tab w:val="left" w:pos="420" w:leader="none"/>
          <w:tab w:val="left" w:pos="480" w:leader="none"/>
        </w:tabs>
        <w:ind w:hanging="360" w:start="420" w:end="0"/>
        <w:rPr/>
      </w:pPr>
      <w:r>
        <w:rPr/>
        <w:t xml:space="preserve">Final Meetings – Committee requests that VP’s in Specialized Technical and Technical Peer Groups be pre-ranked with respect to the preferred distribution guidelines before final meetings.  Messrs. Bibi, Kaminski and Derrick should meet after 15 December (when PRC meetings are concluded) and 2 January to pre-rank Specialized Technical; likewise Messrs. Hayslett and Westfahl should meet during the same time frame to pre-rank the Technical Peer Group.  </w:t>
      </w:r>
    </w:p>
    <w:p>
      <w:pPr>
        <w:pStyle w:val="Body"/>
        <w:tabs>
          <w:tab w:val="left" w:pos="480" w:leader="none"/>
        </w:tabs>
        <w:ind w:start="60" w:end="0"/>
        <w:rPr/>
      </w:pPr>
      <w:r>
        <w:rPr/>
      </w:r>
    </w:p>
    <w:p>
      <w:pPr>
        <w:pStyle w:val="Body"/>
        <w:numPr>
          <w:ilvl w:val="0"/>
          <w:numId w:val="4"/>
        </w:numPr>
        <w:tabs>
          <w:tab w:val="left" w:pos="420" w:leader="none"/>
          <w:tab w:val="left" w:pos="480" w:leader="none"/>
        </w:tabs>
        <w:ind w:hanging="360" w:start="420" w:end="0"/>
        <w:rPr/>
      </w:pPr>
      <w:r>
        <w:rPr/>
        <w:t xml:space="preserve">Committee prefers to conduct meetings on 3 and 4 January 2001.  Meetings will commence on the afternoon of 3 January for review of Specialized Technical and Technical Peer Group pre-rankings and to do Commercial Support Peer Group ranking.  4 January will be devoted to ranking Commercial Peer Group.     </w:t>
      </w:r>
    </w:p>
    <w:p>
      <w:pPr>
        <w:pStyle w:val="Body"/>
        <w:tabs>
          <w:tab w:val="left" w:pos="480" w:leader="none"/>
        </w:tabs>
        <w:ind w:start="420" w:end="0"/>
        <w:rPr/>
      </w:pPr>
      <w:r>
        <w:rPr/>
        <w:tab/>
        <w:tab/>
        <w:tab/>
        <w:t>NB: Dates subsequently changed as follows January 5</w:t>
      </w:r>
      <w:r>
        <w:rPr>
          <w:vertAlign w:val="superscript"/>
        </w:rPr>
        <w:t>th</w:t>
      </w:r>
      <w:r>
        <w:rPr/>
        <w:t xml:space="preserve"> – CS, Tech and Specialized Tech pre-ratings. January 8</w:t>
      </w:r>
      <w:r>
        <w:rPr>
          <w:vertAlign w:val="superscript"/>
        </w:rPr>
        <w:t>th</w:t>
      </w:r>
      <w:r>
        <w:rPr/>
        <w:t xml:space="preserve"> –Commercial VP review and any necessary tweaking of CS review.  Jan 9</w:t>
      </w:r>
      <w:r>
        <w:rPr>
          <w:vertAlign w:val="superscript"/>
        </w:rPr>
        <w:t>th</w:t>
      </w:r>
      <w:r>
        <w:rPr/>
        <w:t xml:space="preserve"> Exec Committee meets.   January 10</w:t>
      </w:r>
      <w:r>
        <w:rPr>
          <w:vertAlign w:val="superscript"/>
        </w:rPr>
        <w:t>th</w:t>
      </w:r>
      <w:r>
        <w:rPr/>
        <w:t xml:space="preserve"> – VP PRC Committee reconvene if necessary. </w:t>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CopyList"/>
        <w:rPr/>
      </w:pPr>
      <w:r>
        <w:rPr/>
        <w:t>CC:</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 w:val="right" w:pos="10800" w:leader="none"/>
      </w:tabs>
      <w:rPr>
        <w:sz w:val="12"/>
      </w:rPr>
    </w:pPr>
    <w:r>
      <w:rPr>
        <w:sz w:val="12"/>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3</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294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2945"/>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3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Bfsmemo2</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2000-10-17T10:16:00Z</dcterms:created>
  <dc:creator>gcortese</dc:creator>
  <dc:description/>
  <dc:language>en-CA</dc:language>
  <cp:lastModifiedBy>gcortese</cp:lastModifiedBy>
  <dcterms:modified xsi:type="dcterms:W3CDTF">2000-10-17T10:16:00Z</dcterms:modified>
  <cp:revision>2</cp:revision>
  <dc:subject/>
  <dc:title>Better, Faster, Simpler Memo </dc:title>
</cp:coreProperties>
</file>