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75pt;height:89.25pt;mso-wrap-distance-left:9.05pt;mso-wrap-distance-right:9.05pt;mso-position-horizontal-relative:text;mso-position-vertical-relative:text" filled="f" o:ole="">
            <v:imagedata r:id="rId3" o:title=""/>
          </v:shape>
          <o:OLEObject Type="Embed" ProgID="" ShapeID="ole_rId2" DrawAspect="Content" ObjectID="_1539244563" r:id="rId2"/>
        </w:object>
      </w:r>
      <w:r>
        <w:rPr>
          <w:sz w:val="20"/>
        </w:rPr>
        <w:t>December 21, 2001</w:t>
      </w:r>
    </w:p>
    <w:p>
      <w:pPr>
        <w:pStyle w:val="Normal"/>
        <w:jc w:val="end"/>
        <w:rPr>
          <w:sz w:val="20"/>
        </w:rPr>
      </w:pPr>
      <w:r>
        <w:rPr>
          <w:sz w:val="20"/>
        </w:rPr>
        <w:t>Vol. 3, No. 24</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BodyText"/>
        <w:spacing w:before="0" w:after="120"/>
        <w:jc w:val="center"/>
        <w:rPr>
          <w:rFonts w:ascii="Arial" w:hAnsi="Arial" w:cs="Arial"/>
          <w:b/>
          <w:sz w:val="22"/>
        </w:rPr>
      </w:pPr>
      <w:r>
        <w:rPr>
          <w:rFonts w:cs="Arial" w:ascii="Arial" w:hAnsi="Arial"/>
          <w:b/>
          <w:sz w:val="24"/>
        </w:rPr>
        <w:t>A Holiday Gift that Keeps on Giving</w:t>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BodyText"/>
        <w:spacing w:before="0" w:after="120"/>
        <w:jc w:val="both"/>
        <w:rPr>
          <w:rFonts w:ascii="Arial" w:hAnsi="Arial" w:cs="Arial"/>
          <w:sz w:val="18"/>
        </w:rPr>
      </w:pPr>
      <w:r>
        <w:rPr>
          <w:rFonts w:cs="Arial" w:ascii="Arial" w:hAnsi="Arial"/>
          <w:sz w:val="18"/>
        </w:rPr>
        <w:t>The elves at the Federal Energy Regulatory Commission (FERC) are hard at work to give the country properly designed and sized wholesale power markets, the very best gift that the nation and its consumers could get from FERC. You can tell that Pat Wood and his helpers are making progress and stepping on some big toes because the power monopolists and those that profit from imperfect markets are beginning to talk about going as far as the White House to complain. The Edison Electric Institute reportedly has even convened top utility executives to plot how FERC can be knocked back into line.</w:t>
      </w:r>
    </w:p>
    <w:p>
      <w:pPr>
        <w:pStyle w:val="BodyText"/>
        <w:spacing w:before="0" w:after="120"/>
        <w:jc w:val="both"/>
        <w:rPr/>
      </w:pPr>
      <w:r>
        <w:rPr>
          <w:rFonts w:cs="Arial" w:ascii="Arial" w:hAnsi="Arial"/>
          <w:sz w:val="18"/>
        </w:rPr>
        <w:t>Now is the time for Pat Wood’s elves to keep working on market design and size. FERC’s December 19 orders concerning the Mid-west System Operator and the Alliance are courageous and prove that FERC is not wavering, despite efforts to intimidate it. Now is also the time for those interested in functioning, competitive wholesale markets to tell the politicians to keep their names off the “naughty” list and leave FERC to its job.</w:t>
      </w:r>
    </w:p>
    <w:p>
      <w:pPr>
        <w:pStyle w:val="BodyText"/>
        <w:spacing w:before="0" w:after="120"/>
        <w:jc w:val="both"/>
        <w:rPr/>
      </w:pPr>
      <w:r>
        <w:rPr>
          <w:rFonts w:cs="Arial" w:ascii="Arial" w:hAnsi="Arial"/>
          <w:sz w:val="18"/>
        </w:rPr>
        <w:t xml:space="preserve">On December 3, 2001 in the </w:t>
      </w:r>
      <w:r>
        <w:rPr>
          <w:rFonts w:cs="Arial" w:ascii="Arial" w:hAnsi="Arial"/>
          <w:i/>
          <w:sz w:val="18"/>
        </w:rPr>
        <w:t>Oil and Gas Journal Online</w:t>
      </w:r>
      <w:r>
        <w:rPr>
          <w:rFonts w:cs="Arial" w:ascii="Arial" w:hAnsi="Arial"/>
          <w:sz w:val="18"/>
        </w:rPr>
        <w:t xml:space="preserve">, FERC Commissioner Nora Brownell characterized the current electricity market as going through an "ugly adolescence." While she was speaking of the market, not the players, some players do indeed appear to demand immediate gratification without regard for the market. Commissioner Brownell rightly points out that to make it through this stage, there will need to be increased certainty about the market rules — and penalties for breaking those rules. </w:t>
      </w:r>
    </w:p>
    <w:p>
      <w:pPr>
        <w:pStyle w:val="BodyText"/>
        <w:spacing w:before="0" w:after="120"/>
        <w:jc w:val="both"/>
        <w:rPr/>
      </w:pPr>
      <w:r>
        <w:rPr>
          <w:rFonts w:cs="Arial" w:ascii="Arial" w:hAnsi="Arial"/>
          <w:sz w:val="18"/>
        </w:rPr>
        <w:t xml:space="preserve">Recent events, including the finding that PPL abused its market power to the detriment of consumers and Enron’s recent implosion, illustrate only too well the need for clear, firmly enforced rules to protect consumers and stockholders alike. “Tough love” may not be the most popular gift this holiday season, but it may be the recipe for maturity. </w:t>
      </w:r>
    </w:p>
    <w:p>
      <w:pPr>
        <w:pStyle w:val="BodyText"/>
        <w:spacing w:before="0" w:after="120"/>
        <w:jc w:val="both"/>
        <w:rPr/>
      </w:pPr>
      <w:r>
        <w:rPr>
          <w:rFonts w:cs="Arial" w:ascii="Arial" w:hAnsi="Arial"/>
          <w:sz w:val="18"/>
        </w:rPr>
        <w:t xml:space="preserve">This past summer and fall, FERC laid out a plan for the creation of several large Regional Transmission Organizations (RTOs). The RTOs would facilitate the creation of larger, integrated markets which would reduce market power and create more competitive and lower-cost markets. FERC directed that the Northeast RTO should be constructed on the PJM platform while incorporating the best practices of the New York and New England ISOs. With extensive stakeholder participation, FERC sought to identify "best practices" by asking the New York and New England ISOs and their stakeholders what they thought they did better than PJM. PJM then outlined how they thought they could implement any "best practices" determined to be appropriate. </w:t>
      </w:r>
    </w:p>
    <w:p>
      <w:pPr>
        <w:pStyle w:val="BodyText"/>
        <w:spacing w:before="0" w:after="120"/>
        <w:jc w:val="both"/>
        <w:rPr/>
      </w:pPr>
      <w:r>
        <w:rPr>
          <w:rFonts w:cs="Arial" w:ascii="Arial" w:hAnsi="Arial"/>
          <w:sz w:val="18"/>
        </w:rPr>
        <w:t xml:space="preserve">Surely such a regional market would be a gift that keeps on giving for consumers, generators, transmission owners and other stakeholders alike. Yet in the Northeast RTO discussions, regulators, transmission owners, and a host of market participants staked out territory and squabbled, betraying a clear preference for perks that gratify now but do little to nurture tomorrow. </w:t>
      </w:r>
    </w:p>
    <w:p>
      <w:pPr>
        <w:pStyle w:val="BodyText"/>
        <w:jc w:val="both"/>
        <w:rPr>
          <w:rFonts w:ascii="Arial" w:hAnsi="Arial" w:cs="Arial"/>
          <w:b/>
          <w:sz w:val="18"/>
        </w:rPr>
      </w:pPr>
      <w:r>
        <w:rPr>
          <w:rFonts w:cs="Arial" w:ascii="Arial" w:hAnsi="Arial"/>
          <w:b/>
          <w:sz w:val="18"/>
        </w:rPr>
        <w:t>Market Design</w:t>
      </w:r>
    </w:p>
    <w:p>
      <w:pPr>
        <w:pStyle w:val="BodyText"/>
        <w:spacing w:before="0" w:after="120"/>
        <w:jc w:val="both"/>
        <w:rPr/>
      </w:pPr>
      <w:r>
        <w:rPr>
          <w:rFonts w:cs="Arial" w:ascii="Arial" w:hAnsi="Arial"/>
          <w:sz w:val="18"/>
        </w:rPr>
        <w:t xml:space="preserve">The Northeast RTO must adopt and implement a market design with clear, fair, and consistent rules which provide the proper price signals for the construction of new transmission and generation, a sufficient role for price-responsive load, and adequate consumer protection. </w:t>
      </w:r>
    </w:p>
    <w:p>
      <w:pPr>
        <w:pStyle w:val="BodyText"/>
        <w:spacing w:before="0" w:after="120"/>
        <w:jc w:val="both"/>
        <w:rPr/>
      </w:pPr>
      <w:r>
        <w:rPr>
          <w:rFonts w:cs="Arial" w:ascii="Arial" w:hAnsi="Arial"/>
          <w:sz w:val="18"/>
        </w:rPr>
        <w:t xml:space="preserve">Consumers see “electricity” as a single bundled product, but market design issues begin with a definition of the sub-products used to provide reliable and efficient electricity, and end with the market and regulatory rules addressing each product. The sub-products include those that provide energy and reserves, demand response, transmission rights, and other ancillary services. </w:t>
      </w:r>
    </w:p>
    <w:p>
      <w:pPr>
        <w:pStyle w:val="BodyText"/>
        <w:spacing w:before="0" w:after="120"/>
        <w:jc w:val="both"/>
        <w:rPr/>
      </w:pPr>
      <w:r>
        <w:rPr>
          <w:rFonts w:cs="Arial" w:ascii="Arial" w:hAnsi="Arial"/>
          <w:sz w:val="18"/>
        </w:rPr>
        <w:t>The continuing arguments over whose strategy is best for market design obscure their overwhelming similarities.</w:t>
      </w:r>
      <w:r>
        <w:rPr>
          <w:rFonts w:cs="Arial" w:ascii="Arial" w:hAnsi="Arial"/>
          <w:b/>
          <w:sz w:val="18"/>
          <w:u w:val="single"/>
        </w:rPr>
        <w:t xml:space="preserve"> </w:t>
      </w:r>
    </w:p>
    <w:p>
      <w:pPr>
        <w:pStyle w:val="BodyText"/>
        <w:jc w:val="both"/>
        <w:rPr>
          <w:rFonts w:ascii="Arial" w:hAnsi="Arial" w:cs="Arial"/>
          <w:b/>
          <w:sz w:val="18"/>
        </w:rPr>
      </w:pPr>
      <w:r>
        <w:rPr>
          <w:rFonts w:cs="Arial" w:ascii="Arial" w:hAnsi="Arial"/>
          <w:b/>
          <w:sz w:val="18"/>
        </w:rPr>
        <w:t>Energy and Reserve Markets</w:t>
      </w:r>
    </w:p>
    <w:p>
      <w:pPr>
        <w:pStyle w:val="BodyText"/>
        <w:spacing w:before="0" w:after="120"/>
        <w:jc w:val="both"/>
        <w:rPr/>
      </w:pPr>
      <w:r>
        <w:rPr>
          <w:rFonts w:cs="Arial" w:ascii="Arial" w:hAnsi="Arial"/>
          <w:sz w:val="18"/>
        </w:rPr>
        <w:t>PJM provides for energy and energy reserves through day-ahead, real-time, and capacity markets. The day-ahead forward market creates the schedule for each hour of the next operating day based on the submitted demand bids, generation offers and transaction schedules. The market is based on Locational Marginal Pricing (LMP), with the price set at each major transmission hub, and is cleared using least-cost concepts.</w:t>
      </w:r>
    </w:p>
    <w:p>
      <w:pPr>
        <w:pStyle w:val="BodyText"/>
        <w:spacing w:before="0" w:after="120"/>
        <w:jc w:val="both"/>
        <w:rPr/>
      </w:pPr>
      <w:r>
        <w:rPr>
          <w:rFonts w:cs="Arial" w:ascii="Arial" w:hAnsi="Arial"/>
          <w:sz w:val="18"/>
        </w:rPr>
        <w:t xml:space="preserve">The PJM real-time energy market is an hourly balancing market. For each hour, total system demand is met in the real-time energy market to assure adequate generation, based upon actual demand not provided for through the forward or bilateral market. The real-time energy prices are calculated at five-minute intervals based on the actual system operating conditions and generation response using LMP. The market is incentive-based, with generators that follow dispatch instructions eligible to set LMP values and recover revenue of at least their offer data requirements. All spot purchases and sales in the real-time balancing market are settled at the hourly-integrated real-time LMP values. The market supports self-scheduling of generation resources and of bilateral transactions and the distinctions of differing trading hubs. </w:t>
      </w:r>
    </w:p>
    <w:p>
      <w:pPr>
        <w:pStyle w:val="BodyText"/>
        <w:spacing w:before="0" w:after="120"/>
        <w:jc w:val="both"/>
        <w:rPr/>
      </w:pPr>
      <w:r>
        <w:rPr>
          <w:rFonts w:cs="Arial" w:ascii="Arial" w:hAnsi="Arial"/>
          <w:sz w:val="18"/>
        </w:rPr>
        <w:t xml:space="preserve">PJM pays lost opportunity costs if it requests a unit to operate out of merit order for operating reserves. Generator station service (the energy the generation units use to operate the facility when the generators are not producing electricity) is netted monthly and generators may remotely self-supply station service. Transmission and related losses are settled as metered demand at marginal prices. An integrated network of computer and accounting programs facilitate retail access, including data integration and settlements with distribution companies. </w:t>
      </w:r>
    </w:p>
    <w:p>
      <w:pPr>
        <w:pStyle w:val="BodyText"/>
        <w:spacing w:before="0" w:after="120"/>
        <w:jc w:val="both"/>
        <w:rPr/>
      </w:pPr>
      <w:r>
        <w:rPr>
          <w:rFonts w:cs="Arial" w:ascii="Arial" w:hAnsi="Arial"/>
          <w:sz w:val="18"/>
        </w:rPr>
        <w:t xml:space="preserve">In PJM, operating reserve obligations, including locational requirements, are satisfied through the same energy markets rather than through a separate market. For example, if 1000 MW of operating reserves are needed to be able to start within 30 minutes, PJM would select as reserves the next 1000 MW of generation that did not clear in the energy market but has the next lowest cost. PJM has recently developed a market for spinning reserves. </w:t>
      </w:r>
    </w:p>
    <w:p>
      <w:pPr>
        <w:pStyle w:val="BodyText"/>
        <w:spacing w:before="0" w:after="120"/>
        <w:jc w:val="both"/>
        <w:rPr/>
      </w:pPr>
      <w:r>
        <w:rPr>
          <w:rFonts w:cs="Arial" w:ascii="Arial" w:hAnsi="Arial"/>
          <w:sz w:val="18"/>
        </w:rPr>
        <w:t xml:space="preserve">The New York ISO has a separate market for reserves and incorporates transmission and other generation losses into the locational price, which practice the NYISO considers to be superior. The NYISO administers day-ahead and real-time bid-based markets for 10-minute spinning, 10-minute non-spinning and 30-minute non-spinning reserves, each of which recognizes locational requirements. The NYISO also argues that its formal hour-ahead evaluation process (the Balancing Market Evaluation), which adjusts interchange schedules, starts combustion turbines to maintain reserves, adjusts ancillary services schedules and sets prices for hourly ancillary services, qualifies as a superior practice. In New York, deviations from day-ahead generation schedules are settled in the balancing market at the five-minute real-time LMP prices as opposed to the hourly average price. </w:t>
      </w:r>
    </w:p>
    <w:p>
      <w:pPr>
        <w:pStyle w:val="BodyText"/>
        <w:jc w:val="both"/>
        <w:rPr>
          <w:rFonts w:ascii="Arial" w:hAnsi="Arial" w:cs="Arial"/>
          <w:b/>
          <w:sz w:val="18"/>
        </w:rPr>
      </w:pPr>
      <w:r>
        <w:rPr>
          <w:rFonts w:cs="Arial" w:ascii="Arial" w:hAnsi="Arial"/>
          <w:b/>
          <w:sz w:val="18"/>
        </w:rPr>
        <w:t>Demand Response</w:t>
      </w:r>
    </w:p>
    <w:p>
      <w:pPr>
        <w:pStyle w:val="BodyText"/>
        <w:spacing w:before="0" w:after="120"/>
        <w:jc w:val="both"/>
        <w:rPr/>
      </w:pPr>
      <w:r>
        <w:rPr>
          <w:rFonts w:cs="Arial" w:ascii="Arial" w:hAnsi="Arial"/>
          <w:sz w:val="18"/>
        </w:rPr>
        <w:t xml:space="preserve">PJM allows Load Serving Entities (LSEs) to place demand bids in the day-ahead market and offers real-time price signals that facilitate demand response during the operating day. There are additional experimental load response programs in effect, which allow economic and emergency demand response. </w:t>
      </w:r>
    </w:p>
    <w:p>
      <w:pPr>
        <w:pStyle w:val="BodyText"/>
        <w:spacing w:before="0" w:after="120"/>
        <w:jc w:val="both"/>
        <w:rPr/>
      </w:pPr>
      <w:r>
        <w:rPr>
          <w:rFonts w:cs="Arial" w:ascii="Arial" w:hAnsi="Arial"/>
          <w:sz w:val="18"/>
        </w:rPr>
        <w:t xml:space="preserve">New York’s Emergency Demand Response Program is voluntary and includes minimum payment provisions to ensure that participating loads will recover a base amount to justify their response. In addition, New York’s Day-Ahead Demand Response Program is fully automated in the day-ahead market and settlement process, permitting submission of demand-side bid curves comparably to that of generation bid curves. New York’s economic demand response program pays LMP directly to participants without deducting retail rates. </w:t>
      </w:r>
    </w:p>
    <w:p>
      <w:pPr>
        <w:pStyle w:val="BodyText"/>
        <w:spacing w:before="0" w:after="120"/>
        <w:jc w:val="both"/>
        <w:rPr/>
      </w:pPr>
      <w:r>
        <w:rPr>
          <w:rFonts w:cs="Arial" w:ascii="Arial" w:hAnsi="Arial"/>
          <w:sz w:val="18"/>
        </w:rPr>
        <w:t xml:space="preserve">New York participants can participate in more than one market, while PJM limits participation to the emergency and capacity markets. Although not specified specifically as a best practice in New England, some demand-response resources qualify for payments based on operating reserve prices. </w:t>
      </w:r>
    </w:p>
    <w:p>
      <w:pPr>
        <w:pStyle w:val="BodyText"/>
        <w:jc w:val="both"/>
        <w:rPr>
          <w:rFonts w:ascii="Arial" w:hAnsi="Arial" w:cs="Arial"/>
          <w:b/>
          <w:sz w:val="18"/>
        </w:rPr>
      </w:pPr>
      <w:r>
        <w:rPr>
          <w:rFonts w:cs="Arial" w:ascii="Arial" w:hAnsi="Arial"/>
          <w:b/>
          <w:sz w:val="18"/>
        </w:rPr>
        <w:t>Financial Transmission Rights</w:t>
      </w:r>
    </w:p>
    <w:p>
      <w:pPr>
        <w:pStyle w:val="BodyText"/>
        <w:spacing w:before="0" w:after="120"/>
        <w:jc w:val="both"/>
        <w:rPr/>
      </w:pPr>
      <w:r>
        <w:rPr>
          <w:rFonts w:cs="Arial" w:ascii="Arial" w:hAnsi="Arial"/>
          <w:sz w:val="18"/>
        </w:rPr>
        <w:t>Although ISOs use different terms, each has a system to grant and trade transmission rights. Markets in transmission rights allow Load Serving Entities to manage price differences between the purchase of energy and the point of energy consumption.</w:t>
      </w:r>
    </w:p>
    <w:p>
      <w:pPr>
        <w:pStyle w:val="BodyText"/>
        <w:spacing w:before="0" w:after="120"/>
        <w:jc w:val="both"/>
        <w:rPr/>
      </w:pPr>
      <w:r>
        <w:rPr>
          <w:rFonts w:cs="Arial" w:ascii="Arial" w:hAnsi="Arial"/>
          <w:sz w:val="18"/>
        </w:rPr>
        <w:t xml:space="preserve">In PJM, Fixed Transmission Rights (FTRs) are allocated annually to network service customers based on load ratio shares. Additional FTRs, if available, are allocated to firm point-to-point transmission service requests that are granted. There also is a monthly auction of residual FTR capability and any FTRs offered by current holders. Incremental FTRs are awarded to generators which pay for transmission upgrades. </w:t>
      </w:r>
    </w:p>
    <w:p>
      <w:pPr>
        <w:pStyle w:val="BodyText"/>
        <w:spacing w:before="0" w:after="120"/>
        <w:jc w:val="both"/>
        <w:rPr/>
      </w:pPr>
      <w:r>
        <w:rPr>
          <w:rFonts w:cs="Arial" w:ascii="Arial" w:hAnsi="Arial"/>
          <w:sz w:val="18"/>
        </w:rPr>
        <w:t xml:space="preserve">An FTR is a financially binding obligation. The economic value of an FTR is driven by the day-ahead LMPs at the source (typically a generator) and sink point (typically the point of electric consumption). In PJM, annual FTR revenue surpluses are allocated to all transmission customers, while annual FTR revenue shortfalls are shared pro rata by all FTR holders. </w:t>
      </w:r>
    </w:p>
    <w:p>
      <w:pPr>
        <w:pStyle w:val="BodyText"/>
        <w:spacing w:before="0" w:after="120"/>
        <w:jc w:val="both"/>
        <w:rPr/>
      </w:pPr>
      <w:r>
        <w:rPr>
          <w:rFonts w:cs="Arial" w:ascii="Arial" w:hAnsi="Arial"/>
          <w:sz w:val="18"/>
        </w:rPr>
        <w:t>In the New York and New England ISOs, all transmission rights are auctioned. New England also allocates auction revenues among LSEs, not just transmission owners.</w:t>
      </w:r>
    </w:p>
    <w:p>
      <w:pPr>
        <w:pStyle w:val="BodyText"/>
        <w:spacing w:before="0" w:after="120"/>
        <w:jc w:val="both"/>
        <w:rPr/>
      </w:pPr>
      <w:r>
        <w:rPr>
          <w:rFonts w:cs="Arial" w:ascii="Arial" w:hAnsi="Arial"/>
          <w:sz w:val="18"/>
        </w:rPr>
        <w:t xml:space="preserve">Both the PJM FTRs and the NYISO have Transmission Congestion Contracts (TCC) — financial instruments that entitle the holder to receive compensation for Transmission Congestion Charges, which arise when the transmission grid is congested in the day-ahead market. In New York, TCCs are always fully funded, with rates automatically adjusted monthly on a formula basis, with any excess or shortfall covered by the transmission owner. </w:t>
      </w:r>
      <w:r>
        <mc:AlternateContent>
          <mc:Choice Requires="wps">
            <w:drawing>
              <wp:anchor behindDoc="0" distT="0" distB="0" distL="114935" distR="114935" simplePos="0" locked="0" layoutInCell="0" allowOverlap="1" relativeHeight="3">
                <wp:simplePos x="0" y="0"/>
                <wp:positionH relativeFrom="column">
                  <wp:posOffset>-7620</wp:posOffset>
                </wp:positionH>
                <wp:positionV relativeFrom="page">
                  <wp:posOffset>8863330</wp:posOffset>
                </wp:positionV>
                <wp:extent cx="6857365" cy="256540"/>
                <wp:effectExtent l="0" t="0" r="0" b="0"/>
                <wp:wrapSquare wrapText="bothSides"/>
                <wp:docPr id="1" name="Frame1"/>
                <a:graphic xmlns:a="http://schemas.openxmlformats.org/drawingml/2006/main">
                  <a:graphicData uri="http://schemas.microsoft.com/office/word/2010/wordprocessingShape">
                    <wps:wsp>
                      <wps:cNvSpPr txBox="1"/>
                      <wps:spPr>
                        <a:xfrm>
                          <a:off x="0" y="0"/>
                          <a:ext cx="6857365" cy="256540"/>
                        </a:xfrm>
                        <a:prstGeom prst="rect"/>
                        <a:solidFill>
                          <a:srgbClr val="FFFFFF"/>
                        </a:solidFill>
                        <a:ln w="9525">
                          <a:solidFill>
                            <a:srgbClr val="FF0000"/>
                          </a:solidFill>
                        </a:ln>
                      </wps:spPr>
                      <wps:txbx>
                        <w:txbxContent>
                          <w:p>
                            <w:pPr>
                              <w:pStyle w:val="Normal"/>
                              <w:jc w:val="center"/>
                              <w:rPr>
                                <w:rFonts w:ascii="AmerType Md BT" w:hAnsi="AmerType Md BT" w:cs="AmerType Md BT"/>
                                <w:color w:val="FF0000"/>
                                <w:sz w:val="22"/>
                              </w:rPr>
                            </w:pPr>
                            <w:r>
                              <w:rPr>
                                <w:rFonts w:cs="AmerType Md BT" w:ascii="AmerType Md BT" w:hAnsi="AmerType Md BT"/>
                                <w:color w:val="FF0000"/>
                                <w:sz w:val="22"/>
                              </w:rPr>
                              <w:t>PennFuture wishes you and yours a great holiday and a prosperous New Year.</w:t>
                            </w:r>
                          </w:p>
                        </w:txbxContent>
                      </wps:txbx>
                      <wps:bodyPr anchor="t" lIns="91440" tIns="45720" rIns="91440" bIns="45720">
                        <a:noAutofit/>
                      </wps:bodyPr>
                    </wps:wsp>
                  </a:graphicData>
                </a:graphic>
              </wp:anchor>
            </w:drawing>
          </mc:Choice>
          <mc:Fallback>
            <w:pict>
              <v:rect fillcolor="#FFFFFF" strokecolor="#FF0000" strokeweight="0pt" style="position:absolute;rotation:-0;width:539.95pt;height:20.2pt;mso-wrap-distance-left:9.05pt;mso-wrap-distance-right:9.05pt;mso-wrap-distance-top:0pt;mso-wrap-distance-bottom:0pt;margin-top:697.9pt;mso-position-vertical-relative:page;margin-left:-0.6pt;mso-position-horizontal-relative:text">
                <v:textbox>
                  <w:txbxContent>
                    <w:p>
                      <w:pPr>
                        <w:pStyle w:val="Normal"/>
                        <w:jc w:val="center"/>
                        <w:rPr>
                          <w:rFonts w:ascii="AmerType Md BT" w:hAnsi="AmerType Md BT" w:cs="AmerType Md BT"/>
                          <w:color w:val="FF0000"/>
                          <w:sz w:val="22"/>
                        </w:rPr>
                      </w:pPr>
                      <w:r>
                        <w:rPr>
                          <w:rFonts w:cs="AmerType Md BT" w:ascii="AmerType Md BT" w:hAnsi="AmerType Md BT"/>
                          <w:color w:val="FF0000"/>
                          <w:sz w:val="22"/>
                        </w:rPr>
                        <w:t>PennFuture wishes you and yours a great holiday and a prosperous New Year.</w:t>
                      </w:r>
                    </w:p>
                  </w:txbxContent>
                </v:textbox>
                <w10:wrap type="square"/>
              </v:rect>
            </w:pict>
          </mc:Fallback>
        </mc:AlternateContent>
      </w:r>
    </w:p>
    <w:p>
      <w:pPr>
        <w:pStyle w:val="BodyText"/>
        <w:jc w:val="both"/>
        <w:rPr>
          <w:rFonts w:ascii="Arial" w:hAnsi="Arial" w:cs="Arial"/>
          <w:b/>
          <w:sz w:val="18"/>
        </w:rPr>
      </w:pPr>
      <w:r>
        <w:rPr>
          <w:rFonts w:cs="Arial" w:ascii="Arial" w:hAnsi="Arial"/>
          <w:b/>
          <w:sz w:val="18"/>
        </w:rPr>
        <w:t>Regulation Market</w:t>
      </w:r>
    </w:p>
    <w:p>
      <w:pPr>
        <w:pStyle w:val="BodyText"/>
        <w:spacing w:before="0" w:after="120"/>
        <w:jc w:val="both"/>
        <w:rPr/>
      </w:pPr>
      <w:r>
        <w:rPr>
          <w:rFonts w:cs="Arial" w:ascii="Arial" w:hAnsi="Arial"/>
          <w:sz w:val="18"/>
        </w:rPr>
        <w:t xml:space="preserve">In PJM, the Day-ahead Regulation Market Clearing Price (RMCP) for each hour of the next operating day is determined by the least cost solution that satisfies the hourly regulation requirements of the control area. The RMCP represents a floor price for regulation and is calculated based on the submitted regulation offers, the regulation requirements, and the day-ahead energy market results. During the operating day, regulation is assigned to the most economically efficient set of units available given the current dispatch and operating constraints. Compensation for regulation is the higher of the RMCP or the offer price plus real-time opportunity cost. </w:t>
      </w:r>
    </w:p>
    <w:p>
      <w:pPr>
        <w:pStyle w:val="BodyText"/>
        <w:spacing w:before="0" w:after="120"/>
        <w:jc w:val="both"/>
        <w:rPr>
          <w:rFonts w:ascii="Arial" w:hAnsi="Arial" w:cs="Arial"/>
          <w:sz w:val="18"/>
        </w:rPr>
      </w:pPr>
      <w:r>
        <w:rPr>
          <w:rFonts w:cs="Arial" w:ascii="Arial" w:hAnsi="Arial"/>
          <w:sz w:val="18"/>
        </w:rPr>
        <w:t>The NYISO includes the day-ahead regulation market in the day-ahead market.</w:t>
      </w:r>
    </w:p>
    <w:p>
      <w:pPr>
        <w:pStyle w:val="BodyText"/>
        <w:jc w:val="both"/>
        <w:rPr>
          <w:rFonts w:ascii="Arial" w:hAnsi="Arial" w:cs="Arial"/>
          <w:b/>
          <w:sz w:val="18"/>
        </w:rPr>
      </w:pPr>
      <w:r>
        <w:rPr>
          <w:rFonts w:cs="Arial" w:ascii="Arial" w:hAnsi="Arial"/>
          <w:b/>
          <w:sz w:val="18"/>
        </w:rPr>
        <w:t>Reactive Services</w:t>
      </w:r>
    </w:p>
    <w:p>
      <w:pPr>
        <w:pStyle w:val="BodyText"/>
        <w:spacing w:before="0" w:after="120"/>
        <w:jc w:val="both"/>
        <w:rPr>
          <w:rFonts w:ascii="Arial" w:hAnsi="Arial" w:cs="Arial"/>
          <w:sz w:val="18"/>
        </w:rPr>
      </w:pPr>
      <w:r>
        <w:rPr>
          <w:rFonts w:cs="Arial" w:ascii="Arial" w:hAnsi="Arial"/>
          <w:sz w:val="18"/>
        </w:rPr>
        <w:t>In PJM, all transmission service loads pay for reactive service based on a load ratio share of the reactive requirement. The payment covers the total reactive power revenue requirements of the generation in the control area, as approved by FERC.</w:t>
      </w:r>
    </w:p>
    <w:p>
      <w:pPr>
        <w:pStyle w:val="BodyText"/>
        <w:jc w:val="both"/>
        <w:rPr>
          <w:rFonts w:ascii="Arial" w:hAnsi="Arial" w:cs="Arial"/>
          <w:b/>
          <w:sz w:val="18"/>
        </w:rPr>
      </w:pPr>
      <w:r>
        <w:rPr>
          <w:rFonts w:cs="Arial" w:ascii="Arial" w:hAnsi="Arial"/>
          <w:b/>
          <w:sz w:val="18"/>
        </w:rPr>
        <w:t>Black Start Service</w:t>
      </w:r>
    </w:p>
    <w:p>
      <w:pPr>
        <w:pStyle w:val="BodyText"/>
        <w:spacing w:before="0" w:after="120"/>
        <w:jc w:val="both"/>
        <w:rPr/>
      </w:pPr>
      <w:r>
        <w:rPr>
          <w:rFonts w:cs="Arial" w:ascii="Arial" w:hAnsi="Arial"/>
          <w:sz w:val="18"/>
        </w:rPr>
        <w:t>There is no separate compensation for black start service provided by generators in PJM, while in New York and New England separate compensation is paid for by all load.</w:t>
      </w:r>
    </w:p>
    <w:p>
      <w:pPr>
        <w:pStyle w:val="BodyText"/>
        <w:jc w:val="both"/>
        <w:rPr>
          <w:rFonts w:ascii="Arial" w:hAnsi="Arial" w:cs="Arial"/>
          <w:b/>
          <w:sz w:val="18"/>
        </w:rPr>
      </w:pPr>
      <w:r>
        <w:rPr>
          <w:rFonts w:cs="Arial" w:ascii="Arial" w:hAnsi="Arial"/>
          <w:b/>
          <w:sz w:val="18"/>
        </w:rPr>
        <w:t>What Will Be Under the Tree?</w:t>
      </w:r>
    </w:p>
    <w:p>
      <w:pPr>
        <w:pStyle w:val="BodyText"/>
        <w:spacing w:before="0" w:after="120"/>
        <w:jc w:val="both"/>
        <w:rPr/>
      </w:pPr>
      <w:r>
        <w:rPr>
          <w:rFonts w:cs="Arial" w:ascii="Arial" w:hAnsi="Arial"/>
          <w:sz w:val="18"/>
        </w:rPr>
        <w:t xml:space="preserve">Standardizing products as well as market rules will result in much more transparent pricing between markets and increased liquidity. A larger pool of generation resources from which to pull will increase reliability while likely reducing the cost for consumers. The results of the differing models on how to get there make it quite clear that the ISOs have greater similarities than differences. It’s also clear that different products, timetables, and market rules will greatly diminish the benefits for the wholesale markets. </w:t>
      </w:r>
    </w:p>
    <w:p>
      <w:pPr>
        <w:pStyle w:val="BodyText"/>
        <w:spacing w:before="0" w:after="120"/>
        <w:jc w:val="both"/>
        <w:rPr>
          <w:rFonts w:ascii="Arial" w:hAnsi="Arial" w:cs="Arial"/>
          <w:sz w:val="18"/>
        </w:rPr>
      </w:pPr>
      <w:r>
        <w:rPr>
          <w:rFonts w:cs="Arial" w:ascii="Arial" w:hAnsi="Arial"/>
          <w:sz w:val="18"/>
        </w:rPr>
        <w:t xml:space="preserve">The continued lack of collaboration and the resulting delay in creating the Northeast RTO are regrettable. Rewards as well as tough love will be needed to push this process along. </w:t>
      </w:r>
    </w:p>
    <w:p>
      <w:pPr>
        <w:pStyle w:val="BodyText"/>
        <w:spacing w:before="0" w:after="120"/>
        <w:jc w:val="both"/>
        <w:rPr>
          <w:rFonts w:ascii="Arial" w:hAnsi="Arial" w:cs="Arial"/>
          <w:sz w:val="18"/>
        </w:rPr>
      </w:pPr>
      <w:r>
        <w:rPr>
          <w:rFonts w:cs="Arial" w:ascii="Arial" w:hAnsi="Arial"/>
          <w:sz w:val="18"/>
        </w:rPr>
        <w:t xml:space="preserve">Current rewards include the recovery of reasonable integration costs, the potential for Independent Transmission Companies, and the recovery of lost revenue. All of these make joining an RTO easier on a transmission owner. Yet they alone may not be enough. </w:t>
      </w:r>
    </w:p>
    <w:p>
      <w:pPr>
        <w:pStyle w:val="BodyText"/>
        <w:spacing w:before="0" w:after="120"/>
        <w:jc w:val="both"/>
        <w:rPr/>
      </w:pPr>
      <w:r>
        <w:rPr>
          <w:rFonts w:cs="Arial" w:ascii="Arial" w:hAnsi="Arial"/>
          <w:sz w:val="18"/>
        </w:rPr>
        <w:t>FERC’s threat to revoke market-based rates for generation operating outside of an RTO and reduce transmission revenue recovery may be just the right “coal in the stocking” to bring these adolescent markets along towards maturity. Without careful oversight and thoughtful development of market rules, this “ugly adolescence,” bent on immediate gratification, could turn out to be a much uglier adulthood, resulting in entrenched provincial interests and balkanized market rules.</w:t>
      </w:r>
    </w:p>
    <w:p>
      <w:pPr>
        <w:pStyle w:val="BodyText"/>
        <w:spacing w:before="0" w:after="120"/>
        <w:jc w:val="both"/>
        <w:rPr>
          <w:rFonts w:ascii="Arial" w:hAnsi="Arial" w:cs="Arial"/>
          <w:sz w:val="18"/>
        </w:rPr>
      </w:pPr>
      <w:r>
        <w:rPr>
          <w:rFonts w:cs="Arial" w:ascii="Arial" w:hAnsi="Arial"/>
          <w:sz w:val="18"/>
        </w:rPr>
        <w:t>FERC is working to give us all a gift that will keep on giving — properly designed and sized wholesale power markets. It may not be just what everyone wanted, but it will be what everyone needs.</w:t>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merType Md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sz w:val="2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2001-12-19T17:48:00Z</dcterms:created>
  <dc:creator>Ed McGovern</dc:creator>
  <dc:description/>
  <dc:language>en-CA</dc:language>
  <cp:lastModifiedBy>Michelle</cp:lastModifiedBy>
  <cp:lastPrinted>2001-12-21T13:46:00Z</cp:lastPrinted>
  <dcterms:modified xsi:type="dcterms:W3CDTF">2001-12-21T16:17:00Z</dcterms:modified>
  <cp:revision>26</cp:revision>
  <dc:subject/>
  <dc:title>September 14, 1999</dc:title>
</cp:coreProperties>
</file>