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1025300610" r:id="rId2"/>
        </w:object>
      </w:r>
      <w:r>
        <w:rPr>
          <w:sz w:val="20"/>
        </w:rPr>
        <w:t>November 8, 2001</w:t>
      </w:r>
    </w:p>
    <w:p>
      <w:pPr>
        <w:pStyle w:val="Normal"/>
        <w:jc w:val="end"/>
        <w:rPr>
          <w:sz w:val="20"/>
        </w:rPr>
      </w:pPr>
      <w:r>
        <w:rPr>
          <w:sz w:val="20"/>
        </w:rPr>
        <w:t>Vol. 3, No. 21</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center"/>
        <w:rPr>
          <w:b/>
        </w:rPr>
      </w:pPr>
      <w:r>
        <w:rPr>
          <w:b/>
        </w:rPr>
        <w:t>When is Bigger Better?</w:t>
      </w:r>
    </w:p>
    <w:p>
      <w:pPr>
        <w:pStyle w:val="Heading2"/>
        <w:ind w:hanging="0" w:start="0"/>
        <w:jc w:val="center"/>
        <w:rPr>
          <w:b/>
          <w:sz w:val="20"/>
          <w:u w:val="none"/>
        </w:rPr>
      </w:pPr>
      <w:r>
        <w:rPr>
          <w:b/>
          <w:sz w:val="20"/>
          <w:u w:val="none"/>
        </w:rPr>
        <w:t>The Acquisition of Orion by Reliant</w:t>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Normal"/>
        <w:widowControl w:val="false"/>
        <w:spacing w:before="0" w:after="120"/>
        <w:jc w:val="both"/>
        <w:rPr>
          <w:sz w:val="18"/>
        </w:rPr>
      </w:pPr>
      <w:r>
        <w:rPr>
          <w:sz w:val="18"/>
        </w:rPr>
        <w:t xml:space="preserve">The possible acquisition of Orion Power, the owner of many plants that serve the Pittsburgh area, by Reliant Resources is the fifth major transaction affecting Pennsylvania’s generation and electric service since 1996. Reliant Resources’ attempt to buy Orion Power, however, raises issues not seen before in other transactions. </w:t>
      </w:r>
    </w:p>
    <w:p>
      <w:pPr>
        <w:pStyle w:val="Normal"/>
        <w:widowControl w:val="false"/>
        <w:spacing w:before="0" w:after="120"/>
        <w:jc w:val="both"/>
        <w:rPr>
          <w:sz w:val="18"/>
        </w:rPr>
      </w:pPr>
      <w:r>
        <w:rPr>
          <w:sz w:val="18"/>
        </w:rPr>
        <w:t xml:space="preserve">Those transactions — the PECO Energy and Unicom merger, the GPU and First Energy merger, the sale of GPU’s power plants, and Duquesne Light Company’s swap of plants with First Energy and subsequent purchase by Orion — did not increase the market power of a particular generation owner. </w:t>
      </w:r>
    </w:p>
    <w:p>
      <w:pPr>
        <w:pStyle w:val="Normal"/>
        <w:widowControl w:val="false"/>
        <w:spacing w:before="0" w:after="120"/>
        <w:jc w:val="both"/>
        <w:rPr/>
      </w:pPr>
      <w:r>
        <w:rPr>
          <w:sz w:val="18"/>
        </w:rPr>
        <w:t>Why not? All the other transactions involved companies operating in different markets, or companies that did not own generation, or sale of power plants from one company to one or more companies. In fact, taken together these transactions reduced consumer costs, protected rate caps, and decreased stranded costs. They also led to important environmental improvements like new pollution control investments and support for renewable energy.</w:t>
      </w:r>
    </w:p>
    <w:p>
      <w:pPr>
        <w:pStyle w:val="Normal"/>
        <w:widowControl w:val="false"/>
        <w:spacing w:before="0" w:after="120"/>
        <w:jc w:val="both"/>
        <w:rPr>
          <w:sz w:val="18"/>
        </w:rPr>
      </w:pPr>
      <w:r>
        <w:rPr>
          <w:sz w:val="18"/>
        </w:rPr>
        <w:t>Reliant Resources, however, already owns generation within PJM and the purchase of Orion would add generation to its PJM share, once Duquesne joins PJM West. For this reason, the transaction should be carefully reviewed and used to formulate a new policy concerning consolidation of generation assets within a single market.</w:t>
      </w:r>
    </w:p>
    <w:p>
      <w:pPr>
        <w:pStyle w:val="Normal"/>
        <w:widowControl w:val="false"/>
        <w:spacing w:before="0" w:after="120"/>
        <w:jc w:val="both"/>
        <w:rPr/>
      </w:pPr>
      <w:r>
        <w:rPr>
          <w:sz w:val="18"/>
        </w:rPr>
        <w:t>Specifically, regulatory bodies should make increased demand response a condition for any transaction that increases generation consolidation as demand response strongly mitigates market power. Funds should be devoted to ensuring that all consumers with a load of 50 kilowatts and above are equipped with time-of-use meters. This measure is necessary, as the single biggest regulatory mistake to date in electricity restructuring is the failure to make demand response a central part of restructuring. Without it, workably competitive markets will not develop or be sustained.</w:t>
      </w:r>
    </w:p>
    <w:p>
      <w:pPr>
        <w:pStyle w:val="Normal"/>
        <w:widowControl w:val="false"/>
        <w:spacing w:before="0" w:after="120"/>
        <w:jc w:val="both"/>
        <w:rPr/>
      </w:pPr>
      <w:r>
        <w:rPr>
          <w:sz w:val="18"/>
        </w:rPr>
        <w:t>Apart from increasing demand response, regulators and the Office of Consumer Advocate should get answers to the following questions:</w:t>
      </w:r>
    </w:p>
    <w:p>
      <w:pPr>
        <w:pStyle w:val="Normal"/>
        <w:widowControl w:val="false"/>
        <w:numPr>
          <w:ilvl w:val="0"/>
          <w:numId w:val="2"/>
        </w:numPr>
        <w:tabs>
          <w:tab w:val="clear" w:pos="720"/>
          <w:tab w:val="left" w:pos="180" w:leader="none"/>
        </w:tabs>
        <w:spacing w:before="0" w:after="60"/>
        <w:ind w:hanging="187" w:start="187" w:end="0"/>
        <w:jc w:val="both"/>
        <w:rPr>
          <w:sz w:val="18"/>
        </w:rPr>
      </w:pPr>
      <w:r>
        <w:rPr>
          <w:sz w:val="18"/>
        </w:rPr>
        <w:t xml:space="preserve">Will Reliant Resources permit Duquesne Light Company, the local distribution utility, to offer in its service territory a competitive default service (CDS) program modeled after the successful CDS program operating in the PECO Energy service territory? </w:t>
      </w:r>
    </w:p>
    <w:p>
      <w:pPr>
        <w:pStyle w:val="Normal"/>
        <w:widowControl w:val="false"/>
        <w:numPr>
          <w:ilvl w:val="0"/>
          <w:numId w:val="2"/>
        </w:numPr>
        <w:tabs>
          <w:tab w:val="clear" w:pos="720"/>
          <w:tab w:val="left" w:pos="180" w:leader="none"/>
        </w:tabs>
        <w:spacing w:before="0" w:after="60"/>
        <w:ind w:hanging="187" w:start="187" w:end="0"/>
        <w:jc w:val="both"/>
        <w:rPr>
          <w:sz w:val="18"/>
        </w:rPr>
      </w:pPr>
      <w:r>
        <w:rPr>
          <w:sz w:val="18"/>
        </w:rPr>
        <w:t xml:space="preserve">Will Reliant Resources exercise market power within local markets and should particular plants be excluded from this acquisition to eliminate market power? </w:t>
      </w:r>
    </w:p>
    <w:p>
      <w:pPr>
        <w:pStyle w:val="Normal"/>
        <w:widowControl w:val="false"/>
        <w:numPr>
          <w:ilvl w:val="0"/>
          <w:numId w:val="2"/>
        </w:numPr>
        <w:tabs>
          <w:tab w:val="clear" w:pos="720"/>
          <w:tab w:val="left" w:pos="180" w:leader="none"/>
        </w:tabs>
        <w:spacing w:before="0" w:after="60"/>
        <w:ind w:hanging="187" w:start="187" w:end="0"/>
        <w:jc w:val="both"/>
        <w:rPr>
          <w:sz w:val="18"/>
        </w:rPr>
      </w:pPr>
      <w:r>
        <w:rPr>
          <w:sz w:val="18"/>
        </w:rPr>
        <w:t>Will Reliant Resources commit to supporting economic demand-response programs within PJM, instead of voting against demand response as it has done recently?</w:t>
      </w:r>
    </w:p>
    <w:p>
      <w:pPr>
        <w:pStyle w:val="Normal"/>
        <w:widowControl w:val="false"/>
        <w:numPr>
          <w:ilvl w:val="0"/>
          <w:numId w:val="2"/>
        </w:numPr>
        <w:tabs>
          <w:tab w:val="clear" w:pos="720"/>
          <w:tab w:val="left" w:pos="180" w:leader="none"/>
        </w:tabs>
        <w:spacing w:before="0" w:after="60"/>
        <w:ind w:hanging="187" w:start="187" w:end="0"/>
        <w:jc w:val="both"/>
        <w:rPr>
          <w:b/>
          <w:sz w:val="18"/>
        </w:rPr>
      </w:pPr>
      <w:r>
        <w:br w:type="column"/>
      </w:r>
      <w:r>
        <w:rPr>
          <w:sz w:val="18"/>
        </w:rPr>
        <w:t>Will Reliant Resources acquisition help finance installation of time-of-use meters for all customers with demand more than 50 kilowatts within the Duquesne control area?</w:t>
      </w:r>
    </w:p>
    <w:p>
      <w:pPr>
        <w:pStyle w:val="Normal"/>
        <w:widowControl w:val="false"/>
        <w:numPr>
          <w:ilvl w:val="0"/>
          <w:numId w:val="2"/>
        </w:numPr>
        <w:tabs>
          <w:tab w:val="clear" w:pos="720"/>
          <w:tab w:val="left" w:pos="180" w:leader="none"/>
        </w:tabs>
        <w:spacing w:before="0" w:after="120"/>
        <w:ind w:hanging="187" w:start="187" w:end="0"/>
        <w:jc w:val="both"/>
        <w:rPr>
          <w:b/>
          <w:sz w:val="18"/>
        </w:rPr>
      </w:pPr>
      <w:r>
        <w:rPr>
          <w:sz w:val="18"/>
        </w:rPr>
        <w:t xml:space="preserve">What will Reliant Resources do to clean up some of the heavily polluting plants that it owns now or will acquire from Orion? </w:t>
      </w:r>
    </w:p>
    <w:p>
      <w:pPr>
        <w:pStyle w:val="Normal"/>
        <w:widowControl w:val="false"/>
        <w:spacing w:before="0" w:after="120"/>
        <w:jc w:val="both"/>
        <w:rPr/>
      </w:pPr>
      <w:r>
        <w:rPr>
          <w:sz w:val="18"/>
        </w:rPr>
        <w:t>Reliant owns portions of Keystone and Conemaugh and Shawville power plants. It would buy from Orion the Cheswick unit. Keystone and Cheswick have no scrubbers installed to reduce sulfur dioxide emissions, while Shawville has been scrubbing one out of four boilers. In 2000, Keystone, Shawville and Cheswick respectively released 153,490 tons, 48,243 tons, and 44,908 tons of SOx into Pennsylvania’s air. Keystone is also the biggest emitter of mercury in the entire country and all four plants spew huge amounts of nitrogen oxide — at a rate more than double the modern standard of .15 lbs/mmbtu. That’s not all — all four plants produce an amazing 30 million tons of carbon dioxide, helping Pennsylvania to contribute 1 percent of the entire world’s human-induced global warming gases.</w:t>
      </w:r>
    </w:p>
    <w:p>
      <w:pPr>
        <w:pStyle w:val="Normal"/>
        <w:widowControl w:val="false"/>
        <w:spacing w:before="0" w:after="120"/>
        <w:jc w:val="both"/>
        <w:rPr/>
      </w:pPr>
      <w:r>
        <w:rPr>
          <w:sz w:val="18"/>
        </w:rPr>
        <w:t xml:space="preserve">Reliant can begin cleaning up by implementing in the Duquesne area the equivalent of the PECO Service Territory’s CDS program, which includes a Renewable Portfolio Standard that increases annually the amount of renewable energy that must be supplied to customers. CDS customers there are served by New Power and Green Mountain Energy at 5.56 cents per kilowatt-hour (kWh), more than three cents less than the 8.65 cents per kWh PECO Energy charged its residential customers in 1996 for coal and nuclear power. </w:t>
      </w:r>
    </w:p>
    <w:p>
      <w:pPr>
        <w:pStyle w:val="Normal"/>
        <w:widowControl w:val="false"/>
        <w:spacing w:before="0" w:after="120"/>
        <w:jc w:val="both"/>
        <w:rPr>
          <w:b/>
          <w:sz w:val="18"/>
        </w:rPr>
      </w:pPr>
      <w:r>
        <w:rPr>
          <w:b/>
          <w:sz w:val="18"/>
        </w:rPr>
        <w:t>Market Power Issues</w:t>
      </w:r>
    </w:p>
    <w:p>
      <w:pPr>
        <w:pStyle w:val="Normal"/>
        <w:widowControl w:val="false"/>
        <w:spacing w:before="0" w:after="120"/>
        <w:jc w:val="both"/>
        <w:rPr>
          <w:sz w:val="18"/>
        </w:rPr>
      </w:pPr>
      <w:r>
        <w:rPr>
          <w:sz w:val="18"/>
        </w:rPr>
        <w:t xml:space="preserve">In addition to environmental issues, market power issues must be examined. Such an inquiry hinges on defining the relevant market and products. </w:t>
      </w:r>
    </w:p>
    <w:p>
      <w:pPr>
        <w:pStyle w:val="Normal"/>
        <w:widowControl w:val="false"/>
        <w:spacing w:before="0" w:after="120"/>
        <w:jc w:val="both"/>
        <w:rPr/>
      </w:pPr>
      <w:r>
        <w:rPr>
          <w:sz w:val="18"/>
        </w:rPr>
        <w:t xml:space="preserve">Nationally, total generation capacity is approximately 800,000 MW, with most of it subject to base rate regulation in the retail market. Despite regulation at retail, wholesale generation transactions are generally price deregulated in all 50 states, whether or not the entities engaged in the transactions are deregulated generation owners, regulated public utilities, municipal utilities, or electric cooperatives and whether or not necessary market institutions required for workably competitive markets exist. </w:t>
      </w:r>
    </w:p>
    <w:p>
      <w:pPr>
        <w:pStyle w:val="Normal"/>
        <w:widowControl w:val="false"/>
        <w:spacing w:before="0" w:after="120"/>
        <w:jc w:val="both"/>
        <w:rPr>
          <w:sz w:val="18"/>
        </w:rPr>
      </w:pPr>
      <w:r>
        <w:rPr>
          <w:sz w:val="18"/>
        </w:rPr>
        <w:t>Orion Power has been participating in the deregulated wholesale market. It owns 81 power plants in New York, Pennsylvania, Ohio, and West Virginia, producing approximately 6,000 MW and has another 5,000 MW under construction. Orion has done an exceptional job, improving the forced outage rates, especially among its New York City resources.</w:t>
      </w:r>
    </w:p>
    <w:p>
      <w:pPr>
        <w:pStyle w:val="Normal"/>
        <w:widowControl w:val="false"/>
        <w:spacing w:before="0" w:after="120"/>
        <w:jc w:val="both"/>
        <w:rPr/>
      </w:pPr>
      <w:r>
        <w:rPr>
          <w:sz w:val="18"/>
        </w:rPr>
        <w:t xml:space="preserve">The proposed acquisition of Orion Power by Reliant Resources will form the nation’s second largest deregulated power generation owner, controlling 17,279 MW, or 6.15 percent of the deregulated generation market that totals 281,000 MW of the </w:t>
      </w:r>
    </w:p>
    <w:p>
      <w:pPr>
        <w:pStyle w:val="Normal"/>
        <w:widowControl w:val="false"/>
        <w:spacing w:before="0" w:after="120"/>
        <w:jc w:val="both"/>
        <w:rPr>
          <w:sz w:val="18"/>
        </w:rPr>
      </w:pPr>
      <w:r>
        <w:br w:type="column"/>
      </w:r>
      <w:r>
        <w:rPr>
          <w:sz w:val="18"/>
        </w:rPr>
        <w:t xml:space="preserve">country’s total capacity. Reliant Resources has a smaller share of the nation’s total generation capacity. </w:t>
      </w:r>
    </w:p>
    <w:p>
      <w:pPr>
        <w:pStyle w:val="Normal"/>
        <w:widowControl w:val="false"/>
        <w:spacing w:before="0" w:after="120"/>
        <w:jc w:val="both"/>
        <w:rPr>
          <w:sz w:val="18"/>
        </w:rPr>
      </w:pPr>
      <w:r>
        <w:rPr>
          <w:sz w:val="18"/>
        </w:rPr>
        <w:t xml:space="preserve">Yet these small national shares do not guarantee that Reliant Resources could not have market power in portions of the PJM Market. </w:t>
      </w:r>
    </w:p>
    <w:p>
      <w:pPr>
        <w:pStyle w:val="Normal"/>
        <w:widowControl w:val="false"/>
        <w:spacing w:before="0" w:after="120"/>
        <w:jc w:val="both"/>
        <w:rPr/>
      </w:pPr>
      <w:r>
        <w:rPr>
          <w:sz w:val="18"/>
        </w:rPr>
        <w:t>Prior to this proposed acquisition, Reliant Resources owned about 7 percent of total PJM generation, or 4,262 MW of generation capacity within the 58,000-MW PJM market. These facilities include 2,009 MW of base load, 803 MW of intermediate load, and 1,450 MW of peaking capacity. They are quite old and for</w:t>
      </w:r>
      <w:r>
        <w:rPr/>
        <w:t xml:space="preserve">merly owned by GPU and Sithe (see table). Reliant Resources is also developing another 1,316 MW within PJM. </w:t>
      </w:r>
    </w:p>
    <w:tbl>
      <w:tblPr>
        <w:tblW w:w="5220" w:type="dxa"/>
        <w:jc w:val="start"/>
        <w:tblInd w:w="108" w:type="dxa"/>
        <w:tblLayout w:type="fixed"/>
        <w:tblCellMar>
          <w:top w:w="0" w:type="dxa"/>
          <w:start w:w="108" w:type="dxa"/>
          <w:bottom w:w="0" w:type="dxa"/>
          <w:end w:w="108" w:type="dxa"/>
        </w:tblCellMar>
      </w:tblPr>
      <w:tblGrid>
        <w:gridCol w:w="1242"/>
        <w:gridCol w:w="1350"/>
        <w:gridCol w:w="1350"/>
        <w:gridCol w:w="1278"/>
      </w:tblGrid>
      <w:tr>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b/>
                <w:sz w:val="16"/>
              </w:rPr>
            </w:pPr>
            <w:r>
              <w:rPr>
                <w:b/>
                <w:sz w:val="16"/>
              </w:rPr>
              <w:t>Plant</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b/>
                <w:sz w:val="16"/>
              </w:rPr>
            </w:pPr>
            <w:r>
              <w:rPr>
                <w:b/>
                <w:sz w:val="16"/>
              </w:rPr>
              <w:t>Location</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b/>
                <w:sz w:val="16"/>
              </w:rPr>
            </w:pPr>
            <w:r>
              <w:rPr>
                <w:b/>
                <w:sz w:val="16"/>
              </w:rPr>
              <w:t>Capacity (MW)</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b/>
                <w:sz w:val="16"/>
              </w:rPr>
            </w:pPr>
            <w:r>
              <w:rPr>
                <w:b/>
                <w:sz w:val="16"/>
              </w:rPr>
              <w:t>First Year in Operation</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Conemaugh</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281</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1970</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Keystone</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285</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1967</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Shawville</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613</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1954</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Deep Creek</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MD</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18</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1925</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Ontanna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23</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1971</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Shawnee</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23</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1972</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Blossburg</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25</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1972</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Piney</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29</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1924-28</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Mountain</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47</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1972</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Tolna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47</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1972</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Wayne</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66</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1972</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Hunterstown</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71</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1971</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Warren</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150</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1948</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pPr>
            <w:r>
              <w:rPr>
                <w:sz w:val="16"/>
              </w:rPr>
              <w:t>Glen Gardner</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NJ</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184</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1970</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Seward</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196</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1950</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Werner</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NJ</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252</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1972</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Titus</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281</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1951</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Sayreville</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NJ</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449</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1955</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Portland</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PA</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585</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1958</w:t>
            </w:r>
          </w:p>
        </w:tc>
      </w:tr>
      <w:tr>
        <w:trPr>
          <w:trHeight w:val="220" w:hRule="exac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Gilbert</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NJ</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614</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both"/>
              <w:rPr>
                <w:sz w:val="16"/>
              </w:rPr>
            </w:pPr>
            <w:r>
              <w:rPr>
                <w:sz w:val="16"/>
              </w:rPr>
              <w:t>1970</w:t>
            </w:r>
          </w:p>
        </w:tc>
      </w:tr>
    </w:tbl>
    <w:p>
      <w:pPr>
        <w:pStyle w:val="Normal"/>
        <w:widowControl w:val="false"/>
        <w:spacing w:before="0" w:after="120"/>
        <w:jc w:val="both"/>
        <w:rPr>
          <w:sz w:val="18"/>
        </w:rPr>
      </w:pPr>
      <w:r>
        <w:rPr>
          <w:sz w:val="18"/>
        </w:rPr>
      </w:r>
    </w:p>
    <w:p>
      <w:pPr>
        <w:pStyle w:val="Normal"/>
        <w:widowControl w:val="false"/>
        <w:spacing w:before="0" w:after="120"/>
        <w:jc w:val="both"/>
        <w:rPr/>
      </w:pPr>
      <w:r>
        <w:rPr>
          <w:sz w:val="18"/>
        </w:rPr>
        <w:t>These numbers would indicate that regulators should focus on possible market power within the Duquesne Control Area of the units that Reliant Energy is purchasing from Orion. The Duquesne Control area is scheduled to become part of PJM West in 2002, but regulators and the Office of Consumer Adv</w:t>
      </w:r>
      <w:r>
        <w:rPr>
          <w:sz w:val="18"/>
        </w:rPr>
        <w:t xml:space="preserve">ocate should ensure that no plant is strategically located within the transmission system so that it possesses market power even after incorporation of the control area within PJM West. If any plants that would give Reliant Resources market power are identified, they should be removed from this acquisition.  </w:t>
      </w:r>
    </w:p>
    <w:p>
      <w:pPr>
        <w:pStyle w:val="Heading1"/>
        <w:keepNext w:val="false"/>
        <w:widowControl w:val="false"/>
        <w:spacing w:before="0" w:after="120"/>
        <w:ind w:hanging="0" w:start="0"/>
        <w:jc w:val="both"/>
        <w:rPr>
          <w:sz w:val="18"/>
        </w:rPr>
      </w:pPr>
      <w:r>
        <w:rPr>
          <w:sz w:val="18"/>
        </w:rPr>
        <w:t>Addressing Market Power</w:t>
      </w:r>
    </w:p>
    <w:p>
      <w:pPr>
        <w:pStyle w:val="Normal"/>
        <w:widowControl w:val="false"/>
        <w:spacing w:before="0" w:after="120"/>
        <w:jc w:val="both"/>
        <w:rPr/>
      </w:pPr>
      <w:r>
        <w:rPr>
          <w:sz w:val="18"/>
        </w:rPr>
        <w:t>The combination of large generation owners creates concerns over market power that can only be identified and addressed by sound regulatory action. In all three of the Northeastern ISOs, there have been incidents of market power which have resulted in numerous rule changes. There are several reasons that the electric industry is sensitive to market power. First is the inability to store energy. In many other industries surpluses can be built up in low demand periods and used to fill in gaps during high demand periods. In the electric industry, energy is produced and consumed virtually instantaneously. Second, there are barriers to entry in the electric industry, including discriminatory interconnection practices and other incumbent advantages. Third, historically the demand for electricity has been inelastic and creates the opportunity for inflated prices. Inelastic electricity demand is not surprising when most customers see average prices and do not have metering or the ability to respond to prices.</w:t>
      </w:r>
    </w:p>
    <w:p>
      <w:pPr>
        <w:pStyle w:val="Normal"/>
        <w:widowControl w:val="false"/>
        <w:spacing w:before="0" w:after="120"/>
        <w:jc w:val="both"/>
        <w:rPr>
          <w:sz w:val="18"/>
        </w:rPr>
      </w:pPr>
      <w:r>
        <w:rPr>
          <w:sz w:val="18"/>
        </w:rPr>
        <w:t xml:space="preserve">For these reasons, concrete steps to combat market power in the electric industry must be taken. For starters, the existing market mitigation measures, such as PJM’s $1,000 price cap, should be examined to determine if they are sufficient, while not being burdensome as to limit new generation resources from entering the market. </w:t>
      </w:r>
    </w:p>
    <w:p>
      <w:pPr>
        <w:pStyle w:val="Normal"/>
        <w:widowControl w:val="false"/>
        <w:spacing w:before="0" w:after="120"/>
        <w:jc w:val="both"/>
        <w:rPr/>
      </w:pPr>
      <w:r>
        <w:rPr>
          <w:sz w:val="18"/>
        </w:rPr>
        <w:t xml:space="preserve">Secondly, barriers to entry should be reduced, especially for distributed generation and environmentally beneficial grid technologies like wind energy. </w:t>
      </w:r>
    </w:p>
    <w:p>
      <w:pPr>
        <w:pStyle w:val="Normal"/>
        <w:widowControl w:val="false"/>
        <w:spacing w:before="0" w:after="120"/>
        <w:jc w:val="both"/>
        <w:rPr/>
      </w:pPr>
      <w:r>
        <w:rPr>
          <w:sz w:val="18"/>
        </w:rPr>
        <w:t xml:space="preserve">Lastly and most importantly, demand-response programs can and must be developed. California has shown that energy efficiency can preserve reliability and break the market power of generation owners. Changing the demand for electricity is the biggest and best protection against market power. </w:t>
      </w:r>
    </w:p>
    <w:p>
      <w:pPr>
        <w:pStyle w:val="Normal"/>
        <w:widowControl w:val="false"/>
        <w:spacing w:before="0" w:after="120"/>
        <w:jc w:val="both"/>
        <w:rPr>
          <w:b/>
          <w:sz w:val="18"/>
        </w:rPr>
      </w:pPr>
      <w:r>
        <w:rPr>
          <w:b/>
          <w:sz w:val="18"/>
        </w:rPr>
        <w:t>A Deeply Troubling Tale</w:t>
      </w:r>
    </w:p>
    <w:p>
      <w:pPr>
        <w:pStyle w:val="Normal"/>
        <w:widowControl w:val="false"/>
        <w:spacing w:before="0" w:after="120"/>
        <w:jc w:val="both"/>
        <w:rPr/>
      </w:pPr>
      <w:r>
        <w:rPr>
          <w:sz w:val="18"/>
        </w:rPr>
        <w:t xml:space="preserve">Unfortunately, Reliant Resources did not support PJM’s Economic Demand Response programs, voting against them last year in the Members Committee. It had company, with all generation owners voting as a block, with one exception, against demand response. Three cheers for the exception: Edison Mission. </w:t>
      </w:r>
    </w:p>
    <w:p>
      <w:pPr>
        <w:pStyle w:val="Normal"/>
        <w:widowControl w:val="false"/>
        <w:spacing w:before="0" w:after="120"/>
        <w:jc w:val="both"/>
        <w:rPr/>
      </w:pPr>
      <w:r>
        <w:rPr>
          <w:sz w:val="18"/>
        </w:rPr>
        <w:t xml:space="preserve">In the face of the mass opposition of generation owners, PJM wobbled but did not cave. It changed but submitted demand-response programs to FERC which were approved for the summer of 2001. </w:t>
      </w:r>
    </w:p>
    <w:p>
      <w:pPr>
        <w:pStyle w:val="Normal"/>
        <w:widowControl w:val="false"/>
        <w:spacing w:before="0" w:after="120"/>
        <w:jc w:val="both"/>
        <w:rPr/>
      </w:pPr>
      <w:r>
        <w:rPr>
          <w:sz w:val="18"/>
        </w:rPr>
        <w:t xml:space="preserve">The moral of this tale is that the public interest needs regulators, the PJM Board, and other interested parties to further demand-response initiatives, because generation owners will likely be roadblocks. In particular, real-time metering, residential air conditioning and heating programs, and wholesale markets all need to be developed. </w:t>
      </w:r>
    </w:p>
    <w:p>
      <w:pPr>
        <w:pStyle w:val="Normal"/>
        <w:widowControl w:val="false"/>
        <w:spacing w:before="0" w:after="120"/>
        <w:jc w:val="both"/>
        <w:rPr>
          <w:sz w:val="18"/>
        </w:rPr>
      </w:pPr>
      <w:r>
        <w:rPr>
          <w:sz w:val="18"/>
        </w:rPr>
        <w:t xml:space="preserve">It is time for strong action on these points. Regulators must begin by requiring Reliant Resources to finance the installation of time-of-use meters for all customers with demand of 50 kW or more within the Duquesne control area. This is especially important as the transition there may be completed by 2004. </w:t>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spacing w:before="0" w:after="120"/>
      <w:jc w:val="both"/>
      <w:outlineLvl w:val="1"/>
    </w:pPr>
    <w:rPr>
      <w:sz w:val="22"/>
      <w:u w:val="single"/>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0" w:after="1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2001-11-08T11:57:00Z</dcterms:created>
  <dc:creator>Ed McGovern</dc:creator>
  <dc:description/>
  <dc:language>en-CA</dc:language>
  <cp:lastModifiedBy>Michelle</cp:lastModifiedBy>
  <cp:lastPrinted>2001-11-08T17:29:00Z</cp:lastPrinted>
  <dcterms:modified xsi:type="dcterms:W3CDTF">2001-11-08T20:32:00Z</dcterms:modified>
  <cp:revision>16</cp:revision>
  <dc:subject/>
  <dc:title>September 14, 1999</dc:title>
</cp:coreProperties>
</file>