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object w:dxaOrig="10935" w:dyaOrig="17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4pt;margin-top:3.35pt;width:546.75pt;height:89.25pt;mso-wrap-distance-left:9.05pt;mso-wrap-distance-right:9.05pt;mso-position-horizontal-relative:text;mso-position-vertical-relative:text" filled="f" o:ole="">
            <v:imagedata r:id="rId3" o:title=""/>
          </v:shape>
          <o:OLEObject Type="Embed" ProgID="" ShapeID="ole_rId2" DrawAspect="Content" ObjectID="_1681102946" r:id="rId2"/>
        </w:object>
      </w:r>
      <w:r>
        <w:rPr>
          <w:sz w:val="20"/>
        </w:rPr>
        <w:t>June 14, 2001</w:t>
      </w:r>
    </w:p>
    <w:p>
      <w:pPr>
        <w:pStyle w:val="Normal"/>
        <w:jc w:val="end"/>
        <w:rPr>
          <w:sz w:val="20"/>
        </w:rPr>
      </w:pPr>
      <w:r>
        <w:rPr>
          <w:sz w:val="20"/>
        </w:rPr>
        <w:t>Vol. 3, No. 11</w:t>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Heading1"/>
        <w:ind w:hanging="0" w:start="0"/>
        <w:rPr/>
      </w:pPr>
      <w:r>
        <w:rPr/>
        <w:t>A Rock and a Hard Place</w:t>
      </w:r>
    </w:p>
    <w:p>
      <w:pPr>
        <w:pStyle w:val="Normal"/>
        <w:jc w:val="end"/>
        <w:rPr>
          <w:sz w:val="20"/>
        </w:rPr>
      </w:pPr>
      <w:r>
        <w:rPr>
          <w:sz w:val="20"/>
        </w:rPr>
      </w:r>
    </w:p>
    <w:p>
      <w:pPr>
        <w:sectPr>
          <w:footerReference w:type="default" r:id="rId4"/>
          <w:type w:val="nextPage"/>
          <w:pgSz w:w="12240" w:h="15840"/>
          <w:pgMar w:left="720" w:right="720" w:gutter="0" w:header="0" w:top="720" w:footer="720" w:bottom="1080"/>
          <w:pgNumType w:fmt="decimal"/>
          <w:formProt w:val="false"/>
          <w:textDirection w:val="lrTb"/>
          <w:docGrid w:type="default" w:linePitch="360" w:charSpace="0"/>
        </w:sectPr>
      </w:pPr>
    </w:p>
    <w:p>
      <w:pPr>
        <w:pStyle w:val="BodyText"/>
        <w:spacing w:before="0" w:after="120"/>
        <w:rPr/>
      </w:pPr>
      <w:r>
        <w:rPr>
          <w:sz w:val="20"/>
        </w:rPr>
        <w:t xml:space="preserve">Today, the Pennsylvania Public Utility Commission (PUC) voted 3-0 to approve a settlement—proposed by FirstEnergy, GPU, the Office of Consumer Advocate, the Industrial Intervenor groups and PennFuture—to resolve the FirstEnergy/GPU merger and provider of last resort rate increase requests. The PUC was faced with a seemingly intractable choice: grant a rate increase that violates the rate cap and risk unraveling every utility rate cap and stranded cost recovery decision in Pennsylvania, or just saying “no” and risk—according to GPU—creating a financially unstable distribution utility. In approving the settlement, the PUC resolved the thorny issues raised by the cases without excusing GPU’s failure to adequately plan its provider of last resort service. Considering the circumstances, the result is good for consumers, the companies and the environment. </w:t>
      </w:r>
    </w:p>
    <w:p>
      <w:pPr>
        <w:pStyle w:val="BodyText"/>
        <w:spacing w:before="0" w:after="120"/>
        <w:rPr>
          <w:sz w:val="20"/>
        </w:rPr>
      </w:pPr>
      <w:r>
        <w:rPr>
          <w:sz w:val="20"/>
        </w:rPr>
        <w:t xml:space="preserve">But while Pennsylvania PUC approval was a major hurdle, the New Jersey Board of Public Utilities must still approve the merger as well, and such approval is anything but a sure thing. </w:t>
      </w:r>
    </w:p>
    <w:p>
      <w:pPr>
        <w:pStyle w:val="BodyText"/>
        <w:spacing w:before="0" w:after="120"/>
        <w:rPr/>
      </w:pPr>
      <w:r>
        <w:rPr>
          <w:sz w:val="20"/>
        </w:rPr>
        <w:t>Now that the PUC has made its decision, let’s break through the rhetoric, assess the real issues in the proceeding and see how the settlement addresses them.</w:t>
      </w:r>
    </w:p>
    <w:p>
      <w:pPr>
        <w:pStyle w:val="BodyText"/>
        <w:spacing w:before="0" w:after="120"/>
        <w:rPr/>
      </w:pPr>
      <w:r>
        <w:rPr>
          <w:b/>
          <w:sz w:val="20"/>
        </w:rPr>
        <w:t>The Problem</w:t>
        <w:br/>
      </w:r>
      <w:r>
        <w:rPr>
          <w:sz w:val="20"/>
        </w:rPr>
        <w:t xml:space="preserve">No matter who you are, how you look at it, or who you might blame, the fundamental problem in this case is that GPU divested its generating assets in 1998 and failed to protect its shareholders and customers from the possibility of rising wholesale prices. In fact, wholesale prices did rise, the retail generation rate caps remained intact, no competitive default service was established, and GPU had insufficient long-term or lower-priced generation contracts in place. Alone among Pennsylvania’s major utilities, GPU was spending much more to buy wholesale generation than it was paid to sell that generation to its native load customers. </w:t>
      </w:r>
    </w:p>
    <w:p>
      <w:pPr>
        <w:pStyle w:val="BodyText"/>
        <w:spacing w:before="0" w:after="120"/>
        <w:rPr/>
      </w:pPr>
      <w:r>
        <w:rPr>
          <w:sz w:val="20"/>
        </w:rPr>
        <w:t xml:space="preserve">The real problem then was that GPU was running out of cash or credit to buy wholesale generation to meet its obligations. Although the company as a whole continued to fare well financially, it became clear only towards the end of the proceedings that the Commission and the public interest required a solution which would enable GPU to continue to deliver provider of last resort generation service, and to do so without breaking the rate caps. If the Commission didn’t find a solution by June 15, GPU could have been frozen out of the capital markets and would have come back to the Commission for emergency rate relief—requiring a whole new set of proceedings concerning the same facts. </w:t>
      </w:r>
    </w:p>
    <w:p>
      <w:pPr>
        <w:pStyle w:val="BodyText"/>
        <w:spacing w:before="0" w:after="120"/>
        <w:rPr/>
      </w:pPr>
      <w:r>
        <w:rPr>
          <w:b/>
          <w:sz w:val="20"/>
        </w:rPr>
        <w:t xml:space="preserve">The Solution </w:t>
        <w:br/>
      </w:r>
      <w:r>
        <w:rPr>
          <w:sz w:val="20"/>
        </w:rPr>
        <w:t>The preferred solution was to merge GPU and FirstEnergy and to establish an accounting deferral for GPU energy costs. The merger is a good solution in part because it overcomes the cash flow necessary to buy generation on the market. Any cash generated by a modest rate increase trickles in over time and is of secondary importance, so any modest rate increase wasn’t going to solve the problem. FirstEnergy, a huge generation owner, can provide some of the needed generation—even at market prices—without requiring the GPU utilities to pay cash on time. With a merged company, there is plenty of room for internal accounting flexibility. And, as a huge wholesale generation player, FirstEnergy can also better manage wholesale purchasing.</w:t>
      </w:r>
    </w:p>
    <w:p>
      <w:pPr>
        <w:pStyle w:val="BodyText"/>
        <w:spacing w:before="0" w:after="120"/>
        <w:rPr/>
      </w:pPr>
      <w:r>
        <w:rPr>
          <w:sz w:val="20"/>
        </w:rPr>
        <w:t>The deferral is a good solution, too, because the rate caps remain 100% intact. Consumers won’t pay more for electricity. Finally, GPU will be able to re-enter the capital markets, and although they are given a lifeline, GPU shareholders are not taken off the hook for the company’s past performance.</w:t>
      </w:r>
    </w:p>
    <w:p>
      <w:pPr>
        <w:pStyle w:val="BodyText"/>
        <w:spacing w:before="0" w:after="120"/>
        <w:rPr/>
      </w:pPr>
      <w:r>
        <w:rPr>
          <w:sz w:val="20"/>
        </w:rPr>
        <w:t xml:space="preserve">Thus, on May 24, 2001, the Commission approved the merger itself and allowed GPU to establish deferral of generation expenses for accounting purposes. The issues to be addressed in the settlement, as directed by the Commission in its Order, concerned passing on merger-related benefits to consumers and GPU’s generation costs. Today’s settlement addresses these directives by extending the distribution rate cap from 2004 through 2007, rather than violating the generation rate caps; providing a mechanism for GPU to write off and/or recover its generation expenses from existing revenues over time; establishing a demand-side response program to minimize future generation expenses for the company and all consumers; and committing the company to contribute $5 million now to the GPU Sustainable Development Funds and invest another $10 million in renewable energy projects. </w:t>
      </w:r>
    </w:p>
    <w:p>
      <w:pPr>
        <w:pStyle w:val="BodyText"/>
        <w:spacing w:before="0" w:after="120"/>
        <w:rPr/>
      </w:pPr>
      <w:r>
        <w:rPr>
          <w:b/>
          <w:sz w:val="20"/>
        </w:rPr>
        <w:t xml:space="preserve">How the Deferral Accounting Works </w:t>
        <w:br/>
      </w:r>
      <w:r>
        <w:rPr>
          <w:sz w:val="20"/>
        </w:rPr>
        <w:t xml:space="preserve">The deferral provisions allow GPU to retain unrecovered generation costs on its books until 2010 but doesn’t require GPU consumers to pay more as a result. The rate caps are left 100% intact. Some excess generation costs will be reduced on the company’s books if future energy prices decrease sufficiently. </w:t>
      </w:r>
    </w:p>
    <w:p>
      <w:pPr>
        <w:pStyle w:val="BodyText"/>
        <w:spacing w:before="0" w:after="120"/>
        <w:rPr/>
      </w:pPr>
      <w:r>
        <w:rPr>
          <w:sz w:val="20"/>
        </w:rPr>
        <w:t xml:space="preserve">The settlement also increases the shopping credit modestly, while correspondingly reducing the Competitive Transition Charge (CTC), so some of the possible excess generation costs also may be recovered from existing CTC revenue, which otherwise would have been applied against company stranded costs. Doing so does not increase consumer payments, however, because the 1998 GPU Restructuring Settlement allowed CTC collection to continue as long as 2020, in order to take into account the unknown level of non-utility generation (NUG) costs and divestiture proceeds that were a major portion of total GPU stranded costs. </w:t>
      </w:r>
    </w:p>
    <w:p>
      <w:pPr>
        <w:pStyle w:val="BodyText"/>
        <w:spacing w:before="0" w:after="120"/>
        <w:rPr/>
      </w:pPr>
      <w:r>
        <w:rPr>
          <w:sz w:val="20"/>
        </w:rPr>
        <w:t xml:space="preserve">The settlement cuts off CTC collection for GPU in 2015, rather than permitting CTC collection from Met Ed customers to continue until as long as 2020. (Best current estimates are that the Met Ed CTC would have continued to about 2018.) Now, any stranded costs not recovered by 2015 must be written off, reducing consumer payment of stranded costs. This will provide a modest improvement in the opportunity to shop and for a competitive market to develop. Any remaining excess generation costs must be written off by 2010. </w:t>
      </w:r>
    </w:p>
    <w:p>
      <w:pPr>
        <w:pStyle w:val="BodyText"/>
        <w:spacing w:before="0" w:after="120"/>
        <w:rPr/>
      </w:pPr>
      <w:r>
        <w:rPr>
          <w:sz w:val="20"/>
        </w:rPr>
        <w:t>The settlement also redefines the way that NUG stranded costs are calculated. Under the 1998 Restructuring Settlement, the amount by which NUG payments exceed the market value capped rate</w:t>
      </w:r>
      <w:r>
        <w:rPr>
          <w:b/>
          <w:sz w:val="20"/>
        </w:rPr>
        <w:t xml:space="preserve"> </w:t>
      </w:r>
      <w:r>
        <w:rPr>
          <w:sz w:val="20"/>
        </w:rPr>
        <w:t xml:space="preserve">are stranded costs. As changed, only the portion of a NUG payment that exceeds the higher of the capped rate or the market price is recoverable as stranded costs. This change corrects what turned out to be an inaccurate assumption that the market price of generation would always be below the capped rate, but it does not affect NUG contracts in any way. The NUGs still get whatever they are entitled to under their contracts without changes, and even benefit because their payor will become the financially stronger merged FirstEnergy instead of GPU. </w:t>
      </w:r>
    </w:p>
    <w:p>
      <w:pPr>
        <w:pStyle w:val="BodyText"/>
        <w:spacing w:before="0" w:after="120"/>
        <w:rPr/>
      </w:pPr>
      <w:r>
        <w:rPr>
          <w:b/>
          <w:sz w:val="20"/>
        </w:rPr>
        <w:t>The Benefits</w:t>
        <w:br/>
      </w:r>
      <w:r>
        <w:rPr>
          <w:sz w:val="20"/>
        </w:rPr>
        <w:t>The primary, and crucial, benefit to the consumer is that provider of last resort generation service will continue within capped rates. The primary benefit to the company is that the deferral accounting allows the company maximum flexibility to recover costs and to write off unrecovered costs.</w:t>
      </w:r>
    </w:p>
    <w:p>
      <w:pPr>
        <w:pStyle w:val="BodyText"/>
        <w:spacing w:before="0" w:after="120"/>
        <w:rPr/>
      </w:pPr>
      <w:r>
        <w:rPr>
          <w:sz w:val="20"/>
        </w:rPr>
        <w:t xml:space="preserve">But perhaps the most important aspect of the settlement is that it establishes a firm commitment and mechanism for FirstEnergy to address the underlying problem by reducing its exposure to high energy costs with a comprehensive demand side response program. While the details of the program remain to be developed, the company commitment includes an effort to “maximize the cost-effective reduction of peak load” through interval and time-of-use metering, appliance control technologies and open architecture. Its goals are to include participation by all customer classes and competitive suppliers and to be available by next summer. If no program agreement is reached, all parties may address the issues in a future Commission proceeding. </w:t>
      </w:r>
    </w:p>
    <w:p>
      <w:pPr>
        <w:pStyle w:val="BodyText"/>
        <w:spacing w:before="0" w:after="120"/>
        <w:rPr/>
      </w:pPr>
      <w:r>
        <w:rPr>
          <w:sz w:val="20"/>
        </w:rPr>
        <w:t xml:space="preserve">The other environmental benefits are real, if not as comprehensive as one might have preferred. FirstEnergy will give $5 million in company money to the GPU Sustainable Development Funds within 60 days. This contribution is in addition to those already made by GPU, but replaces the .01 cents/kwh of GPU ratepayer money that might have been provided between 2005 and 2008 </w:t>
      </w:r>
      <w:r>
        <w:rPr>
          <w:i/>
          <w:sz w:val="20"/>
        </w:rPr>
        <w:t>IF</w:t>
      </w:r>
      <w:r>
        <w:rPr>
          <w:sz w:val="20"/>
        </w:rPr>
        <w:t xml:space="preserve"> the Commission did not change distribution rates by that time. </w:t>
      </w:r>
    </w:p>
    <w:p>
      <w:pPr>
        <w:pStyle w:val="BodyText"/>
        <w:spacing w:before="0" w:after="120"/>
        <w:rPr/>
      </w:pPr>
      <w:r>
        <w:rPr>
          <w:sz w:val="20"/>
        </w:rPr>
        <w:t xml:space="preserve">FirstEnergy, in consultation with PennFuture, will also invest an additional $10 million in renewable energy. Like all provisions of the settlement, the environmental provisions are subject to PUC oversight. </w:t>
      </w:r>
    </w:p>
    <w:p>
      <w:pPr>
        <w:pStyle w:val="BodyText"/>
        <w:spacing w:before="0" w:after="120"/>
        <w:rPr/>
      </w:pPr>
      <w:r>
        <w:rPr>
          <w:b/>
          <w:sz w:val="20"/>
        </w:rPr>
        <w:t>What the Settlement Does Not Do</w:t>
        <w:br/>
      </w:r>
      <w:r>
        <w:rPr>
          <w:sz w:val="20"/>
        </w:rPr>
        <w:t xml:space="preserve">First, the settlement does not really resolve what would happen in the event that the merger falls through—if, for example, the New Jersey BPU rejects the merger. All of the agreements would be tossed except the agreement to deal with the deferral account for generation costs authorized by the Commission on May 24. GPU would write off all generation costs prior to June 1, 2001, while it would recover the costs incurred after June 1, 2001 in a manner and at a time to be determined in Commission proceedings. Nothing in this provision assumes a rate increase or breaking the rate caps. For example, the costs could be recovered in a manner comparable to the deferral accounting in the event that the merger is completed. </w:t>
      </w:r>
    </w:p>
    <w:p>
      <w:pPr>
        <w:pStyle w:val="BodyText"/>
        <w:spacing w:before="0" w:after="120"/>
        <w:rPr/>
      </w:pPr>
      <w:r>
        <w:rPr>
          <w:sz w:val="20"/>
        </w:rPr>
        <w:t xml:space="preserve">The settlement also does not allow FirstEnergy to raid any pension funds. Federal law and union contracts govern pension plan funding and tolerate some withdrawals with major tax penalties. GPU unions support the settlement. </w:t>
      </w:r>
    </w:p>
    <w:p>
      <w:pPr>
        <w:pStyle w:val="BodyText"/>
        <w:spacing w:before="0" w:after="120"/>
        <w:rPr>
          <w:sz w:val="20"/>
        </w:rPr>
      </w:pPr>
      <w:r>
        <w:rPr>
          <w:sz w:val="20"/>
        </w:rPr>
        <w:t xml:space="preserve">The settlement does not shut down or clean up all of FirstEnergy’s fossil generation plants, or figure out how to safely eliminate FirstEnergy’s nuclear waste. </w:t>
      </w:r>
    </w:p>
    <w:p>
      <w:pPr>
        <w:pStyle w:val="BodyText"/>
        <w:spacing w:before="0" w:after="120"/>
        <w:rPr/>
      </w:pPr>
      <w:r>
        <w:rPr>
          <w:sz w:val="20"/>
        </w:rPr>
        <w:t xml:space="preserve">Finally, the settlement does not establish lower competitive wholesale and retail market prices in the FirstEnergy and GPU territories or jump start the competitive market. </w:t>
      </w:r>
    </w:p>
    <w:p>
      <w:pPr>
        <w:pStyle w:val="BodyText"/>
        <w:spacing w:before="0" w:after="120"/>
        <w:rPr>
          <w:sz w:val="20"/>
        </w:rPr>
      </w:pPr>
      <w:r>
        <w:rPr>
          <w:sz w:val="20"/>
        </w:rPr>
        <w:t xml:space="preserve">Yeah, that would have been nice, too. </w:t>
      </w:r>
    </w:p>
    <w:sectPr>
      <w:type w:val="continuous"/>
      <w:pgSz w:w="12240" w:h="15840"/>
      <w:pgMar w:left="720" w:right="720" w:gutter="0" w:header="0" w:top="720" w:footer="720" w:bottom="1080"/>
      <w:cols w:num="2" w:space="432"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pacing w:val="28"/>
        <w:sz w:val="18"/>
        <w:lang w:eastAsia="en-US"/>
      </w:rPr>
    </w:pPr>
    <w:r>
      <w:rPr>
        <w:b/>
        <w:color w:val="000000"/>
        <w:spacing w:val="28"/>
        <w:sz w:val="18"/>
        <w:lang w:eastAsia="en-US"/>
      </w:rPr>
      <w:t xml:space="preserve">Citizens for Pennsylvania’s Future </w:t>
    </w:r>
    <w:r>
      <w:rPr>
        <w:b/>
        <w:spacing w:val="28"/>
        <w:sz w:val="18"/>
        <w:lang w:eastAsia="en-US"/>
      </w:rPr>
      <w:t>•</w:t>
    </w:r>
    <w:r>
      <w:rPr>
        <w:b/>
        <w:color w:val="000000"/>
        <w:spacing w:val="28"/>
        <w:sz w:val="18"/>
        <w:lang w:eastAsia="en-US"/>
      </w:rPr>
      <w:t xml:space="preserve"> 212 Locust Street </w:t>
    </w:r>
    <w:r>
      <w:rPr>
        <w:b/>
        <w:spacing w:val="28"/>
        <w:sz w:val="18"/>
        <w:lang w:eastAsia="en-US"/>
      </w:rPr>
      <w:t>•</w:t>
    </w:r>
    <w:r>
      <w:rPr>
        <w:b/>
        <w:color w:val="000000"/>
        <w:spacing w:val="28"/>
        <w:sz w:val="18"/>
        <w:lang w:eastAsia="en-US"/>
      </w:rPr>
      <w:t xml:space="preserve"> Suite 410 </w:t>
    </w:r>
    <w:r>
      <w:rPr>
        <w:b/>
        <w:spacing w:val="28"/>
        <w:sz w:val="18"/>
        <w:lang w:eastAsia="en-US"/>
      </w:rPr>
      <w:t xml:space="preserve">• </w:t>
    </w:r>
    <w:r>
      <w:rPr>
        <w:b/>
        <w:color w:val="000000"/>
        <w:spacing w:val="28"/>
        <w:sz w:val="18"/>
        <w:lang w:eastAsia="en-US"/>
      </w:rPr>
      <w:t>Harrisburg, PA 17101</w:t>
    </w:r>
  </w:p>
  <w:p>
    <w:pPr>
      <w:pStyle w:val="Footer"/>
      <w:jc w:val="center"/>
      <w:rPr/>
    </w:pPr>
    <w:r>
      <w:rPr>
        <w:b/>
        <w:spacing w:val="72"/>
        <w:sz w:val="18"/>
        <w:lang w:eastAsia="en-US"/>
      </w:rPr>
      <w:t>1.800.321.7775 (in PA)</w:t>
    </w:r>
    <w:r>
      <w:rPr>
        <w:b/>
        <w:spacing w:val="28"/>
        <w:sz w:val="18"/>
        <w:lang w:eastAsia="en-US"/>
      </w:rPr>
      <w:t xml:space="preserve">• </w:t>
    </w:r>
    <w:r>
      <w:rPr>
        <w:b/>
        <w:spacing w:val="72"/>
        <w:sz w:val="18"/>
        <w:lang w:eastAsia="en-US"/>
      </w:rPr>
      <w:t>717.214.7920</w:t>
    </w:r>
    <w:r>
      <w:rPr>
        <w:b/>
        <w:spacing w:val="28"/>
        <w:sz w:val="18"/>
        <w:lang w:eastAsia="en-US"/>
      </w:rPr>
      <w:t>•</w:t>
    </w:r>
    <w:r>
      <w:rPr>
        <w:b/>
        <w:spacing w:val="72"/>
        <w:sz w:val="18"/>
        <w:lang w:eastAsia="en-US"/>
      </w:rPr>
      <w:t xml:space="preserve"> fax: 717.214.7927</w:t>
    </w:r>
  </w:p>
  <w:p>
    <w:pPr>
      <w:pStyle w:val="Footer"/>
      <w:jc w:val="center"/>
      <w:rPr>
        <w:b/>
        <w:spacing w:val="72"/>
        <w:sz w:val="18"/>
        <w:lang w:eastAsia="en-US"/>
      </w:rPr>
    </w:pPr>
    <w:r>
      <w:rPr>
        <w:b/>
        <w:spacing w:val="72"/>
        <w:sz w:val="18"/>
        <w:lang w:eastAsia="en-US"/>
      </w:rPr>
      <w:t>email: info@pennfuture.org web: www.pennfuture.org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2001-06-14T15:27:00Z</dcterms:created>
  <dc:creator>Michelle Jones</dc:creator>
  <dc:description/>
  <dc:language>en-CA</dc:language>
  <cp:lastModifiedBy>Ed McGovern</cp:lastModifiedBy>
  <cp:lastPrinted>2001-06-14T13:54:00Z</cp:lastPrinted>
  <dcterms:modified xsi:type="dcterms:W3CDTF">2001-06-14T15:27:00Z</dcterms:modified>
  <cp:revision>2</cp:revision>
  <dc:subject/>
  <dc:title>A Rock and a Hard Place</dc:title>
</cp:coreProperties>
</file>