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209893050" r:id="rId2"/>
        </w:object>
      </w:r>
      <w:r>
        <w:rPr>
          <w:sz w:val="20"/>
        </w:rPr>
        <w:t>October 19, 2000</w:t>
      </w:r>
    </w:p>
    <w:p>
      <w:pPr>
        <w:pStyle w:val="Normal"/>
        <w:jc w:val="end"/>
        <w:rPr>
          <w:sz w:val="20"/>
        </w:rPr>
      </w:pPr>
      <w:r>
        <w:rPr>
          <w:sz w:val="20"/>
        </w:rPr>
        <w:t>Vol. 2, No. 21</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spacing w:before="120" w:after="0"/>
        <w:jc w:val="center"/>
        <w:rPr>
          <w:b/>
        </w:rPr>
      </w:pPr>
      <w:r>
        <w:rPr>
          <w:b/>
        </w:rPr>
        <w:t>North By Southwest</w:t>
      </w:r>
    </w:p>
    <w:p>
      <w:pPr>
        <w:pStyle w:val="Normal"/>
        <w:widowControl w:val="false"/>
        <w:autoSpaceDE w:val="false"/>
        <w:jc w:val="both"/>
        <w:rPr>
          <w:b/>
          <w:sz w:val="20"/>
          <w:u w:val="single"/>
        </w:rPr>
      </w:pPr>
      <w:r>
        <w:rPr>
          <w:b/>
          <w:sz w:val="20"/>
          <w:u w:val="single"/>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Normal"/>
        <w:widowControl w:val="false"/>
        <w:autoSpaceDE w:val="false"/>
        <w:jc w:val="both"/>
        <w:rPr>
          <w:b/>
          <w:sz w:val="20"/>
        </w:rPr>
      </w:pPr>
      <w:r>
        <w:rPr>
          <w:b/>
          <w:sz w:val="20"/>
          <w:u w:val="single"/>
        </w:rPr>
        <w:t>Allegheny joins PJM, others to follow</w:t>
      </w:r>
    </w:p>
    <w:p>
      <w:pPr>
        <w:pStyle w:val="Normal"/>
        <w:widowControl w:val="false"/>
        <w:autoSpaceDE w:val="false"/>
        <w:spacing w:before="120" w:after="0"/>
        <w:jc w:val="both"/>
        <w:rPr/>
      </w:pPr>
      <w:r>
        <w:rPr>
          <w:sz w:val="20"/>
        </w:rPr>
        <w:t xml:space="preserve">In the 1840s, Horace Greeley urged a generation to "go West." One hundred sixty years later, thanks to the cooperation of Allegheny Energy, PJM is expanding westward and increasing the likelihood that a wholesale electricity market that is liquid, transparent, and genuinely competitive will stake a claim in western Pennsylvania and beyond. </w:t>
      </w:r>
    </w:p>
    <w:p>
      <w:pPr>
        <w:pStyle w:val="Normal"/>
        <w:autoSpaceDE w:val="false"/>
        <w:spacing w:before="120" w:after="0"/>
        <w:jc w:val="both"/>
        <w:rPr/>
      </w:pPr>
      <w:r>
        <w:rPr>
          <w:sz w:val="20"/>
        </w:rPr>
        <w:t>On October 5</w:t>
      </w:r>
      <w:r>
        <w:rPr>
          <w:sz w:val="20"/>
          <w:vertAlign w:val="superscript"/>
        </w:rPr>
        <w:t>th</w:t>
      </w:r>
      <w:r>
        <w:rPr>
          <w:sz w:val="20"/>
        </w:rPr>
        <w:t>, Allegheny Energy and PJM agreed to develop “PJM West,” a separate entity that should spur reform and substantial expansion of the original PJM. PJM West will not utilize the discredited Installed Capacity (ICAP) rules now employed by PJM. On ICAP, the biggest consumer rip-off in the wholesale electric marketplace, PJM becomes a house divided, and ICAP’s days are numbered. For this reason alone, PJM West is a welcome sight on the horizon.</w:t>
      </w:r>
    </w:p>
    <w:p>
      <w:pPr>
        <w:pStyle w:val="Normal"/>
        <w:autoSpaceDE w:val="false"/>
        <w:spacing w:before="120" w:after="0"/>
        <w:jc w:val="both"/>
        <w:rPr>
          <w:sz w:val="20"/>
        </w:rPr>
      </w:pPr>
      <w:r>
        <w:rPr>
          <w:sz w:val="20"/>
        </w:rPr>
        <w:t>Initially PJM West will contain Allegheny Energy’s service territory, which includes parts of Pennsylvania, Maryland, West Virginia, and Ohio. But soon more control areas will follow Allegheny Energy’s trail and “go West.”</w:t>
      </w:r>
    </w:p>
    <w:p>
      <w:pPr>
        <w:pStyle w:val="Normal"/>
        <w:autoSpaceDE w:val="false"/>
        <w:spacing w:before="120" w:after="0"/>
        <w:jc w:val="both"/>
        <w:rPr/>
      </w:pPr>
      <w:r>
        <w:rPr>
          <w:sz w:val="20"/>
        </w:rPr>
        <w:t>Serving the Pittsburgh area, Duquesne Light Company is also actively considering joining PJM West. In its October 16</w:t>
      </w:r>
      <w:r>
        <w:rPr>
          <w:sz w:val="20"/>
          <w:vertAlign w:val="superscript"/>
        </w:rPr>
        <w:t>th</w:t>
      </w:r>
      <w:r>
        <w:rPr>
          <w:sz w:val="20"/>
        </w:rPr>
        <w:t xml:space="preserve"> filing with the Federal Energy Regulatory Commission (FERC), Duquesne states: “If Allegheny’s memorandum of understanding with PJM results in Allegheny’s affiliation with PJM, Duquesne also will be contiguous with PJM. In anticipation of that event, Duquesne has commenced discussions with PJM to discuss the process by which PJM might admit Duquesne to PJM-West.” </w:t>
      </w:r>
    </w:p>
    <w:p>
      <w:pPr>
        <w:pStyle w:val="Normal"/>
        <w:autoSpaceDE w:val="false"/>
        <w:spacing w:before="120" w:after="0"/>
        <w:jc w:val="both"/>
        <w:rPr>
          <w:sz w:val="20"/>
        </w:rPr>
      </w:pPr>
      <w:r>
        <w:rPr>
          <w:sz w:val="20"/>
        </w:rPr>
        <w:t xml:space="preserve">Although Duquesne states that it is also considering membership in the Alliance RTO, we would bet the ranch that PJM West will become a reality and that Duquesne will join it. Moreover, not far behind Allegheny Energy and Duquesne Light may well be First Energy and some other utilities that are now part of the Alliance RTO proposal. </w:t>
      </w:r>
    </w:p>
    <w:p>
      <w:pPr>
        <w:pStyle w:val="BodyText"/>
        <w:widowControl/>
        <w:autoSpaceDE w:val="false"/>
        <w:rPr/>
      </w:pPr>
      <w:r>
        <w:rPr/>
        <w:t>Congratulations to Allegheny Energy for giving the people of its service territory access to the existing 58,000 megawatt PJM wholesale market — a market that is much more transparent, liquid, and competitive than its present control area. In turn, the successful integration of Allegheny Energy and Duquesne Light into the PJM market would effectively increase it by about 11,000 megawatts.</w:t>
      </w:r>
    </w:p>
    <w:p>
      <w:pPr>
        <w:pStyle w:val="Normal"/>
        <w:jc w:val="both"/>
        <w:rPr>
          <w:b/>
          <w:sz w:val="20"/>
          <w:u w:val="single"/>
        </w:rPr>
      </w:pPr>
      <w:r>
        <w:br w:type="column"/>
      </w:r>
      <w:r>
        <w:rPr>
          <w:b/>
          <w:sz w:val="20"/>
          <w:u w:val="single"/>
        </w:rPr>
        <w:t>PJM West: the proposal</w:t>
      </w:r>
    </w:p>
    <w:p>
      <w:pPr>
        <w:pStyle w:val="Normal"/>
        <w:autoSpaceDE w:val="false"/>
        <w:spacing w:before="120" w:after="0"/>
        <w:jc w:val="both"/>
        <w:rPr/>
      </w:pPr>
      <w:r>
        <w:rPr>
          <w:sz w:val="20"/>
        </w:rPr>
        <w:t xml:space="preserve">PJM and Allegheny Energy’s Memorandum of Understanding establishes a vision for PJM West. Allegheny Energy and PJM will form an independent transmission company that will regain from PJM, subject to FERC acceptance, those operational and management functions that are needed for the successful operation of an independent transmission business. </w:t>
      </w:r>
    </w:p>
    <w:p>
      <w:pPr>
        <w:pStyle w:val="Normal"/>
        <w:autoSpaceDE w:val="false"/>
        <w:spacing w:before="120" w:after="0"/>
        <w:jc w:val="both"/>
        <w:rPr/>
      </w:pPr>
      <w:r>
        <w:rPr>
          <w:sz w:val="20"/>
        </w:rPr>
        <w:t>PJM West will set up its own office and the PJM West Transmission Owners would transfer monitoring and functional control of their transmission systems to PJM. It will also expand the PJM system management concepts beyond a single control area with the potential for a significantly larger energy market that could include Ohio's First Energy Corp.</w:t>
      </w:r>
    </w:p>
    <w:p>
      <w:pPr>
        <w:pStyle w:val="Heading1"/>
        <w:keepNext w:val="false"/>
        <w:spacing w:before="120" w:after="0"/>
        <w:ind w:hanging="0" w:start="0"/>
        <w:rPr/>
      </w:pPr>
      <w:r>
        <w:rPr>
          <w:sz w:val="20"/>
          <w:u w:val="none"/>
        </w:rPr>
        <w:t>Allegheny will adopt PJM’s market operations policies. It will cede functional control of its transmission assets to PJM, eliminate “pancaked” transmission rates, utilize locational marginal pricing, and work with the FERC and other regional RTOs to develop rate reciprocity agreements and a transitional rate structure that will be revenue neutral. PJM will be the OASIS operator for PJM West.</w:t>
      </w:r>
    </w:p>
    <w:p>
      <w:pPr>
        <w:pStyle w:val="Normal"/>
        <w:autoSpaceDE w:val="false"/>
        <w:spacing w:before="120" w:after="0"/>
        <w:jc w:val="both"/>
        <w:rPr/>
      </w:pPr>
      <w:r>
        <w:rPr>
          <w:sz w:val="20"/>
        </w:rPr>
        <w:t>Allegheny Energy will operate under the existing ECAR rules regarding operating reserve requirements, reserve sharing, and other operating standards, and will work with PJM to develop a regime to ensure that PJM West receives full credit for its capacity anywhere within the PJM market. ICAP will not be expanding into PJM West.</w:t>
      </w:r>
    </w:p>
    <w:p>
      <w:pPr>
        <w:pStyle w:val="Normal"/>
        <w:autoSpaceDE w:val="false"/>
        <w:spacing w:before="120" w:after="0"/>
        <w:jc w:val="both"/>
        <w:rPr>
          <w:sz w:val="20"/>
        </w:rPr>
      </w:pPr>
      <w:r>
        <w:rPr>
          <w:sz w:val="20"/>
        </w:rPr>
        <w:t>PJM will retain certain functions related to the operation of the energy market, including the PJM market, congestion management protocol, and market monitoring responsibilities. Allegheny Energy will freely participate in the PJM energy market, including the necessary wholesale price cap. By providing access to PJM’s energy market, PJM West may also give Allegheny Energy a means of meeting the scheduling needs of several proposed wind farms in its control areas and avoiding an unfortunate regulatory battle (see “Electricity’s Oktoberfest: Trouble blowing in the wind,” PennFuture’s E</w:t>
      </w:r>
      <w:r>
        <w:rPr>
          <w:sz w:val="20"/>
          <w:vertAlign w:val="superscript"/>
        </w:rPr>
        <w:t>3</w:t>
      </w:r>
      <w:r>
        <w:rPr>
          <w:sz w:val="20"/>
        </w:rPr>
        <w:t>, Vol. 2, No. 20, Oct. 4, 2000).</w:t>
      </w:r>
      <w:r>
        <w:rPr>
          <w:b/>
          <w:sz w:val="20"/>
        </w:rPr>
        <w:t xml:space="preserve"> </w:t>
      </w:r>
    </w:p>
    <w:p>
      <w:pPr>
        <w:pStyle w:val="BodyText"/>
        <w:widowControl/>
        <w:rPr/>
      </w:pPr>
      <w:r>
        <w:rPr/>
        <w:t>In what is hopefully just a politically necessary fig leaf, the Memorandum of Understanding states that Allegheny Energy will remain a distinct control area from PJM. The purpose of this language is not clear and appears inconsis-tent with the whole purpose of PJM. This point needs clarification and bears watching.</w:t>
      </w:r>
    </w:p>
    <w:p>
      <w:pPr>
        <w:pStyle w:val="Normal"/>
        <w:spacing w:before="120" w:after="0"/>
        <w:jc w:val="both"/>
        <w:rPr/>
      </w:pPr>
      <w:r>
        <w:rPr>
          <w:sz w:val="20"/>
        </w:rPr>
        <w:t>The timeline set out in the agreement includes negotiation for a definitive contract to be completed by February 1, 2001, execution prior to March 1, 2001, and implementation by December 15, 2001.</w:t>
      </w:r>
    </w:p>
    <w:p>
      <w:pPr>
        <w:pStyle w:val="Heading2"/>
        <w:keepNext w:val="false"/>
        <w:widowControl/>
        <w:ind w:hanging="0" w:start="0"/>
        <w:rPr/>
      </w:pPr>
      <w:r>
        <w:rPr/>
        <w:t>PJM West unravels Alliance</w:t>
      </w:r>
    </w:p>
    <w:p>
      <w:pPr>
        <w:pStyle w:val="Normal"/>
        <w:autoSpaceDE w:val="false"/>
        <w:spacing w:before="120" w:after="0"/>
        <w:jc w:val="both"/>
        <w:rPr>
          <w:sz w:val="20"/>
        </w:rPr>
      </w:pPr>
      <w:r>
        <w:rPr>
          <w:sz w:val="20"/>
        </w:rPr>
        <w:t xml:space="preserve">The rise of PJM West spells the demise of the market-balkanizing Alliance RTO proposal. With its proven record of competency and governance independence, PJM offers a much better vehicle for bringing RTO services to the service territories that would be served with the untested, unknown Alliance start up. To us, the only certainty about the Alliance proposal is that it will create one otherwise avoidable transmission rate tollbooth and constrain the size of the wholesale market. </w:t>
      </w:r>
    </w:p>
    <w:p>
      <w:pPr>
        <w:pStyle w:val="Normal"/>
        <w:autoSpaceDE w:val="false"/>
        <w:spacing w:before="120" w:after="0"/>
        <w:jc w:val="both"/>
        <w:rPr/>
      </w:pPr>
      <w:r>
        <w:rPr>
          <w:sz w:val="20"/>
        </w:rPr>
        <w:t xml:space="preserve">With the alternative of PJM West, FERC and state utility commissions should now use their authority to shoot down the Alliance RTO proposal. Placing RTO conditions that protect the public interest on the proposed merger of First Energy and GPU would be a good start down that road. First Energy should be given no choice but to leave the Alliance and join PJM, at least if they want to merge with GPU. First Energy itself has reportedly signaled to its Alliance partners that the merger with GPU comes before the Alliance. </w:t>
      </w:r>
    </w:p>
    <w:p>
      <w:pPr>
        <w:pStyle w:val="Normal"/>
        <w:autoSpaceDE w:val="false"/>
        <w:spacing w:before="120" w:after="0"/>
        <w:jc w:val="both"/>
        <w:rPr/>
      </w:pPr>
      <w:r>
        <w:rPr>
          <w:sz w:val="20"/>
        </w:rPr>
        <w:t xml:space="preserve">First Energy’s departure from the Alliance RTO, the principal strategic purpose of which appears to be keeping its member utilities out of PJM and the Midwest ISO and to fracture the wholesale market between Philadelphia and Chicago, would help unravel that counterproductive proposal and have several benefits. All of Orion’s generation that was purchased from Duquesne and still serves Duquesne’s customers would be within one RTO. Conversely, if First Energy were to remain in the Alliance, some of Orion’s generation would be located in the Alliance and some in PJM West (assuming Duquesne joins PJM West). Requiring First Energy to join PJM West would not only deal with that seams issue, but would also further expand the size and liquidity of the wholesale market in the eastern United States. </w:t>
      </w:r>
    </w:p>
    <w:p>
      <w:pPr>
        <w:pStyle w:val="Heading"/>
        <w:spacing w:before="120" w:after="0"/>
        <w:jc w:val="both"/>
        <w:rPr>
          <w:rFonts w:ascii="Arial" w:hAnsi="Arial" w:cs="Arial"/>
          <w:sz w:val="20"/>
        </w:rPr>
      </w:pPr>
      <w:r>
        <w:rPr>
          <w:rFonts w:cs="Arial" w:ascii="Arial" w:hAnsi="Arial"/>
          <w:sz w:val="20"/>
        </w:rPr>
        <w:t>First Energy's ISO games</w:t>
      </w:r>
    </w:p>
    <w:p>
      <w:pPr>
        <w:pStyle w:val="Normal"/>
        <w:spacing w:before="120" w:after="0"/>
        <w:jc w:val="both"/>
        <w:rPr>
          <w:sz w:val="20"/>
        </w:rPr>
      </w:pPr>
      <w:r>
        <w:rPr>
          <w:sz w:val="20"/>
        </w:rPr>
        <w:t xml:space="preserve">While the agreement between Allegheny and PJM paves the way for Duquesne to join PJM, what about PennPower, the subsidiary of First Energy that serves some suburbs of Pittsburgh and up to the New Castle area of the Commonwealth? Is there any hope for PennPower customers, or worse, might First Energy try to balkanize PJM by taking GPU out of PJM? </w:t>
      </w:r>
    </w:p>
    <w:p>
      <w:pPr>
        <w:pStyle w:val="Normal"/>
        <w:jc w:val="both"/>
        <w:rPr/>
      </w:pPr>
      <w:r>
        <w:br w:type="column"/>
      </w:r>
      <w:r>
        <w:rPr>
          <w:sz w:val="20"/>
        </w:rPr>
        <w:t xml:space="preserve">Moving GPU out of PJM would be the electric utility equivalent of suggesting that one of the 50 states should secede from the Union and join Mexico. Yet First Energy may well have planned to remove GPU from PJM and collapse it into the Alliance or simply a larger First Energy. Such a bold move would undoubtedly be vigorously opposed by the Pennsylvania and New Jersey Public Utility Commissions. </w:t>
      </w:r>
    </w:p>
    <w:p>
      <w:pPr>
        <w:pStyle w:val="Normal"/>
        <w:spacing w:before="120" w:after="0"/>
        <w:jc w:val="both"/>
        <w:rPr>
          <w:sz w:val="20"/>
        </w:rPr>
      </w:pPr>
      <w:r>
        <w:rPr>
          <w:sz w:val="20"/>
        </w:rPr>
        <w:t xml:space="preserve">The state commissions have great leverage while the merger is pending, but once the merger is approved, the state commissions' power to protect the public interest diminishes. Moreover, as a result of the Centerior and First Energy merger, First Energy has a track record with RTOs and mergers that does not inspire confidence. It brings to mind the saying, “Fool me once, shame on you; fool me twice, shame on me.” </w:t>
      </w:r>
    </w:p>
    <w:p>
      <w:pPr>
        <w:pStyle w:val="Normal"/>
        <w:spacing w:before="120" w:after="0"/>
        <w:jc w:val="both"/>
        <w:rPr/>
      </w:pPr>
      <w:r>
        <w:rPr>
          <w:sz w:val="20"/>
        </w:rPr>
        <w:t xml:space="preserve">Consequently, the only way to make sure that First Energy will not remove GPU from PJM is for the commissions of Pennsylvania and New Jersey to craft a set of conditions on the merger that make any such decision impossibly painful. Those conditions must also be effectively “securitized” by the equivalent of a liquidated damages clause that would compensate Pennsylvania and New Jersey were First Energy subsequently to renege on its agreement not to withdraw GPU from PJM. </w:t>
      </w:r>
    </w:p>
    <w:p>
      <w:pPr>
        <w:pStyle w:val="Normal"/>
        <w:spacing w:before="120" w:after="0"/>
        <w:jc w:val="both"/>
        <w:rPr>
          <w:sz w:val="20"/>
        </w:rPr>
      </w:pPr>
      <w:r>
        <w:rPr>
          <w:sz w:val="20"/>
        </w:rPr>
        <w:t>The public interest must be guaranteed. With the creation of PJM West by Allegheny Energy and PJM, it can and should.</w:t>
      </w:r>
    </w:p>
    <w:p>
      <w:pPr>
        <w:pStyle w:val="Normal"/>
        <w:jc w:val="end"/>
        <w:rPr>
          <w:sz w:val="20"/>
        </w:rPr>
      </w:pPr>
      <w:r>
        <w:rPr>
          <w:sz w:val="20"/>
        </w:rPr>
      </w:r>
    </w:p>
    <w:p>
      <w:pPr>
        <w:pStyle w:val="Normal"/>
        <w:jc w:val="end"/>
        <w:rPr>
          <w:sz w:val="20"/>
          <w:lang w:val="en-CA"/>
        </w:rPr>
      </w:pPr>
      <w:r>
        <w:rPr>
          <w:sz w:val="20"/>
          <w:lang w:val="en-CA"/>
        </w:rPr>
      </w: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-17780</wp:posOffset>
                </wp:positionV>
                <wp:extent cx="3352800" cy="972185"/>
                <wp:effectExtent l="0" t="0" r="0" b="0"/>
                <wp:wrapNone/>
                <wp:docPr id="1" name="Frame1"/>
                <a:graphic xmlns:a="http://schemas.openxmlformats.org/drawingml/2006/main">
                  <a:graphicData uri="http://schemas.microsoft.com/office/word/2010/wordprocessingShape">
                    <wps:wsp>
                      <wps:cNvSpPr txBox="1"/>
                      <wps:spPr>
                        <a:xfrm>
                          <a:off x="0" y="0"/>
                          <a:ext cx="3352800" cy="972185"/>
                        </a:xfrm>
                        <a:prstGeom prst="rect"/>
                        <a:solidFill>
                          <a:srgbClr val="FFFFFF"/>
                        </a:solidFill>
                        <a:ln w="25400">
                          <a:solidFill>
                            <a:srgbClr val="000000"/>
                          </a:solidFill>
                        </a:ln>
                      </wps:spPr>
                      <wps:txbx>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Normal"/>
                              <w:tabs>
                                <w:tab w:val="left" w:pos="720" w:leader="none"/>
                              </w:tabs>
                              <w:spacing w:before="0" w:after="120"/>
                              <w:jc w:val="both"/>
                              <w:rPr/>
                            </w:pPr>
                            <w:r>
                              <w:rPr>
                                <w:i/>
                                <w:sz w:val="20"/>
                              </w:rPr>
                              <w:t>Support E</w:t>
                            </w:r>
                            <w:r>
                              <w:rPr>
                                <w:i/>
                                <w:sz w:val="20"/>
                                <w:vertAlign w:val="superscript"/>
                              </w:rPr>
                              <w:t>3</w:t>
                            </w:r>
                            <w:r>
                              <w:rPr>
                                <w:i/>
                                <w:sz w:val="20"/>
                              </w:rPr>
                              <w:t xml:space="preserve"> by becoming a member of PennFuture — visit our secure online membership page at </w:t>
                            </w:r>
                            <w:hyperlink r:id="rId5">
                              <w:r>
                                <w:rPr>
                                  <w:rStyle w:val="Hyperlink"/>
                                  <w:i/>
                                  <w:sz w:val="20"/>
                                </w:rPr>
                                <w:t>www.pennfuture.org</w:t>
                              </w:r>
                            </w:hyperlink>
                            <w:r>
                              <w:rPr>
                                <w:i/>
                                <w:sz w:val="20"/>
                              </w:rPr>
                              <w:t xml:space="preserve"> by clicking on “Support Our Work.”</w:t>
                            </w:r>
                          </w:p>
                          <w:p>
                            <w:pPr>
                              <w:pStyle w:val="Header"/>
                              <w:tabs>
                                <w:tab w:val="clear" w:pos="4320"/>
                                <w:tab w:val="clear" w:pos="8640"/>
                              </w:tabs>
                              <w:rPr>
                                <w:i/>
                                <w:i/>
                                <w:sz w:val="20"/>
                              </w:rPr>
                            </w:pPr>
                            <w:r>
                              <w:rPr>
                                <w:i/>
                                <w:sz w:val="20"/>
                              </w:rPr>
                            </w:r>
                          </w:p>
                        </w:txbxContent>
                      </wps:txbx>
                      <wps:bodyPr anchor="t" lIns="91440" tIns="54610" rIns="91440" bIns="45720">
                        <a:noAutofit/>
                      </wps:bodyPr>
                    </wps:wsp>
                  </a:graphicData>
                </a:graphic>
              </wp:anchor>
            </w:drawing>
          </mc:Choice>
          <mc:Fallback>
            <w:pict>
              <v:rect fillcolor="#FFFFFF" strokecolor="#000000" strokeweight="2pt" style="position:absolute;rotation:-0;width:264pt;height:76.55pt;mso-wrap-distance-left:9.05pt;mso-wrap-distance-right:9.05pt;mso-wrap-distance-top:0pt;mso-wrap-distance-bottom:0pt;margin-top:-1.4pt;mso-position-vertical-relative:text;margin-left:0pt;mso-position-horizontal-relative:text">
                <v:textbox inset="0.1in,0.0597222222222222in">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Normal"/>
                        <w:tabs>
                          <w:tab w:val="left" w:pos="720" w:leader="none"/>
                        </w:tabs>
                        <w:spacing w:before="0" w:after="120"/>
                        <w:jc w:val="both"/>
                        <w:rPr/>
                      </w:pPr>
                      <w:r>
                        <w:rPr>
                          <w:i/>
                          <w:sz w:val="20"/>
                        </w:rPr>
                        <w:t>Support E</w:t>
                      </w:r>
                      <w:r>
                        <w:rPr>
                          <w:i/>
                          <w:sz w:val="20"/>
                          <w:vertAlign w:val="superscript"/>
                        </w:rPr>
                        <w:t>3</w:t>
                      </w:r>
                      <w:r>
                        <w:rPr>
                          <w:i/>
                          <w:sz w:val="20"/>
                        </w:rPr>
                        <w:t xml:space="preserve"> by becoming a member of PennFuture — visit our secure online membership page at </w:t>
                      </w:r>
                      <w:hyperlink r:id="rId6">
                        <w:r>
                          <w:rPr>
                            <w:rStyle w:val="Hyperlink"/>
                            <w:i/>
                            <w:sz w:val="20"/>
                          </w:rPr>
                          <w:t>www.pennfuture.org</w:t>
                        </w:r>
                      </w:hyperlink>
                      <w:r>
                        <w:rPr>
                          <w:i/>
                          <w:sz w:val="20"/>
                        </w:rPr>
                        <w:t xml:space="preserve"> by clicking on “Support Our Work.”</w:t>
                      </w:r>
                    </w:p>
                    <w:p>
                      <w:pPr>
                        <w:pStyle w:val="Header"/>
                        <w:tabs>
                          <w:tab w:val="clear" w:pos="4320"/>
                          <w:tab w:val="clear" w:pos="8640"/>
                        </w:tabs>
                        <w:rPr>
                          <w:i/>
                          <w:i/>
                          <w:sz w:val="20"/>
                        </w:rPr>
                      </w:pPr>
                      <w:r>
                        <w:rPr>
                          <w:i/>
                          <w:sz w:val="20"/>
                        </w:rPr>
                      </w:r>
                    </w:p>
                  </w:txbxContent>
                </v:textbox>
                <w10:wrap type="none"/>
              </v:rect>
            </w:pict>
          </mc:Fallback>
        </mc:AlternateContent>
      </w:r>
    </w:p>
    <w:p>
      <w:pPr>
        <w:pStyle w:val="Normal"/>
        <w:jc w:val="end"/>
        <w:rPr>
          <w:sz w:val="20"/>
        </w:rPr>
      </w:pPr>
      <w:r>
        <w:rPr>
          <w:sz w:val="20"/>
        </w:rPr>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autoSpaceDE w:val="false"/>
      <w:jc w:val="both"/>
      <w:outlineLvl w:val="0"/>
    </w:pPr>
    <w:rPr>
      <w:sz w:val="22"/>
      <w:u w:val="single"/>
    </w:rPr>
  </w:style>
  <w:style w:type="paragraph" w:styleId="Heading2">
    <w:name w:val="heading 2"/>
    <w:basedOn w:val="Normal"/>
    <w:next w:val="Normal"/>
    <w:qFormat/>
    <w:pPr>
      <w:keepNext w:val="true"/>
      <w:widowControl w:val="false"/>
      <w:numPr>
        <w:ilvl w:val="1"/>
        <w:numId w:val="1"/>
      </w:numPr>
      <w:autoSpaceDE w:val="false"/>
      <w:spacing w:before="120" w:after="0"/>
      <w:jc w:val="both"/>
      <w:outlineLvl w:val="1"/>
    </w:pPr>
    <w:rPr>
      <w:b/>
      <w:sz w:val="20"/>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Times New Roman" w:hAnsi="Times New Roman" w:cs="Times New Roman"/>
      <w:b/>
      <w:u w:val="single"/>
    </w:rPr>
  </w:style>
  <w:style w:type="paragraph" w:styleId="BodyText">
    <w:name w:val="Body Text"/>
    <w:basedOn w:val="Normal"/>
    <w:pPr>
      <w:widowControl w:val="false"/>
      <w:spacing w:before="12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hyperlink" Target="http://www.pennfuture.org/" TargetMode="External"/><Relationship Id="rId6" Type="http://schemas.openxmlformats.org/officeDocument/2006/relationships/hyperlink" Target="http://www.pennfuture.org/"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2000-10-19T13:17:00Z</dcterms:created>
  <dc:creator>Ed McGovern</dc:creator>
  <dc:description/>
  <dc:language>en-CA</dc:language>
  <cp:lastModifiedBy>Ed McGovern</cp:lastModifiedBy>
  <cp:lastPrinted>2000-10-19T11:28:00Z</cp:lastPrinted>
  <dcterms:modified xsi:type="dcterms:W3CDTF">2000-10-19T13:17:00Z</dcterms:modified>
  <cp:revision>2</cp:revision>
  <dc:subject/>
  <dc:title>September 14, 1999</dc:title>
</cp:coreProperties>
</file>