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auto"/>
        </w:rPr>
      </w:pPr>
      <w:r>
        <w:rPr>
          <w:color w:val="auto"/>
        </w:rPr>
        <w:t>Chapter 3</w:t>
      </w:r>
    </w:p>
    <w:p>
      <w:pPr>
        <w:pStyle w:val="Normal"/>
        <w:jc w:val="center"/>
        <w:rPr>
          <w:b/>
          <w:color w:val="auto"/>
          <w:sz w:val="32"/>
        </w:rPr>
      </w:pPr>
      <w:r>
        <w:rPr>
          <w:b/>
          <w:color w:val="auto"/>
          <w:sz w:val="32"/>
        </w:rPr>
      </w:r>
    </w:p>
    <w:p>
      <w:pPr>
        <w:pStyle w:val="Heading1"/>
        <w:ind w:hanging="0" w:start="0"/>
        <w:rPr>
          <w:color w:val="auto"/>
        </w:rPr>
      </w:pPr>
      <w:r>
        <w:rPr>
          <w:color w:val="auto"/>
        </w:rPr>
        <w:t>Volatility Estimation in Energy Markets</w:t>
      </w:r>
    </w:p>
    <w:p>
      <w:pPr>
        <w:pStyle w:val="Normal"/>
        <w:rPr>
          <w:color w:val="auto"/>
        </w:rPr>
      </w:pPr>
      <w:r>
        <w:rPr>
          <w:color w:val="auto"/>
        </w:rPr>
      </w:r>
    </w:p>
    <w:p>
      <w:pPr>
        <w:pStyle w:val="Normal"/>
        <w:jc w:val="center"/>
        <w:rPr/>
      </w:pPr>
      <w:r>
        <w:rPr>
          <w:b/>
          <w:color w:val="auto"/>
          <w:sz w:val="28"/>
        </w:rPr>
        <w:t>By Vince</w:t>
      </w:r>
      <w:r>
        <w:rPr>
          <w:b/>
          <w:color w:val="FF00FF"/>
          <w:sz w:val="28"/>
        </w:rPr>
        <w:t>nt</w:t>
      </w:r>
      <w:r>
        <w:rPr>
          <w:b/>
          <w:color w:val="auto"/>
          <w:sz w:val="28"/>
        </w:rPr>
        <w:t xml:space="preserve"> Kaminski, Grant Masson, and Ronnie Chahal</w:t>
      </w:r>
    </w:p>
    <w:p>
      <w:pPr>
        <w:pStyle w:val="Normal"/>
        <w:jc w:val="center"/>
        <w:rPr>
          <w:b/>
          <w:color w:val="auto"/>
          <w:sz w:val="28"/>
        </w:rPr>
      </w:pPr>
      <w:r>
        <w:rPr>
          <w:b/>
          <w:color w:val="auto"/>
          <w:sz w:val="28"/>
        </w:rPr>
        <w:t>Enron Corp.</w:t>
      </w:r>
    </w:p>
    <w:p>
      <w:pPr>
        <w:pStyle w:val="Normal"/>
        <w:jc w:val="end"/>
        <w:rPr/>
      </w:pPr>
      <w:r>
        <w:rPr>
          <w:i/>
          <w:color w:val="auto"/>
        </w:rPr>
        <w:t>8pm 29</w:t>
      </w:r>
      <w:r>
        <w:rPr>
          <w:i/>
          <w:color w:val="auto"/>
          <w:vertAlign w:val="superscript"/>
        </w:rPr>
        <w:t>th</w:t>
      </w:r>
      <w:r>
        <w:rPr>
          <w:i/>
          <w:color w:val="auto"/>
        </w:rPr>
        <w:t xml:space="preserve"> June 2000</w:t>
      </w:r>
    </w:p>
    <w:p>
      <w:pPr>
        <w:pStyle w:val="Normal"/>
        <w:rPr>
          <w:i/>
          <w:i/>
          <w:color w:val="auto"/>
        </w:rPr>
      </w:pPr>
      <w:r>
        <w:rPr>
          <w:i/>
          <w:color w:val="auto"/>
        </w:rPr>
      </w:r>
    </w:p>
    <w:p>
      <w:pPr>
        <w:pStyle w:val="Heading2"/>
        <w:ind w:hanging="0" w:start="0"/>
        <w:rPr>
          <w:color w:val="auto"/>
        </w:rPr>
      </w:pPr>
      <w:r>
        <w:rPr>
          <w:color w:val="auto"/>
        </w:rPr>
        <w:t>3.1</w:t>
        <w:tab/>
        <w:t>Introduction</w:t>
      </w:r>
    </w:p>
    <w:p>
      <w:pPr>
        <w:pStyle w:val="Normal"/>
        <w:rPr>
          <w:color w:val="auto"/>
        </w:rPr>
      </w:pPr>
      <w:r>
        <w:rPr>
          <w:color w:val="auto"/>
        </w:rPr>
      </w:r>
    </w:p>
    <w:p>
      <w:pPr>
        <w:pStyle w:val="Normal"/>
        <w:rPr>
          <w:color w:val="auto"/>
        </w:rPr>
      </w:pPr>
      <w:r>
        <w:rPr>
          <w:color w:val="auto"/>
        </w:rPr>
        <w:t>Volatility is one of the critical concepts in option pricing and risk management.  Organized exchanges use volatility of the underlying commodities to determine the required level of margins that futures traders are required to post with the clearing house.  Volatility has been traditionally defined as the standard deviation of price returns and is routinely estimated from historical price series in countless spreadsheets all over the world.  In spite of its popularity, the notion of volatility is often misunderstood, especially when one applies this tool to the energy markets.  This concept has been defined and extensively researched in the context of financial instruments and one has to be very careful making generalizations.  It is critical that in practical applications in the energy industry one makes an effort to capture the salient features of the energy markets.  The points to make are:</w:t>
      </w:r>
    </w:p>
    <w:p>
      <w:pPr>
        <w:pStyle w:val="Normal"/>
        <w:rPr>
          <w:color w:val="auto"/>
        </w:rPr>
      </w:pPr>
      <w:r>
        <w:rPr>
          <w:color w:val="auto"/>
        </w:rPr>
      </w:r>
    </w:p>
    <w:p>
      <w:pPr>
        <w:pStyle w:val="Normal"/>
        <w:numPr>
          <w:ilvl w:val="0"/>
          <w:numId w:val="2"/>
        </w:numPr>
        <w:ind w:hanging="360" w:start="720" w:end="720"/>
        <w:rPr>
          <w:color w:val="auto"/>
        </w:rPr>
      </w:pPr>
      <w:r>
        <w:rPr>
          <w:color w:val="auto"/>
        </w:rPr>
        <w:t>Volatility can be defined and estimated in a meaningful way only in the context of a specific stochastic process for the prices (price returns).</w:t>
      </w:r>
    </w:p>
    <w:p>
      <w:pPr>
        <w:pStyle w:val="Normal"/>
        <w:rPr>
          <w:color w:val="auto"/>
        </w:rPr>
      </w:pPr>
      <w:r>
        <w:rPr>
          <w:color w:val="auto"/>
        </w:rPr>
      </w:r>
    </w:p>
    <w:p>
      <w:pPr>
        <w:pStyle w:val="Normal"/>
        <w:numPr>
          <w:ilvl w:val="0"/>
          <w:numId w:val="2"/>
        </w:numPr>
        <w:ind w:hanging="360" w:start="720" w:end="720"/>
        <w:rPr>
          <w:color w:val="auto"/>
        </w:rPr>
      </w:pPr>
      <w:r>
        <w:rPr>
          <w:color w:val="auto"/>
        </w:rPr>
        <w:t>The volatility definition and measure should capture the key features of energy markets, such as seasonal dependence on the price level</w:t>
      </w:r>
    </w:p>
    <w:p>
      <w:pPr>
        <w:pStyle w:val="Normal"/>
        <w:rPr>
          <w:color w:val="auto"/>
        </w:rPr>
      </w:pPr>
      <w:r>
        <w:rPr>
          <w:color w:val="auto"/>
        </w:rPr>
      </w:r>
    </w:p>
    <w:p>
      <w:pPr>
        <w:pStyle w:val="Normal"/>
        <w:rPr>
          <w:color w:val="auto"/>
        </w:rPr>
      </w:pPr>
      <w:r>
        <w:rPr>
          <w:color w:val="auto"/>
        </w:rPr>
        <w:t>In the following we identify a number of practical problems of price process modelling in energy markets.</w:t>
      </w:r>
    </w:p>
    <w:p>
      <w:pPr>
        <w:pStyle w:val="Normal"/>
        <w:rPr>
          <w:color w:val="auto"/>
        </w:rPr>
      </w:pPr>
      <w:r>
        <w:rPr>
          <w:color w:val="auto"/>
        </w:rPr>
      </w:r>
    </w:p>
    <w:p>
      <w:pPr>
        <w:pStyle w:val="Normal"/>
        <w:rPr>
          <w:color w:val="auto"/>
        </w:rPr>
      </w:pPr>
      <w:r>
        <w:rPr>
          <w:color w:val="auto"/>
        </w:rPr>
        <w:t>One implication of the assumption of the GBM process of equation (1.4) is the continuity of the line representing the sample trajectory of the price over time.  The line could be drawn, in principle, without removing the pencil from the sheet of paper.  The assumption of GBM as the process that describes the dynamics of the prices of financial instruments is an approximation of the behaviour observed in real markets and has to be treated as a stylised fact.  As a matter of fact, there is growing evidence that the behaviour of market prices did not conform in many past time periods to this standard assumption of financial economics.   One especially troubling observation is that the empirical frequency of the occurrence of extreme outcomes is larger than the probability implied by theoretical models.  This issue will be revisited below.</w:t>
      </w:r>
    </w:p>
    <w:p>
      <w:pPr>
        <w:pStyle w:val="Normal"/>
        <w:rPr>
          <w:color w:val="auto"/>
        </w:rPr>
      </w:pPr>
      <w:r>
        <w:rPr>
          <w:color w:val="auto"/>
        </w:rPr>
      </w:r>
    </w:p>
    <w:p>
      <w:pPr>
        <w:pStyle w:val="Normal"/>
        <w:rPr>
          <w:color w:val="auto"/>
        </w:rPr>
      </w:pPr>
      <w:r>
        <w:rPr>
          <w:color w:val="auto"/>
        </w:rPr>
        <w:t>The assumption of GBM strikes anyone with practical experience in energy commodity trading as an unrealistic description of the observed behaviour of energy prices.  This has been recognized by a growing number of academics and practitioners who have devoted a lot of attention to developing more realistic models of energy commodity price behaviour, many of which are referred to in the following pages.  What follows is a brief review of the most important issues that have been overlooked in early modelling efforts and have been fully addressed only in recent research.  One should note that energy commodities are not created equal and many of the observations made below apply only to some subsets of their entire universe.</w:t>
      </w:r>
    </w:p>
    <w:p>
      <w:pPr>
        <w:pStyle w:val="Normal"/>
        <w:rPr>
          <w:color w:val="auto"/>
        </w:rPr>
      </w:pPr>
      <w:r>
        <w:rPr>
          <w:color w:val="auto"/>
        </w:rPr>
      </w:r>
    </w:p>
    <w:p>
      <w:pPr>
        <w:pStyle w:val="Normal"/>
        <w:rPr/>
      </w:pPr>
      <w:r>
        <w:rPr>
          <w:i/>
          <w:color w:val="auto"/>
        </w:rPr>
        <w:t>Investment assets vs. consumption goods.</w:t>
      </w:r>
      <w:r>
        <w:rPr>
          <w:color w:val="auto"/>
        </w:rPr>
        <w:t xml:space="preserve">  The most obvious observation is that energy commodities cannot be treated as purely financial assets, which are treated by owners as an investment.  Energy commodities are inputs to production processes and/or consumption goods and this explains why many models based on a mechanical extension of the approach developed for financial markets may break down in the case of energy related contingent claims.  For example, the GBM assumption does not allow negative prices.  This assumption may be violated in practice often enough to require attention, especially in the case of electricity.  In some cases, prices of electricity bid into a power pool may drop to zero if some generators want to guarantee that their plants are dispatched for contiguous blocks of time, longer than a single time slot for which separate bids are accepted.  In some cases, the price may become negative, as power plants have to get rid of excess output and have no option to store electricity.  In other words, an assumption of free disposal, customarily made in theoretical models, does not hold. This problem has been addressed by some recently published papers (see Routledge, Seppi, Spatt (1999)).</w:t>
      </w:r>
    </w:p>
    <w:p>
      <w:pPr>
        <w:pStyle w:val="Normal"/>
        <w:rPr>
          <w:color w:val="auto"/>
        </w:rPr>
      </w:pPr>
      <w:r>
        <w:rPr>
          <w:color w:val="auto"/>
        </w:rPr>
      </w:r>
    </w:p>
    <w:p>
      <w:pPr>
        <w:pStyle w:val="Normal"/>
        <w:rPr/>
      </w:pPr>
      <w:r>
        <w:rPr>
          <w:i/>
          <w:color w:val="auto"/>
        </w:rPr>
        <w:t>Prices of energy commodities display seasonality</w:t>
      </w:r>
      <w:r>
        <w:rPr>
          <w:color w:val="auto"/>
        </w:rPr>
        <w:t xml:space="preserve">.  By this we mean recurring regularities in price levels and/or price volatility observed over time.  Seasonality may correspond to the time of the year (winter vs. summer vs. shoulder month), or may be observed in intramonth, intraweek, and in some markets (like power) intraday prices.  Seasonality results primarily from regular demand fluctuations, driven in most cases, by recurring weather related factors.  Fluctuations in demand interact with the supply side factors: increased demand can be satisfied only from more expensive sources or by using more expensive production units.  In many cases, increased demand resulting from weather related factors might reach the levels at which supply becomes constrained by the capacity of the existing transportation or the transmission grid.  In many markets, seasonality may change over time due to the changes in economic conditions and technology.  For example, many natural gas marketers expect a change in seasonal price patterns in the US natural gas markets starting in year 2000, due to increases in the gas-fired generation capacity.  It is expected that in addition to the winter peak, one will observe a more pronounced July/August peak, related to air conditioning load. </w:t>
      </w:r>
    </w:p>
    <w:p>
      <w:pPr>
        <w:pStyle w:val="Normal"/>
        <w:rPr>
          <w:color w:val="auto"/>
        </w:rPr>
      </w:pPr>
      <w:r>
        <w:rPr>
          <w:color w:val="auto"/>
        </w:rPr>
      </w:r>
    </w:p>
    <w:p>
      <w:pPr>
        <w:pStyle w:val="Normal"/>
        <w:rPr>
          <w:color w:val="auto"/>
        </w:rPr>
      </w:pPr>
      <w:r>
        <w:rPr>
          <w:color w:val="auto"/>
        </w:rPr>
        <w:t>Recognition of the existing and possibly changing patterns of seasonality creates a need for forward-looking modelling. The information about future seasonality is often derived in formal models from the futures/forward prices that summarize all the information available to the market about future demand and supply patterns. Some recent papers offer ingenious methods of calibrating prices to forward price curves. (see for example Clewlow and Strickland (1999))</w:t>
      </w:r>
    </w:p>
    <w:p>
      <w:pPr>
        <w:pStyle w:val="Normal"/>
        <w:rPr>
          <w:color w:val="auto"/>
        </w:rPr>
      </w:pPr>
      <w:r>
        <w:rPr>
          <w:color w:val="auto"/>
        </w:rPr>
      </w:r>
    </w:p>
    <w:p>
      <w:pPr>
        <w:pStyle w:val="Normal"/>
        <w:rPr/>
      </w:pPr>
      <w:r>
        <w:rPr>
          <w:i/>
          <w:color w:val="auto"/>
        </w:rPr>
        <w:t>Commodity prices often display jump behaviour</w:t>
      </w:r>
      <w:r>
        <w:rPr>
          <w:color w:val="auto"/>
        </w:rPr>
        <w:t>.  Jump behaviour, or ‘gapping’, is driven in many cases by fluctuations in demand and low elasticity of supply, reflecting rigidities in the transportation and transmission system and limited inventories.  We saw in section 2.7 a model to incorporate this affect.</w:t>
      </w:r>
    </w:p>
    <w:p>
      <w:pPr>
        <w:pStyle w:val="Normal"/>
        <w:rPr>
          <w:color w:val="auto"/>
        </w:rPr>
      </w:pPr>
      <w:r>
        <w:rPr>
          <w:color w:val="auto"/>
        </w:rPr>
      </w:r>
    </w:p>
    <w:p>
      <w:pPr>
        <w:pStyle w:val="Normal"/>
        <w:rPr/>
      </w:pPr>
      <w:r>
        <w:rPr>
          <w:i/>
          <w:color w:val="auto"/>
        </w:rPr>
        <w:t>Prices gravitate to the cost of production</w:t>
      </w:r>
      <w:r>
        <w:rPr>
          <w:color w:val="auto"/>
        </w:rPr>
        <w:t xml:space="preserve">. The assumption of GBM allows prices to wander off to unrealistic levels. The same approach, used in the modelling of two related commodities, like natural gas and power, or peak and off-peak electricity prices, may produce unrealistic spreads between them.  The departures from the cost of production, or “normal” price spreads is possible in the short run under abnormal market conditions, but in the long-term, the supply will be adjusted and the prices will move to the level dictated by the cost of production.  This adjustment can be captured via mean reversion which was introduced in chapter 2.  </w:t>
      </w:r>
      <w:r>
        <w:rPr>
          <w:color w:val="FF00FF"/>
        </w:rPr>
        <w:t>One could argue that the use of a mean-reversion process represents another case of looking for the car keys under the street light, even if they were lost somewhere else.</w:t>
      </w:r>
      <w:r>
        <w:rPr>
          <w:color w:val="auto"/>
        </w:rPr>
        <w:t xml:space="preserve">  Vasicek (1977) first used a mean reverting model for modelling interest rate dynamics and subsequently the model was widely adapted.  In the case of energy commodities, a pure mean reversion model may not perform well.  First of all, the speed of mean reversion may be different below and above the long-term level.  Secondly, in many markets, especially in the case of electricity, one can expect more departures to the upside, than to the downside</w:t>
      </w:r>
      <w:r>
        <w:rPr>
          <w:color w:val="auto"/>
          <w:vertAlign w:val="superscript"/>
        </w:rPr>
        <w:t>4</w:t>
      </w:r>
      <w:r>
        <w:rPr>
          <w:color w:val="auto"/>
        </w:rPr>
        <w:t>.  Thirdly, a price spike in one direction is frequently neutralized by a spike of similar magnitude and opposite sign, occurring shortly after the initial spike.  The mean reversion process generally produces a re-adjustment that is less abrupt.</w:t>
      </w:r>
    </w:p>
    <w:p>
      <w:pPr>
        <w:pStyle w:val="Normal"/>
        <w:rPr>
          <w:color w:val="auto"/>
        </w:rPr>
      </w:pPr>
      <w:r>
        <w:rPr>
          <w:color w:val="auto"/>
        </w:rPr>
      </w:r>
    </w:p>
    <w:p>
      <w:pPr>
        <w:pStyle w:val="Normal"/>
        <w:rPr/>
      </w:pPr>
      <w:r>
        <w:rPr>
          <w:i/>
          <w:color w:val="auto"/>
        </w:rPr>
        <w:t>Prices of energy commodities behave differently during different periods of their lives</w:t>
      </w:r>
      <w:r>
        <w:rPr>
          <w:color w:val="auto"/>
        </w:rPr>
        <w:t>. This is especially true of forward prices. According to the so-called Samuelson’s hypothesis</w:t>
      </w:r>
      <w:r>
        <w:rPr>
          <w:color w:val="auto"/>
          <w:vertAlign w:val="superscript"/>
        </w:rPr>
        <w:t>5</w:t>
      </w:r>
      <w:r>
        <w:rPr>
          <w:color w:val="auto"/>
        </w:rPr>
        <w:t>, forward price volatility increases as they get closer to their maturity. This can be explained by the fact that more information becomes available as the forward contract gets closer to delivery period, and this results in more trading, which in turn produces more volatility. The authors believe that GBM may represent a reasonable approximation to the reality of forward markets. Once a forward contract reaches maturity and we enter the delivery period, the behaviour of prices becomes more erratic and subject to frequent  jumps</w:t>
      </w:r>
      <w:r>
        <w:rPr>
          <w:color w:val="auto"/>
          <w:vertAlign w:val="superscript"/>
        </w:rPr>
        <w:t>6</w:t>
      </w:r>
      <w:r>
        <w:rPr>
          <w:color w:val="auto"/>
        </w:rPr>
        <w:t>. This suggests that one can model price behaviour using more traditional apparatus like GBM or mean reversion during the forward stages of their life, switching to more complex processes to describe the dynamics of the spot price during the delivery month.</w:t>
      </w:r>
    </w:p>
    <w:p>
      <w:pPr>
        <w:pStyle w:val="Normal"/>
        <w:rPr>
          <w:color w:val="auto"/>
        </w:rPr>
      </w:pPr>
      <w:r>
        <w:rPr>
          <w:color w:val="auto"/>
        </w:rPr>
      </w:r>
    </w:p>
    <w:p>
      <w:pPr>
        <w:pStyle w:val="Heading2"/>
        <w:ind w:hanging="0" w:start="0"/>
        <w:rPr>
          <w:b w:val="false"/>
          <w:color w:val="auto"/>
        </w:rPr>
      </w:pPr>
      <w:r>
        <w:rPr>
          <w:color w:val="auto"/>
        </w:rPr>
        <w:t>3.3</w:t>
        <w:tab/>
        <w:t>Estimating Volatility</w:t>
      </w:r>
    </w:p>
    <w:p>
      <w:pPr>
        <w:pStyle w:val="Normal"/>
        <w:rPr>
          <w:b/>
          <w:color w:val="auto"/>
        </w:rPr>
      </w:pPr>
      <w:r>
        <w:rPr>
          <w:b/>
          <w:color w:val="auto"/>
        </w:rPr>
      </w:r>
    </w:p>
    <w:p>
      <w:pPr>
        <w:pStyle w:val="Normal"/>
        <w:rPr>
          <w:color w:val="auto"/>
        </w:rPr>
      </w:pPr>
      <w:r>
        <w:rPr>
          <w:color w:val="auto"/>
        </w:rPr>
        <w:t>In this section we look at issues concerning the estimation of volatility including both historical and implied measures.</w:t>
      </w:r>
    </w:p>
    <w:p>
      <w:pPr>
        <w:pStyle w:val="Normal"/>
        <w:rPr>
          <w:color w:val="auto"/>
        </w:rPr>
      </w:pPr>
      <w:r>
        <w:rPr>
          <w:color w:val="auto"/>
        </w:rPr>
      </w:r>
    </w:p>
    <w:p>
      <w:pPr>
        <w:pStyle w:val="Heading3"/>
        <w:ind w:hanging="0" w:start="0"/>
        <w:rPr>
          <w:color w:val="auto"/>
        </w:rPr>
      </w:pPr>
      <w:r>
        <w:rPr>
          <w:color w:val="auto"/>
        </w:rPr>
        <w:t>3.3.1</w:t>
        <w:tab/>
        <w:t>Estimation of Volatility From Historical Data</w:t>
      </w:r>
    </w:p>
    <w:p>
      <w:pPr>
        <w:pStyle w:val="Normal"/>
        <w:rPr>
          <w:color w:val="auto"/>
        </w:rPr>
      </w:pPr>
      <w:r>
        <w:rPr>
          <w:color w:val="auto"/>
        </w:rPr>
      </w:r>
    </w:p>
    <w:p>
      <w:pPr>
        <w:pStyle w:val="Normal"/>
        <w:rPr>
          <w:color w:val="auto"/>
        </w:rPr>
      </w:pPr>
      <w:r>
        <w:rPr>
          <w:color w:val="auto"/>
        </w:rPr>
        <w:t>The first step in the determination of the correct level of volatility is the examination of the historical price data.  In the case that the underlying spot price process is assumed to be GBM, volatility can be estimated from the historical price returns.  The process can be broken into several steps that can be easily carried out in a spreadsheet.</w:t>
      </w:r>
    </w:p>
    <w:p>
      <w:pPr>
        <w:pStyle w:val="Normal"/>
        <w:rPr>
          <w:color w:val="auto"/>
        </w:rPr>
      </w:pPr>
      <w:r>
        <w:rPr>
          <w:color w:val="auto"/>
        </w:rPr>
      </w:r>
    </w:p>
    <w:p>
      <w:pPr>
        <w:pStyle w:val="Normal"/>
        <w:rPr>
          <w:i/>
          <w:i/>
          <w:color w:val="auto"/>
        </w:rPr>
      </w:pPr>
      <w:r>
        <w:rPr>
          <w:i/>
          <w:color w:val="auto"/>
        </w:rPr>
        <w:t>Step 1. Calculate logarithmic price returns.</w:t>
      </w:r>
    </w:p>
    <w:p>
      <w:pPr>
        <w:pStyle w:val="Normal"/>
        <w:rPr/>
      </w:pPr>
      <w:r>
        <w:rPr>
          <w:color w:val="auto"/>
        </w:rPr>
        <w:t xml:space="preserve">This can be accomplished by forming the price ratios </w:t>
      </w:r>
      <w:r>
        <w:rPr>
          <w:color w:val="auto"/>
        </w:rPr>
      </w:r>
      <m:oMath xmlns:m="http://schemas.openxmlformats.org/officeDocument/2006/math">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oMath>
      <w:r>
        <w:rPr>
          <w:color w:val="auto"/>
        </w:rPr>
        <w:t xml:space="preserve">and taking the natural logarithms of these ratios.  Price returns are typically calculated as </w:t>
      </w:r>
      <w:r>
        <w:rPr>
          <w:color w:val="auto"/>
        </w:rPr>
      </w:r>
      <m:oMath xmlns:m="http://schemas.openxmlformats.org/officeDocument/2006/math">
        <m:r>
          <m:t xml:space="preserve">r</m:t>
        </m:r>
        <m:r>
          <m:t xml:space="preserve">=</m:t>
        </m:r>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r>
          <m:t xml:space="preserve">−</m:t>
        </m:r>
        <m:r>
          <m:rPr>
            <m:lit/>
            <m:nor/>
          </m:rPr>
          <m:t xml:space="preserve">  </m:t>
        </m:r>
        <m:r>
          <m:t xml:space="preserve">1</m:t>
        </m:r>
      </m:oMath>
      <w:r>
        <w:rPr>
          <w:color w:val="auto"/>
        </w:rPr>
        <w:t xml:space="preserve">.  The logic of the approach described above is that for relatively small </w:t>
      </w:r>
      <w:r>
        <w:rPr>
          <w:i/>
          <w:color w:val="auto"/>
        </w:rPr>
        <w:t>x</w:t>
      </w:r>
      <w:r>
        <w:rPr>
          <w:color w:val="auto"/>
        </w:rPr>
        <w:t xml:space="preserve">, ln(1 + </w:t>
      </w:r>
      <w:r>
        <w:rPr>
          <w:i/>
          <w:color w:val="auto"/>
        </w:rPr>
        <w:t>x</w:t>
      </w:r>
      <w:r>
        <w:rPr>
          <w:color w:val="auto"/>
        </w:rPr>
        <w:t xml:space="preserve">) </w:t>
      </w:r>
      <w:r>
        <w:rPr>
          <w:rFonts w:eastAsia="Symbol" w:cs="Symbol" w:ascii="Symbol" w:hAnsi="Symbol"/>
          <w:color w:val="auto"/>
        </w:rPr>
        <w:sym w:font="Symbol" w:char="f040"/>
      </w:r>
      <w:r>
        <w:rPr>
          <w:color w:val="auto"/>
        </w:rPr>
        <w:t xml:space="preserve"> </w:t>
      </w:r>
      <w:r>
        <w:rPr>
          <w:i/>
          <w:color w:val="auto"/>
        </w:rPr>
        <w:t>x</w:t>
      </w:r>
      <w:r>
        <w:rPr>
          <w:color w:val="auto"/>
        </w:rPr>
        <w:t xml:space="preserve">.  Taking the natural log of </w:t>
      </w:r>
      <w:r>
        <w:rPr>
          <w:color w:val="auto"/>
        </w:rPr>
      </w:r>
      <m:oMath xmlns:m="http://schemas.openxmlformats.org/officeDocument/2006/math">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oMath>
      <w:r>
        <w:rPr>
          <w:color w:val="auto"/>
        </w:rPr>
        <w:t xml:space="preserve"> is equivalent to taking the natural log of 1 + </w:t>
      </w:r>
      <w:r>
        <w:rPr>
          <w:i/>
          <w:color w:val="auto"/>
        </w:rPr>
        <w:t>r</w:t>
      </w:r>
      <w:r>
        <w:rPr>
          <w:color w:val="auto"/>
        </w:rPr>
        <w:t xml:space="preserve">, and this in turn is roughly equal to </w:t>
      </w:r>
      <w:r>
        <w:rPr>
          <w:i/>
          <w:color w:val="auto"/>
        </w:rPr>
        <w:t>r</w:t>
      </w:r>
      <w:r>
        <w:rPr>
          <w:color w:val="auto"/>
        </w:rPr>
        <w:t>.</w:t>
      </w:r>
    </w:p>
    <w:p>
      <w:pPr>
        <w:pStyle w:val="Normal"/>
        <w:rPr>
          <w:color w:val="auto"/>
        </w:rPr>
      </w:pPr>
      <w:r>
        <w:rPr>
          <w:color w:val="auto"/>
        </w:rPr>
      </w:r>
    </w:p>
    <w:p>
      <w:pPr>
        <w:pStyle w:val="Normal"/>
        <w:rPr/>
      </w:pPr>
      <w:r>
        <w:rPr>
          <w:color w:val="auto"/>
        </w:rPr>
        <w:t xml:space="preserve">The use of natural log returns has also some other additional advantages.  If one wants to calculate a log return over a longer time period, say from </w:t>
      </w:r>
      <w:r>
        <w:rPr>
          <w:i/>
          <w:color w:val="auto"/>
        </w:rPr>
        <w:t>t</w:t>
      </w:r>
      <w:r>
        <w:rPr>
          <w:color w:val="auto"/>
        </w:rPr>
        <w:t xml:space="preserve"> to </w:t>
      </w:r>
      <w:r>
        <w:rPr>
          <w:i/>
          <w:color w:val="auto"/>
        </w:rPr>
        <w:t>t+n</w:t>
      </w:r>
      <w:r>
        <w:rPr>
          <w:color w:val="auto"/>
        </w:rPr>
        <w:t xml:space="preserve">, corresponding to the ratio </w:t>
      </w:r>
      <w:r>
        <w:rPr>
          <w:color w:val="auto"/>
        </w:rPr>
      </w:r>
      <m:oMath xmlns:m="http://schemas.openxmlformats.org/officeDocument/2006/math">
        <m:f>
          <m:fPr>
            <m:type m:val="lin"/>
          </m:fPr>
          <m:num>
            <m:sSub>
              <m:e>
                <m:r>
                  <m:t xml:space="preserve">S</m:t>
                </m:r>
              </m:e>
              <m:sub>
                <m:r>
                  <m:t xml:space="preserve">t</m:t>
                </m:r>
                <m:r>
                  <m:t xml:space="preserve">+</m:t>
                </m:r>
                <m:r>
                  <m:t xml:space="preserve">n</m:t>
                </m:r>
              </m:sub>
            </m:sSub>
          </m:num>
          <m:den>
            <m:sSub>
              <m:e>
                <m:r>
                  <m:t xml:space="preserve">S</m:t>
                </m:r>
              </m:e>
              <m:sub>
                <m:r>
                  <m:t xml:space="preserve">t</m:t>
                </m:r>
              </m:sub>
            </m:sSub>
          </m:den>
        </m:f>
      </m:oMath>
      <w:r>
        <w:rPr>
          <w:color w:val="auto"/>
        </w:rPr>
        <w:t xml:space="preserve">, one can convert this into </w:t>
      </w:r>
      <w:r>
        <w:rPr>
          <w:color w:val="auto"/>
        </w:rPr>
      </w:r>
      <m:oMath xmlns:m="http://schemas.openxmlformats.org/officeDocument/2006/math">
        <m:r>
          <m:t xml:space="preserve">(</m:t>
        </m:r>
        <m:f>
          <m:fPr>
            <m:type m:val="lin"/>
          </m:fPr>
          <m:num>
            <m:sSub>
              <m:e>
                <m:r>
                  <m:t xml:space="preserve">S</m:t>
                </m:r>
              </m:e>
              <m:sub>
                <m:r>
                  <m:t xml:space="preserve">t</m:t>
                </m:r>
                <m:r>
                  <m:t xml:space="preserve">+</m:t>
                </m:r>
                <m:r>
                  <m:t xml:space="preserve">n</m:t>
                </m:r>
              </m:sub>
            </m:sSub>
          </m:num>
          <m:den>
            <m:sSub>
              <m:e>
                <m:r>
                  <m:t xml:space="preserve">S</m:t>
                </m:r>
              </m:e>
              <m:sub>
                <m:r>
                  <m:t xml:space="preserve">t</m:t>
                </m:r>
                <m:r>
                  <m:t xml:space="preserve">+</m:t>
                </m:r>
                <m:r>
                  <m:t xml:space="preserve">n</m:t>
                </m:r>
                <m:r>
                  <m:t xml:space="preserve">−</m:t>
                </m:r>
                <m:r>
                  <m:t xml:space="preserve">1</m:t>
                </m:r>
              </m:sub>
            </m:sSub>
          </m:den>
        </m:f>
        <m:r>
          <m:t xml:space="preserve">)</m:t>
        </m:r>
        <m:r>
          <m:t xml:space="preserve">×</m:t>
        </m:r>
        <m:r>
          <m:t xml:space="preserve">(</m:t>
        </m:r>
        <m:f>
          <m:fPr>
            <m:type m:val="lin"/>
          </m:fPr>
          <m:num>
            <m:sSub>
              <m:e>
                <m:r>
                  <m:t xml:space="preserve">S</m:t>
                </m:r>
              </m:e>
              <m:sub>
                <m:r>
                  <m:t xml:space="preserve">t</m:t>
                </m:r>
                <m:r>
                  <m:t xml:space="preserve">+</m:t>
                </m:r>
                <m:r>
                  <m:t xml:space="preserve">n</m:t>
                </m:r>
                <m:r>
                  <m:t xml:space="preserve">−</m:t>
                </m:r>
                <m:r>
                  <m:t xml:space="preserve">1</m:t>
                </m:r>
              </m:sub>
            </m:sSub>
          </m:num>
          <m:den>
            <m:sSub>
              <m:e>
                <m:r>
                  <m:t xml:space="preserve">S</m:t>
                </m:r>
              </m:e>
              <m:sub>
                <m:r>
                  <m:t xml:space="preserve">t</m:t>
                </m:r>
                <m:r>
                  <m:t xml:space="preserve">+</m:t>
                </m:r>
                <m:r>
                  <m:t xml:space="preserve">n</m:t>
                </m:r>
                <m:r>
                  <m:t xml:space="preserve">−</m:t>
                </m:r>
                <m:r>
                  <m:t xml:space="preserve">2</m:t>
                </m:r>
              </m:sub>
            </m:sSub>
          </m:den>
        </m:f>
        <m:r>
          <m:t xml:space="preserve">)</m:t>
        </m:r>
        <m:r>
          <m:t xml:space="preserve">×</m:t>
        </m:r>
        <m:r>
          <m:rPr>
            <m:lit/>
            <m:nor/>
          </m:rPr>
          <m:t xml:space="preserve">.</m:t>
        </m:r>
        <m:r>
          <m:rPr>
            <m:lit/>
            <m:nor/>
          </m:rPr>
          <m:t xml:space="preserve">.</m:t>
        </m:r>
        <m:r>
          <m:rPr>
            <m:lit/>
            <m:nor/>
          </m:rPr>
          <m:t xml:space="preserve">.</m:t>
        </m:r>
        <m:r>
          <m:t xml:space="preserve">×</m:t>
        </m:r>
        <m:r>
          <m:t xml:space="preserve">(</m:t>
        </m:r>
        <m:f>
          <m:fPr>
            <m:type m:val="lin"/>
          </m:fPr>
          <m:num>
            <m:sSub>
              <m:e>
                <m:r>
                  <m:t xml:space="preserve">S</m:t>
                </m:r>
              </m:e>
              <m:sub>
                <m:r>
                  <m:t xml:space="preserve">t</m:t>
                </m:r>
                <m:r>
                  <m:t xml:space="preserve">+</m:t>
                </m:r>
                <m:r>
                  <m:t xml:space="preserve">1</m:t>
                </m:r>
              </m:sub>
            </m:sSub>
          </m:num>
          <m:den>
            <m:sSub>
              <m:e>
                <m:r>
                  <m:t xml:space="preserve">S</m:t>
                </m:r>
              </m:e>
              <m:sub>
                <m:r>
                  <m:t xml:space="preserve">t</m:t>
                </m:r>
              </m:sub>
            </m:sSub>
          </m:den>
        </m:f>
        <m:r>
          <m:t xml:space="preserve">)</m:t>
        </m:r>
      </m:oMath>
      <w:r>
        <w:rPr>
          <w:color w:val="auto"/>
        </w:rPr>
        <w:t>. Given that the log of a product is equal to the sum of the logs, one can easily show that a log return over the longer time period can be calculated as the sum of log returns for the sub periods.</w:t>
      </w:r>
    </w:p>
    <w:p>
      <w:pPr>
        <w:pStyle w:val="Normal"/>
        <w:rPr>
          <w:color w:val="auto"/>
        </w:rPr>
      </w:pPr>
      <w:r>
        <w:rPr>
          <w:color w:val="auto"/>
        </w:rPr>
      </w:r>
    </w:p>
    <w:p>
      <w:pPr>
        <w:pStyle w:val="Normal"/>
        <w:rPr>
          <w:i/>
          <w:i/>
          <w:color w:val="auto"/>
        </w:rPr>
      </w:pPr>
      <w:r>
        <w:rPr>
          <w:i/>
          <w:color w:val="auto"/>
        </w:rPr>
        <w:t>Step 2. Calculate standard deviation of the logarithmic price returns.</w:t>
      </w:r>
    </w:p>
    <w:p>
      <w:pPr>
        <w:pStyle w:val="Normal"/>
        <w:rPr>
          <w:i/>
          <w:i/>
          <w:color w:val="auto"/>
        </w:rPr>
      </w:pPr>
      <w:r>
        <w:rPr>
          <w:i/>
          <w:color w:val="auto"/>
        </w:rPr>
      </w:r>
    </w:p>
    <w:p>
      <w:pPr>
        <w:pStyle w:val="Normal"/>
        <w:rPr>
          <w:i/>
          <w:i/>
          <w:color w:val="auto"/>
        </w:rPr>
      </w:pPr>
      <w:r>
        <w:rPr>
          <w:i/>
          <w:color w:val="auto"/>
        </w:rPr>
        <w:t>Step 3. Annualise the standard deviation by multiplying it by the correct factor.</w:t>
      </w:r>
    </w:p>
    <w:p>
      <w:pPr>
        <w:pStyle w:val="Normal"/>
        <w:rPr/>
      </w:pPr>
      <w:r>
        <w:rPr>
          <w:color w:val="auto"/>
        </w:rPr>
        <w:t xml:space="preserve">As a first approximation the annualisation factor depends on the price data frequency.  In the case that the data is monthly, the factor is </w:t>
      </w:r>
      <w:r>
        <w:rPr>
          <w:rFonts w:eastAsia="Symbol" w:cs="Symbol" w:ascii="Symbol" w:hAnsi="Symbol"/>
          <w:color w:val="auto"/>
        </w:rPr>
        <w:sym w:font="Symbol" w:char="f0d6"/>
      </w:r>
      <w:r>
        <w:rPr>
          <w:color w:val="auto"/>
        </w:rPr>
        <w:t xml:space="preserve">12; for weekly data it is </w:t>
      </w:r>
      <w:r>
        <w:rPr>
          <w:rFonts w:eastAsia="Symbol" w:cs="Symbol" w:ascii="Symbol" w:hAnsi="Symbol"/>
          <w:color w:val="auto"/>
        </w:rPr>
        <w:sym w:font="Symbol" w:char="f0d6"/>
      </w:r>
      <w:r>
        <w:rPr>
          <w:color w:val="auto"/>
        </w:rPr>
        <w:t xml:space="preserve">52.  For the daily data available for each calendar day one has to use </w:t>
      </w:r>
      <w:r>
        <w:rPr>
          <w:rFonts w:eastAsia="Symbol" w:cs="Symbol" w:ascii="Symbol" w:hAnsi="Symbol"/>
          <w:color w:val="auto"/>
        </w:rPr>
        <w:sym w:font="Symbol" w:char="f0d6"/>
      </w:r>
      <w:r>
        <w:rPr>
          <w:color w:val="auto"/>
        </w:rPr>
        <w:t xml:space="preserve">365.  If the information is available for trading days only, one should use the relevant number that may vary from jurisdiction to jurisdiction.  The standard usage is </w:t>
      </w:r>
      <w:r>
        <w:rPr>
          <w:rFonts w:eastAsia="Symbol" w:cs="Symbol" w:ascii="Symbol" w:hAnsi="Symbol"/>
          <w:color w:val="auto"/>
        </w:rPr>
        <w:sym w:font="Symbol" w:char="f0d6"/>
      </w:r>
      <w:r>
        <w:rPr>
          <w:color w:val="auto"/>
        </w:rPr>
        <w:t xml:space="preserve">250. </w:t>
      </w:r>
    </w:p>
    <w:p>
      <w:pPr>
        <w:pStyle w:val="Normal"/>
        <w:rPr>
          <w:color w:val="auto"/>
        </w:rPr>
      </w:pPr>
      <w:r>
        <w:rPr>
          <w:color w:val="auto"/>
        </w:rPr>
      </w:r>
    </w:p>
    <w:p>
      <w:pPr>
        <w:pStyle w:val="Normal"/>
        <w:rPr/>
      </w:pPr>
      <w:r>
        <w:rPr>
          <w:color w:val="auto"/>
        </w:rPr>
        <w:t xml:space="preserve">The logic of </w:t>
      </w:r>
      <w:r>
        <w:rPr>
          <w:color w:val="FF00FF"/>
        </w:rPr>
        <w:t>annualisation</w:t>
      </w:r>
      <w:r>
        <w:rPr>
          <w:color w:val="auto"/>
        </w:rPr>
        <w:t xml:space="preserve"> comes from the assumptions regarding additivity of variance. It is implicitly assumed in this approach that each period return is drawn from a certain probability distribution and we are estimating the variance of this unknown distribution from the time series data </w:t>
      </w:r>
      <w:r>
        <w:rPr>
          <w:color w:val="FF00FF"/>
        </w:rPr>
        <w:t>of</w:t>
      </w:r>
      <w:r>
        <w:rPr>
          <w:color w:val="auto"/>
        </w:rPr>
        <w:t xml:space="preserve"> the market closing prices, ignoring the information about price behaviour within the period (intraday, intramonth, etc.).  If the price returns for each period are iid (independent, identically distributed) random variables, the variance of the sum of </w:t>
      </w:r>
      <w:r>
        <w:rPr>
          <w:color w:val="FF00FF"/>
        </w:rPr>
        <w:t>these</w:t>
      </w:r>
      <w:r>
        <w:rPr>
          <w:color w:val="auto"/>
        </w:rPr>
        <w:t xml:space="preserve"> </w:t>
      </w:r>
      <w:r>
        <w:rPr>
          <w:i/>
          <w:color w:val="auto"/>
        </w:rPr>
        <w:t>n</w:t>
      </w:r>
      <w:r>
        <w:rPr>
          <w:color w:val="auto"/>
        </w:rPr>
        <w:t xml:space="preserve"> random variables, </w:t>
      </w:r>
      <w:r>
        <w:rPr>
          <w:color w:val="auto"/>
        </w:rPr>
      </w:r>
      <m:oMath xmlns:m="http://schemas.openxmlformats.org/officeDocument/2006/math">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oMath>
      <w:r>
        <w:rPr>
          <w:color w:val="auto"/>
        </w:rPr>
        <w:t>, is equal to the sum of the variances (if price returns are uncorrelated):</w:t>
      </w:r>
    </w:p>
    <w:p>
      <w:pPr>
        <w:pStyle w:val="Normal"/>
        <w:rPr>
          <w:color w:val="auto"/>
        </w:rPr>
      </w:pPr>
      <w:r>
        <w:rPr>
          <w:color w:val="auto"/>
        </w:rPr>
      </w:r>
    </w:p>
    <w:p>
      <w:pPr>
        <w:pStyle w:val="Equation"/>
        <w:rPr/>
      </w:pPr>
      <w:r>
        <w:rPr/>
        <w:tab/>
      </w:r>
      <w:r>
        <w:rPr/>
      </w:r>
      <m:oMath xmlns:m="http://schemas.openxmlformats.org/officeDocument/2006/math">
        <m:sSup>
          <m:e>
            <m:r>
              <m:t xml:space="preserve">σ</m:t>
            </m:r>
          </m:e>
          <m:sup>
            <m:sSub>
              <m:e>
                <m:r>
                  <m:t xml:space="preserve">2</m:t>
                </m:r>
              </m:e>
              <m:sub>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sub>
            </m:sSub>
          </m:sup>
        </m:sSup>
        <m:r>
          <m:t xml:space="preserve">=</m:t>
        </m:r>
        <m:sSup>
          <m:e>
            <m:r>
              <m:t xml:space="preserve">σ</m:t>
            </m:r>
          </m:e>
          <m:sup>
            <m:sSub>
              <m:e>
                <m:r>
                  <m:t xml:space="preserve">2</m:t>
                </m:r>
              </m:e>
              <m:sub>
                <m:sSub>
                  <m:e>
                    <m:r>
                      <m:t xml:space="preserve">x</m:t>
                    </m:r>
                  </m:e>
                  <m:sub>
                    <m:r>
                      <m:t xml:space="preserve">1</m:t>
                    </m:r>
                  </m:sub>
                </m:sSub>
              </m:sub>
            </m:sSub>
          </m:sup>
        </m:sSup>
        <m:r>
          <m:t xml:space="preserve">+</m:t>
        </m:r>
        <m:sSup>
          <m:e>
            <m:r>
              <m:t xml:space="preserve">σ</m:t>
            </m:r>
          </m:e>
          <m:sup>
            <m:sSub>
              <m:e>
                <m:r>
                  <m:t xml:space="preserve">2</m:t>
                </m:r>
              </m:e>
              <m:sub>
                <m:sSub>
                  <m:e>
                    <m:r>
                      <m:t xml:space="preserve">x</m:t>
                    </m:r>
                  </m:e>
                  <m:sub>
                    <m:r>
                      <m:t xml:space="preserve">2</m:t>
                    </m:r>
                  </m:sub>
                </m:sSub>
              </m:sub>
            </m:sSub>
          </m:sup>
        </m:sSup>
        <m:r>
          <m:t xml:space="preserve">+</m:t>
        </m:r>
        <m:r>
          <m:rPr>
            <m:lit/>
            <m:nor/>
          </m:rPr>
          <m:t xml:space="preserve">.</m:t>
        </m:r>
        <m:r>
          <m:rPr>
            <m:lit/>
            <m:nor/>
          </m:rPr>
          <m:t xml:space="preserve">.</m:t>
        </m:r>
        <m:r>
          <m:rPr>
            <m:lit/>
            <m:nor/>
          </m:rPr>
          <m:t xml:space="preserve">.</m:t>
        </m:r>
        <m:r>
          <m:t xml:space="preserve">+</m:t>
        </m:r>
        <m:sSup>
          <m:e>
            <m:r>
              <m:t xml:space="preserve">σ</m:t>
            </m:r>
          </m:e>
          <m:sup>
            <m:sSub>
              <m:e>
                <m:r>
                  <m:t xml:space="preserve">2</m:t>
                </m:r>
              </m:e>
              <m:sub>
                <m:sSub>
                  <m:e>
                    <m:r>
                      <m:t xml:space="preserve">x</m:t>
                    </m:r>
                  </m:e>
                  <m:sub>
                    <m:r>
                      <m:t xml:space="preserve">n</m:t>
                    </m:r>
                  </m:sub>
                </m:sSub>
              </m:sub>
            </m:sSub>
          </m:sup>
        </m:sSup>
      </m:oMath>
      <w:r>
        <w:rPr/>
        <w:tab/>
        <w:t>(3.1)</w:t>
      </w:r>
    </w:p>
    <w:p>
      <w:pPr>
        <w:pStyle w:val="Normal"/>
        <w:rPr>
          <w:color w:val="auto"/>
        </w:rPr>
      </w:pPr>
      <w:r>
        <w:rPr>
          <w:color w:val="auto"/>
        </w:rPr>
      </w:r>
    </w:p>
    <w:p>
      <w:pPr>
        <w:pStyle w:val="Normal"/>
        <w:rPr/>
      </w:pPr>
      <w:r>
        <w:rPr>
          <w:color w:val="auto"/>
        </w:rPr>
        <w:t xml:space="preserve">Given that all the variances are assumed to be equal, the variance of the sum is equal to the common variance of the underlying variables multiplied by </w:t>
      </w:r>
      <w:r>
        <w:rPr>
          <w:i/>
          <w:color w:val="auto"/>
        </w:rPr>
        <w:t>n</w:t>
      </w:r>
      <w:r>
        <w:rPr>
          <w:color w:val="auto"/>
        </w:rPr>
        <w:t xml:space="preserve">.  The standard deviation is equal to the common standard deviation multiplied by the square root of </w:t>
      </w:r>
      <w:r>
        <w:rPr>
          <w:i/>
          <w:color w:val="auto"/>
        </w:rPr>
        <w:t>n</w:t>
      </w:r>
      <w:r>
        <w:rPr>
          <w:color w:val="auto"/>
        </w:rPr>
        <w:t>.</w:t>
      </w:r>
    </w:p>
    <w:p>
      <w:pPr>
        <w:pStyle w:val="Normal"/>
        <w:rPr>
          <w:color w:val="auto"/>
        </w:rPr>
      </w:pPr>
      <w:r>
        <w:rPr>
          <w:color w:val="auto"/>
        </w:rPr>
      </w:r>
    </w:p>
    <w:p>
      <w:pPr>
        <w:pStyle w:val="Normal"/>
        <w:rPr>
          <w:color w:val="auto"/>
        </w:rPr>
      </w:pPr>
      <w:r>
        <w:rPr>
          <w:color w:val="auto"/>
        </w:rPr>
        <w:t>Before we address the annualisation problem in more depth we offer a few warnings to try to avoid common pitfalls.  Firstly, energy price series tend to be of low quality in many cases.  It is therefore necessary to screen the price history for outliers that may significantly distort the estimates of volatility.  Secondly, in many cases the price data is obtained from the organized futures exchanges by stitching the numbers representing closing prices for the first available contract.  One should keep in mind that in calculating price returns, one should discard the observation corresponding to the contract rollover date (the day following the expiration of one contract, when we switch to the price data representing the new prompt contract).  The logic of this approach is that one can, hopefully, mitigate the seasonality problem in the price data.  Assuming that the prices corresponding to the same contract month are characterized by the same multiplicative seasonality factor, we get:</w:t>
      </w:r>
    </w:p>
    <w:p>
      <w:pPr>
        <w:pStyle w:val="Normal"/>
        <w:rPr>
          <w:color w:val="auto"/>
        </w:rPr>
      </w:pPr>
      <w:r>
        <w:rPr>
          <w:color w:val="auto"/>
        </w:rPr>
      </w:r>
    </w:p>
    <w:p>
      <w:pPr>
        <w:pStyle w:val="Equation"/>
        <w:rPr/>
      </w:pPr>
      <w:r>
        <w:rPr/>
        <w:tab/>
      </w:r>
      <w:r>
        <w:rPr/>
      </w:r>
      <m:oMath xmlns:m="http://schemas.openxmlformats.org/officeDocument/2006/math">
        <m:f>
          <m:num>
            <m:sSub>
              <m:e>
                <m:r>
                  <m:t xml:space="preserve">S</m:t>
                </m:r>
              </m:e>
              <m:sub>
                <m:r>
                  <m:t xml:space="preserve">t</m:t>
                </m:r>
              </m:sub>
            </m:sSub>
          </m:num>
          <m:den>
            <m:sSub>
              <m:e>
                <m:r>
                  <m:t xml:space="preserve">S</m:t>
                </m:r>
              </m:e>
              <m:sub>
                <m:r>
                  <m:t xml:space="preserve">t</m:t>
                </m:r>
                <m:r>
                  <m:t xml:space="preserve">−</m:t>
                </m:r>
                <m:r>
                  <m:t xml:space="preserve">1</m:t>
                </m:r>
              </m:sub>
            </m:sSub>
          </m:den>
        </m:f>
        <m:r>
          <m:t xml:space="preserve">=</m:t>
        </m:r>
        <m:f>
          <m:num>
            <m:sSub>
              <m:e>
                <m:r>
                  <m:rPr>
                    <m:lit/>
                    <m:nor/>
                  </m:rPr>
                  <m:t xml:space="preserve">sS</m:t>
                </m:r>
              </m:e>
              <m:sub>
                <m:r>
                  <m:t xml:space="preserve">a</m:t>
                </m:r>
                <m:r>
                  <m:t xml:space="preserve">,</m:t>
                </m:r>
                <m:r>
                  <m:t xml:space="preserve">t</m:t>
                </m:r>
              </m:sub>
            </m:sSub>
          </m:num>
          <m:den>
            <m:sSub>
              <m:e>
                <m:r>
                  <m:rPr>
                    <m:lit/>
                    <m:nor/>
                  </m:rPr>
                  <m:t xml:space="preserve">sS</m:t>
                </m:r>
              </m:e>
              <m:sub>
                <m:r>
                  <m:t xml:space="preserve">a</m:t>
                </m:r>
                <m:r>
                  <m:t xml:space="preserve">,</m:t>
                </m:r>
                <m:r>
                  <m:t xml:space="preserve">t</m:t>
                </m:r>
                <m:r>
                  <m:t xml:space="preserve">−</m:t>
                </m:r>
                <m:r>
                  <m:t xml:space="preserve">1</m:t>
                </m:r>
              </m:sub>
            </m:sSub>
          </m:den>
        </m:f>
        <m:r>
          <m:t xml:space="preserve">=</m:t>
        </m:r>
        <m:f>
          <m:num>
            <m:sSub>
              <m:e>
                <m:r>
                  <m:t xml:space="preserve">S</m:t>
                </m:r>
              </m:e>
              <m:sub>
                <m:r>
                  <m:t xml:space="preserve">a</m:t>
                </m:r>
                <m:r>
                  <m:t xml:space="preserve">,</m:t>
                </m:r>
                <m:r>
                  <m:t xml:space="preserve">t</m:t>
                </m:r>
              </m:sub>
            </m:sSub>
          </m:num>
          <m:den>
            <m:sSub>
              <m:e>
                <m:r>
                  <m:t xml:space="preserve">S</m:t>
                </m:r>
              </m:e>
              <m:sub>
                <m:r>
                  <m:t xml:space="preserve">a</m:t>
                </m:r>
                <m:r>
                  <m:t xml:space="preserve">,</m:t>
                </m:r>
                <m:r>
                  <m:t xml:space="preserve">t</m:t>
                </m:r>
                <m:r>
                  <m:t xml:space="preserve">−</m:t>
                </m:r>
                <m:r>
                  <m:t xml:space="preserve">1</m:t>
                </m:r>
              </m:sub>
            </m:sSub>
          </m:den>
        </m:f>
      </m:oMath>
    </w:p>
    <w:p>
      <w:pPr>
        <w:pStyle w:val="Normal"/>
        <w:rPr>
          <w:color w:val="auto"/>
        </w:rPr>
      </w:pPr>
      <w:r>
        <w:rPr>
          <w:color w:val="auto"/>
        </w:rPr>
      </w:r>
    </w:p>
    <w:p>
      <w:pPr>
        <w:pStyle w:val="Normal"/>
        <w:rPr/>
      </w:pPr>
      <w:r>
        <w:rPr>
          <w:color w:val="auto"/>
        </w:rPr>
        <w:t xml:space="preserve">where </w:t>
      </w:r>
      <w:r>
        <w:rPr>
          <w:i/>
          <w:color w:val="auto"/>
        </w:rPr>
        <w:t>s</w:t>
      </w:r>
      <w:r>
        <w:rPr>
          <w:color w:val="auto"/>
        </w:rPr>
        <w:t xml:space="preserve"> represents the multiplicative seasonality coefficient, common to both prices, </w:t>
      </w:r>
      <w:r>
        <w:rPr>
          <w:color w:val="auto"/>
        </w:rPr>
      </w:r>
      <m:oMath xmlns:m="http://schemas.openxmlformats.org/officeDocument/2006/math">
        <m:sSub>
          <m:e>
            <m:r>
              <m:t xml:space="preserve">S</m:t>
            </m:r>
          </m:e>
          <m:sub>
            <m:r>
              <m:t xml:space="preserve">a</m:t>
            </m:r>
            <m:r>
              <m:t xml:space="preserve">,</m:t>
            </m:r>
            <m:r>
              <m:t xml:space="preserve">t</m:t>
            </m:r>
          </m:sub>
        </m:sSub>
      </m:oMath>
      <w:r>
        <w:rPr>
          <w:color w:val="auto"/>
        </w:rPr>
        <w:t>(</w:t>
      </w:r>
      <w:r>
        <w:rPr>
          <w:color w:val="auto"/>
        </w:rPr>
      </w:r>
      <m:oMath xmlns:m="http://schemas.openxmlformats.org/officeDocument/2006/math">
        <m:sSub>
          <m:e>
            <m:r>
              <m:t xml:space="preserve">S</m:t>
            </m:r>
          </m:e>
          <m:sub>
            <m:r>
              <m:t xml:space="preserve">a</m:t>
            </m:r>
            <m:r>
              <m:t xml:space="preserve">,</m:t>
            </m:r>
            <m:r>
              <m:t xml:space="preserve">t</m:t>
            </m:r>
            <m:r>
              <m:t xml:space="preserve">−</m:t>
            </m:r>
            <m:r>
              <m:t xml:space="preserve">1</m:t>
            </m:r>
          </m:sub>
        </m:sSub>
      </m:oMath>
      <w:r>
        <w:rPr>
          <w:color w:val="auto"/>
        </w:rPr>
        <w:t xml:space="preserve">) corresponds to the deseasonalised price for period </w:t>
      </w:r>
      <w:r>
        <w:rPr>
          <w:i/>
          <w:color w:val="auto"/>
        </w:rPr>
        <w:t>t</w:t>
      </w:r>
      <w:r>
        <w:rPr>
          <w:color w:val="auto"/>
        </w:rPr>
        <w:t xml:space="preserve"> (</w:t>
      </w:r>
      <w:r>
        <w:rPr>
          <w:i/>
          <w:color w:val="auto"/>
        </w:rPr>
        <w:t xml:space="preserve">t </w:t>
      </w:r>
      <w:r>
        <w:rPr>
          <w:color w:val="auto"/>
        </w:rPr>
        <w:t>- 1).  When we form the price ratio based on different contracts, there is no guarantee that the seasonality coefficients will cancel.  Finally, we need to keep in mind that many energy commodities trade for 6 days during a week (for example, an on-peak period in California is defined as Monday through Saturday).</w:t>
      </w:r>
    </w:p>
    <w:p>
      <w:pPr>
        <w:pStyle w:val="Normal"/>
        <w:rPr>
          <w:color w:val="auto"/>
        </w:rPr>
      </w:pPr>
      <w:r>
        <w:rPr>
          <w:color w:val="auto"/>
        </w:rPr>
      </w:r>
    </w:p>
    <w:p>
      <w:pPr>
        <w:pStyle w:val="Heading3"/>
        <w:ind w:hanging="0" w:start="0"/>
        <w:rPr>
          <w:color w:val="auto"/>
        </w:rPr>
      </w:pPr>
      <w:r>
        <w:rPr>
          <w:color w:val="auto"/>
        </w:rPr>
        <w:t>3.3.2</w:t>
        <w:tab/>
        <w:t>Estimation of Volatility for a Mean Reverting Process</w:t>
      </w:r>
    </w:p>
    <w:p>
      <w:pPr>
        <w:pStyle w:val="Normal"/>
        <w:rPr>
          <w:color w:val="auto"/>
        </w:rPr>
      </w:pPr>
      <w:r>
        <w:rPr>
          <w:color w:val="auto"/>
        </w:rPr>
      </w:r>
    </w:p>
    <w:p>
      <w:pPr>
        <w:pStyle w:val="Normal"/>
        <w:rPr/>
      </w:pPr>
      <w:r>
        <w:rPr>
          <w:color w:val="auto"/>
        </w:rPr>
        <w:t xml:space="preserve">For illustration in this section we assume a simple Ornstein-Uhlenbeck process for a particular price (spot or forward) </w:t>
      </w:r>
      <w:r>
        <w:rPr>
          <w:i/>
          <w:color w:val="auto"/>
        </w:rPr>
        <w:t>S</w:t>
      </w:r>
      <w:r>
        <w:rPr>
          <w:color w:val="auto"/>
        </w:rPr>
        <w:t xml:space="preserve"> of the form</w:t>
      </w:r>
    </w:p>
    <w:p>
      <w:pPr>
        <w:pStyle w:val="Normal"/>
        <w:rPr>
          <w:color w:val="auto"/>
        </w:rPr>
      </w:pPr>
      <w:r>
        <w:rPr>
          <w:color w:val="auto"/>
        </w:rPr>
      </w:r>
    </w:p>
    <w:p>
      <w:pPr>
        <w:pStyle w:val="Equation"/>
        <w:rPr/>
      </w:pPr>
      <w:r>
        <w:rPr/>
        <w:tab/>
      </w:r>
      <w:r>
        <w:rPr/>
      </w:r>
      <m:oMath xmlns:m="http://schemas.openxmlformats.org/officeDocument/2006/math">
        <m:r>
          <m:rPr>
            <m:lit/>
            <m:nor/>
          </m:rPr>
          <m:t xml:space="preserve">dS</m:t>
        </m:r>
        <m:r>
          <m:t xml:space="preserve">=</m:t>
        </m:r>
        <m:r>
          <m:t xml:space="preserve">α</m:t>
        </m:r>
        <m:r>
          <m:t xml:space="preserve">(</m:t>
        </m:r>
        <m:acc>
          <m:accPr>
            <m:chr m:val="¯"/>
          </m:accPr>
          <m:e>
            <m:r>
              <m:t xml:space="preserve">S</m:t>
            </m:r>
          </m:e>
        </m:acc>
        <m:r>
          <m:t xml:space="preserve">−</m:t>
        </m:r>
        <m:r>
          <m:t xml:space="preserve">S</m:t>
        </m:r>
        <m:r>
          <m:t xml:space="preserve">)</m:t>
        </m:r>
        <m:r>
          <m:rPr>
            <m:lit/>
            <m:nor/>
          </m:rPr>
          <m:t xml:space="preserve">dt</m:t>
        </m:r>
        <m:r>
          <m:t xml:space="preserve">+</m:t>
        </m:r>
        <m:r>
          <m:t xml:space="preserve">σ</m:t>
        </m:r>
        <m:r>
          <m:rPr>
            <m:lit/>
            <m:nor/>
          </m:rPr>
          <m:t xml:space="preserve">dz</m:t>
        </m:r>
      </m:oMath>
      <w:r>
        <w:rPr/>
        <w:tab/>
        <w:t>(3.2)</w:t>
      </w:r>
    </w:p>
    <w:p>
      <w:pPr>
        <w:pStyle w:val="Normal"/>
        <w:rPr>
          <w:color w:val="auto"/>
        </w:rPr>
      </w:pPr>
      <w:r>
        <w:rPr>
          <w:color w:val="auto"/>
        </w:rPr>
      </w:r>
    </w:p>
    <w:p>
      <w:pPr>
        <w:pStyle w:val="Normal"/>
        <w:rPr/>
      </w:pPr>
      <w:r>
        <w:rPr>
          <w:color w:val="auto"/>
        </w:rPr>
        <w:t xml:space="preserve">If the starting price level is </w:t>
      </w:r>
      <w:r>
        <w:rPr>
          <w:i/>
          <w:color w:val="auto"/>
        </w:rPr>
        <w:t>S</w:t>
      </w:r>
      <w:r>
        <w:rPr>
          <w:color w:val="auto"/>
        </w:rPr>
        <w:t xml:space="preserve">(0), the expected price at time </w:t>
      </w:r>
      <w:r>
        <w:rPr>
          <w:i/>
          <w:color w:val="auto"/>
        </w:rPr>
        <w:t>t</w:t>
      </w:r>
      <w:r>
        <w:rPr>
          <w:color w:val="auto"/>
        </w:rPr>
        <w:t xml:space="preserve"> will be given by </w:t>
      </w:r>
      <w:r>
        <w:rPr>
          <w:color w:val="auto"/>
        </w:rPr>
      </w:r>
      <m:oMath xmlns:m="http://schemas.openxmlformats.org/officeDocument/2006/math">
        <m:acc>
          <m:accPr>
            <m:chr m:val="¯"/>
          </m:accPr>
          <m:e>
            <m:r>
              <m:t xml:space="preserve">S</m:t>
            </m:r>
          </m:e>
        </m:acc>
        <m:r>
          <m:t xml:space="preserve">+</m:t>
        </m:r>
        <m:r>
          <m:t xml:space="preserve">(</m:t>
        </m:r>
        <m:r>
          <m:t xml:space="preserve">S</m:t>
        </m:r>
        <m:r>
          <m:t xml:space="preserve">(</m:t>
        </m:r>
        <m:r>
          <m:t xml:space="preserve">0</m:t>
        </m:r>
        <m:r>
          <m:t xml:space="preserve">)</m:t>
        </m:r>
        <m:r>
          <m:t xml:space="preserve">−</m:t>
        </m:r>
        <m:acc>
          <m:accPr>
            <m:chr m:val="¯"/>
          </m:accPr>
          <m:e>
            <m:r>
              <m:t xml:space="preserve">S</m:t>
            </m:r>
          </m:e>
        </m:acc>
        <m:r>
          <m:t xml:space="preserve">)</m:t>
        </m:r>
        <m:r>
          <m:rPr>
            <m:lit/>
            <m:nor/>
          </m:rPr>
          <m:t xml:space="preserve">exp</m:t>
        </m:r>
        <m:r>
          <m:t xml:space="preserve">(</m:t>
        </m:r>
        <m:r>
          <m:t xml:space="preserve">−</m:t>
        </m:r>
        <m:r>
          <m:t xml:space="preserve">αt</m:t>
        </m:r>
        <m:r>
          <m:t xml:space="preserve">)</m:t>
        </m:r>
      </m:oMath>
      <w:r>
        <w:rPr>
          <w:color w:val="auto"/>
        </w:rPr>
        <w:t xml:space="preserve">.  As the term </w:t>
      </w:r>
      <w:r>
        <w:rPr>
          <w:color w:val="auto"/>
        </w:rPr>
      </w:r>
      <m:oMath xmlns:m="http://schemas.openxmlformats.org/officeDocument/2006/math">
        <m:r>
          <m:rPr>
            <m:lit/>
            <m:nor/>
          </m:rPr>
          <m:t xml:space="preserve">exp</m:t>
        </m:r>
        <m:r>
          <m:t xml:space="preserve">(</m:t>
        </m:r>
        <m:r>
          <m:t xml:space="preserve">−</m:t>
        </m:r>
        <m:r>
          <m:t xml:space="preserve">αt</m:t>
        </m:r>
        <m:r>
          <m:t xml:space="preserve">)</m:t>
        </m:r>
      </m:oMath>
      <w:r>
        <w:rPr>
          <w:color w:val="auto"/>
        </w:rPr>
        <w:t xml:space="preserve">goes to 0, as </w:t>
      </w:r>
      <w:r>
        <w:rPr>
          <w:i/>
          <w:color w:val="auto"/>
        </w:rPr>
        <w:t>t</w:t>
      </w:r>
      <w:r>
        <w:rPr>
          <w:color w:val="auto"/>
        </w:rPr>
        <w:t xml:space="preserve"> becomes large, the long-term expectation of price is equal to </w:t>
      </w:r>
      <w:r>
        <w:rPr>
          <w:color w:val="auto"/>
        </w:rPr>
      </w:r>
      <m:oMath xmlns:m="http://schemas.openxmlformats.org/officeDocument/2006/math">
        <m:acc>
          <m:accPr>
            <m:chr m:val="¯"/>
          </m:accPr>
          <m:e>
            <m:r>
              <m:t xml:space="preserve">S</m:t>
            </m:r>
          </m:e>
        </m:acc>
      </m:oMath>
      <w:r>
        <w:rPr>
          <w:color w:val="auto"/>
        </w:rPr>
        <w:t>.</w:t>
      </w:r>
    </w:p>
    <w:p>
      <w:pPr>
        <w:pStyle w:val="Normal"/>
        <w:rPr>
          <w:i/>
          <w:i/>
          <w:color w:val="auto"/>
        </w:rPr>
      </w:pPr>
      <w:r>
        <w:rPr>
          <w:i/>
          <w:color w:val="auto"/>
        </w:rPr>
      </w:r>
    </w:p>
    <w:p>
      <w:pPr>
        <w:pStyle w:val="Normal"/>
        <w:rPr/>
      </w:pPr>
      <w:r>
        <w:rPr>
          <w:color w:val="auto"/>
        </w:rPr>
        <w:t xml:space="preserve">One should observe that the second term in the equation (3.2) is similar to the diffusion part of GBM, but that the interpretation of volatility changes.  The change in price, </w:t>
      </w:r>
      <w:r>
        <w:rPr>
          <w:i/>
          <w:color w:val="auto"/>
        </w:rPr>
        <w:t>dS</w:t>
      </w:r>
      <w:r>
        <w:rPr>
          <w:color w:val="auto"/>
        </w:rPr>
        <w:t xml:space="preserve">, is measured in dollars per physical unit, </w:t>
      </w:r>
      <w:r>
        <w:rPr>
          <w:i/>
          <w:color w:val="auto"/>
        </w:rPr>
        <w:t>dz</w:t>
      </w:r>
      <w:r>
        <w:rPr>
          <w:color w:val="auto"/>
        </w:rPr>
        <w:t xml:space="preserve">, is unitless, and therefore </w:t>
      </w:r>
      <w:r>
        <w:rPr>
          <w:rFonts w:eastAsia="Symbol" w:cs="Symbol" w:ascii="Symbol" w:hAnsi="Symbol"/>
          <w:color w:val="auto"/>
        </w:rPr>
        <w:sym w:font="Symbol" w:char="f073"/>
      </w:r>
      <w:r>
        <w:rPr>
          <w:color w:val="auto"/>
        </w:rPr>
        <w:t xml:space="preserve"> in (3.2) must be measured in dollars as well, unlike volatility used in the Black-Scholes-Merton option model.  The important lesson here is that we define and estimate volatility in the context of the stochastic process assumption and when this changes, the interpretation of volatility changes as well.</w:t>
      </w:r>
    </w:p>
    <w:p>
      <w:pPr>
        <w:pStyle w:val="Normal"/>
        <w:rPr>
          <w:color w:val="auto"/>
        </w:rPr>
      </w:pPr>
      <w:r>
        <w:rPr>
          <w:color w:val="auto"/>
        </w:rPr>
      </w:r>
    </w:p>
    <w:p>
      <w:pPr>
        <w:pStyle w:val="Normal"/>
        <w:rPr>
          <w:color w:val="auto"/>
        </w:rPr>
      </w:pPr>
      <w:r>
        <w:rPr>
          <w:color w:val="auto"/>
        </w:rPr>
        <w:t>Volatility can be equally easily estimated from the historical data, if a mean reversion process is assumed.  A spreadsheet-friendly technology that jointly estimates the mean reversion coefficient (c.f. section 2.9) and the volatility parameter, is based on discretisation of the continuous stochastic process given by equation (3.2) into the following equation that represents an autoregressive process of order one:</w:t>
      </w:r>
    </w:p>
    <w:p>
      <w:pPr>
        <w:pStyle w:val="Normal"/>
        <w:rPr>
          <w:color w:val="auto"/>
        </w:rPr>
      </w:pPr>
      <w:r>
        <w:rPr>
          <w:color w:val="auto"/>
        </w:rPr>
      </w:r>
    </w:p>
    <w:p>
      <w:pPr>
        <w:pStyle w:val="Equation"/>
        <w:rPr/>
      </w:pPr>
      <w:r>
        <w:rPr/>
        <w:tab/>
      </w:r>
      <w:r>
        <w:rPr/>
      </w:r>
      <m:oMath xmlns:m="http://schemas.openxmlformats.org/officeDocument/2006/math">
        <m:sSub>
          <m:e>
            <m:r>
              <m:t xml:space="preserve">ΔS</m:t>
            </m:r>
          </m:e>
          <m:sub>
            <m:r>
              <m:t xml:space="preserve">t</m:t>
            </m:r>
          </m:sub>
        </m:sSub>
        <m:r>
          <m:t xml:space="preserve">=</m:t>
        </m:r>
        <m:sSub>
          <m:e>
            <m:r>
              <m:t xml:space="preserve">α</m:t>
            </m:r>
          </m:e>
          <m:sub>
            <m:r>
              <m:t xml:space="preserve">0</m:t>
            </m:r>
          </m:sub>
        </m:sSub>
        <m:r>
          <m:t xml:space="preserve">+</m:t>
        </m:r>
        <m:sSub>
          <m:e>
            <m:r>
              <m:t xml:space="preserve">α</m:t>
            </m:r>
          </m:e>
          <m:sub>
            <m:r>
              <m:t xml:space="preserve">1</m:t>
            </m:r>
          </m:sub>
        </m:sSub>
        <m:sSub>
          <m:e>
            <m:r>
              <m:t xml:space="preserve">S</m:t>
            </m:r>
          </m:e>
          <m:sub>
            <m:r>
              <m:t xml:space="preserve">t</m:t>
            </m:r>
          </m:sub>
        </m:sSub>
        <m:r>
          <m:t xml:space="preserve">+</m:t>
        </m:r>
        <m:sSub>
          <m:e>
            <m:r>
              <m:t xml:space="preserve">ε</m:t>
            </m:r>
          </m:e>
          <m:sub>
            <m:r>
              <m:t xml:space="preserve">t</m:t>
            </m:r>
          </m:sub>
        </m:sSub>
      </m:oMath>
      <w:r>
        <w:rPr/>
        <w:tab/>
        <w:t>(3.3)</w:t>
      </w:r>
    </w:p>
    <w:p>
      <w:pPr>
        <w:pStyle w:val="Normal"/>
        <w:rPr>
          <w:color w:val="auto"/>
        </w:rPr>
      </w:pPr>
      <w:r>
        <w:rPr>
          <w:color w:val="auto"/>
        </w:rPr>
      </w:r>
    </w:p>
    <w:p>
      <w:pPr>
        <w:pStyle w:val="Normal"/>
        <w:rPr/>
      </w:pPr>
      <w:r>
        <w:rPr>
          <w:color w:val="auto"/>
        </w:rPr>
        <w:t xml:space="preserve">This follows from the observation that the equation (3.2) is the limiting case of the following process (as </w:t>
      </w:r>
      <w:r>
        <w:rPr>
          <w:i/>
          <w:color w:val="auto"/>
        </w:rPr>
        <w:t>dt</w:t>
      </w:r>
      <w:r>
        <w:rPr>
          <w:color w:val="auto"/>
        </w:rPr>
        <w:t xml:space="preserve"> </w:t>
      </w:r>
      <w:r>
        <w:rPr>
          <w:rFonts w:eastAsia="Symbol" w:cs="Symbol" w:ascii="Symbol" w:hAnsi="Symbol"/>
          <w:color w:val="auto"/>
        </w:rPr>
        <w:sym w:font="Symbol" w:char="f0ae"/>
      </w:r>
      <w:r>
        <w:rPr>
          <w:color w:val="auto"/>
        </w:rPr>
        <w:t>0):</w:t>
      </w:r>
    </w:p>
    <w:p>
      <w:pPr>
        <w:pStyle w:val="Normal"/>
        <w:rPr>
          <w:color w:val="auto"/>
        </w:rPr>
      </w:pPr>
      <w:r>
        <w:rPr>
          <w:color w:val="auto"/>
        </w:rPr>
      </w:r>
    </w:p>
    <w:p>
      <w:pPr>
        <w:pStyle w:val="Equation"/>
        <w:rPr/>
      </w:pPr>
      <w:r>
        <w:rPr/>
        <w:tab/>
      </w:r>
      <w:r>
        <w:rPr/>
      </w:r>
      <m:oMath xmlns:m="http://schemas.openxmlformats.org/officeDocument/2006/math">
        <m:sSub>
          <m:e>
            <m:r>
              <m:t xml:space="preserve">S</m:t>
            </m:r>
          </m:e>
          <m:sub>
            <m:r>
              <m:t xml:space="preserve">t</m:t>
            </m:r>
            <m:r>
              <m:t xml:space="preserve">+</m:t>
            </m:r>
            <m:r>
              <m:t xml:space="preserve">1</m:t>
            </m:r>
          </m:sub>
        </m:sSub>
        <m:r>
          <m:t xml:space="preserve">−</m:t>
        </m:r>
        <m:sSub>
          <m:e>
            <m:r>
              <m:t xml:space="preserve">S</m:t>
            </m:r>
          </m:e>
          <m:sub>
            <m:r>
              <m:t xml:space="preserve">t</m:t>
            </m:r>
          </m:sub>
        </m:sSub>
        <m:r>
          <m:t xml:space="preserve">=</m:t>
        </m:r>
        <m:acc>
          <m:accPr>
            <m:chr m:val="¯"/>
          </m:accPr>
          <m:e>
            <m:r>
              <m:t xml:space="preserve">S</m:t>
            </m:r>
          </m:e>
        </m:acc>
        <m:r>
          <m:t xml:space="preserve">(</m:t>
        </m:r>
        <m:r>
          <m:t xml:space="preserve">1</m:t>
        </m:r>
        <m:r>
          <m:t xml:space="preserve">−</m:t>
        </m:r>
        <m:sSup>
          <m:e>
            <m:r>
              <m:t xml:space="preserve">e</m:t>
            </m:r>
          </m:e>
          <m:sup>
            <m:r>
              <m:t xml:space="preserve">−</m:t>
            </m:r>
            <m:r>
              <m:t xml:space="preserve">α</m:t>
            </m:r>
          </m:sup>
        </m:sSup>
        <m:r>
          <m:t xml:space="preserve">)</m:t>
        </m:r>
        <m:r>
          <m:t xml:space="preserve">+</m:t>
        </m:r>
        <m:r>
          <m:t xml:space="preserve">(</m:t>
        </m:r>
        <m:sSup>
          <m:e>
            <m:r>
              <m:t xml:space="preserve">e</m:t>
            </m:r>
          </m:e>
          <m:sup>
            <m:r>
              <m:t xml:space="preserve">−</m:t>
            </m:r>
            <m:r>
              <m:t xml:space="preserve">α</m:t>
            </m:r>
          </m:sup>
        </m:sSup>
        <m:r>
          <m:t xml:space="preserve">−</m:t>
        </m:r>
        <m:r>
          <m:t xml:space="preserve">1</m:t>
        </m:r>
        <m:r>
          <m:t xml:space="preserve">)</m:t>
        </m:r>
        <m:sSub>
          <m:e>
            <m:r>
              <m:t xml:space="preserve">S</m:t>
            </m:r>
          </m:e>
          <m:sub>
            <m:r>
              <m:t xml:space="preserve">t</m:t>
            </m:r>
          </m:sub>
        </m:sSub>
        <m:r>
          <m:t xml:space="preserve">+</m:t>
        </m:r>
        <m:sSub>
          <m:e>
            <m:r>
              <m:t xml:space="preserve">ν</m:t>
            </m:r>
          </m:e>
          <m:sub>
            <m:r>
              <m:t xml:space="preserve">t</m:t>
            </m:r>
          </m:sub>
        </m:sSub>
      </m:oMath>
      <w:r>
        <w:rPr/>
        <w:tab/>
        <w:t>(3.4)</w:t>
      </w:r>
    </w:p>
    <w:p>
      <w:pPr>
        <w:pStyle w:val="Normal"/>
        <w:rPr>
          <w:color w:val="auto"/>
        </w:rPr>
      </w:pPr>
      <w:r>
        <w:rPr>
          <w:color w:val="auto"/>
        </w:rPr>
      </w:r>
    </w:p>
    <w:p>
      <w:pPr>
        <w:pStyle w:val="Normal"/>
        <w:rPr>
          <w:color w:val="auto"/>
        </w:rPr>
      </w:pPr>
      <w:r>
        <w:rPr>
          <w:color w:val="auto"/>
        </w:rPr>
        <w:t>The error term in (3.4) is normally distributed with variance given by:</w:t>
      </w:r>
    </w:p>
    <w:p>
      <w:pPr>
        <w:pStyle w:val="Normal"/>
        <w:rPr>
          <w:color w:val="auto"/>
        </w:rPr>
      </w:pPr>
      <w:r>
        <w:rPr>
          <w:color w:val="auto"/>
        </w:rPr>
      </w:r>
    </w:p>
    <w:p>
      <w:pPr>
        <w:pStyle w:val="Equation"/>
        <w:rPr/>
      </w:pPr>
      <w:r>
        <w:rPr/>
        <w:tab/>
      </w:r>
      <w:r>
        <w:rPr/>
      </w:r>
      <m:oMath xmlns:m="http://schemas.openxmlformats.org/officeDocument/2006/math">
        <m:sSubSup>
          <m:e>
            <m:r>
              <m:t xml:space="preserve">σ</m:t>
            </m:r>
          </m:e>
          <m:sub>
            <m:r>
              <m:t xml:space="preserve">ν</m:t>
            </m:r>
          </m:sub>
          <m:sup>
            <m:r>
              <m:t xml:space="preserve">2</m:t>
            </m:r>
          </m:sup>
        </m:sSubSup>
        <m:r>
          <m:t xml:space="preserve">=</m:t>
        </m:r>
        <m:f>
          <m:num>
            <m:sSup>
              <m:e>
                <m:r>
                  <m:t xml:space="preserve">σ</m:t>
                </m:r>
              </m:e>
              <m:sup>
                <m:r>
                  <m:t xml:space="preserve">2</m:t>
                </m:r>
              </m:sup>
            </m:sSup>
          </m:num>
          <m:den>
            <m:r>
              <m:t xml:space="preserve">2</m:t>
            </m:r>
            <m:r>
              <m:t xml:space="preserve">α</m:t>
            </m:r>
          </m:den>
        </m:f>
        <m:r>
          <m:t xml:space="preserve">(</m:t>
        </m:r>
        <m:r>
          <m:t xml:space="preserve">1</m:t>
        </m:r>
        <m:r>
          <m:t xml:space="preserve">−</m:t>
        </m:r>
        <m:sSup>
          <m:e>
            <m:r>
              <m:t xml:space="preserve">e</m:t>
            </m:r>
          </m:e>
          <m:sup>
            <m:r>
              <m:t xml:space="preserve">−</m:t>
            </m:r>
            <m:r>
              <m:t xml:space="preserve">2</m:t>
            </m:r>
            <m:r>
              <m:t xml:space="preserve">α</m:t>
            </m:r>
          </m:sup>
        </m:sSup>
        <m:r>
          <m:t xml:space="preserve">)</m:t>
        </m:r>
      </m:oMath>
      <w:r>
        <w:rPr/>
        <w:tab/>
        <w:t>(3.5)</w:t>
      </w:r>
    </w:p>
    <w:p>
      <w:pPr>
        <w:pStyle w:val="Normal"/>
        <w:rPr>
          <w:color w:val="auto"/>
        </w:rPr>
      </w:pPr>
      <w:r>
        <w:rPr>
          <w:color w:val="auto"/>
        </w:rPr>
      </w:r>
    </w:p>
    <w:p>
      <w:pPr>
        <w:pStyle w:val="Normal"/>
        <w:rPr>
          <w:color w:val="auto"/>
        </w:rPr>
      </w:pPr>
      <w:r>
        <w:rPr>
          <w:color w:val="auto"/>
        </w:rPr>
        <w:t>The parameters of the original equation (3.2) can be recovered from the estimated coefficients of the discrete version:</w:t>
      </w:r>
    </w:p>
    <w:p>
      <w:pPr>
        <w:pStyle w:val="Normal"/>
        <w:rPr>
          <w:color w:val="auto"/>
        </w:rPr>
      </w:pPr>
      <w:r>
        <w:rPr>
          <w:color w:val="auto"/>
        </w:rPr>
      </w:r>
    </w:p>
    <w:p>
      <w:pPr>
        <w:pStyle w:val="Equation"/>
        <w:rPr/>
      </w:pPr>
      <w:r>
        <w:rPr/>
        <w:tab/>
      </w:r>
      <w:r>
        <w:rPr/>
      </w:r>
      <m:oMath xmlns:m="http://schemas.openxmlformats.org/officeDocument/2006/math">
        <m:acc>
          <m:accPr>
            <m:chr m:val="¯"/>
          </m:accPr>
          <m:e>
            <m:r>
              <m:t xml:space="preserve">S</m:t>
            </m:r>
          </m:e>
        </m:acc>
        <m:r>
          <m:t xml:space="preserve">=</m:t>
        </m:r>
        <m:f>
          <m:fPr>
            <m:type m:val="lin"/>
          </m:fPr>
          <m:num>
            <m:r>
              <m:t xml:space="preserve">−</m:t>
            </m:r>
            <m:sSub>
              <m:e>
                <m:r>
                  <m:t xml:space="preserve">α</m:t>
                </m:r>
              </m:e>
              <m:sub>
                <m:r>
                  <m:t xml:space="preserve">0</m:t>
                </m:r>
              </m:sub>
            </m:sSub>
          </m:num>
          <m:den>
            <m:sSub>
              <m:e>
                <m:r>
                  <m:t xml:space="preserve">α</m:t>
                </m:r>
              </m:e>
              <m:sub>
                <m:r>
                  <m:t xml:space="preserve">1</m:t>
                </m:r>
              </m:sub>
            </m:sSub>
          </m:den>
        </m:f>
      </m:oMath>
      <w:r>
        <w:rPr/>
        <w:tab/>
        <w:t>(3.6)</w:t>
      </w:r>
    </w:p>
    <w:p>
      <w:pPr>
        <w:pStyle w:val="Equation"/>
        <w:rPr/>
      </w:pPr>
      <w:r>
        <w:rPr/>
        <w:tab/>
      </w:r>
      <w:r>
        <w:rPr/>
      </w:r>
      <m:oMath xmlns:m="http://schemas.openxmlformats.org/officeDocument/2006/math">
        <m:r>
          <m:t xml:space="preserve">α</m:t>
        </m:r>
        <m:r>
          <m:t xml:space="preserve">=</m:t>
        </m:r>
        <m:r>
          <m:t xml:space="preserve">−</m:t>
        </m:r>
        <m:r>
          <m:rPr>
            <m:lit/>
            <m:nor/>
          </m:rPr>
          <m:t xml:space="preserve">ln</m:t>
        </m:r>
        <m:r>
          <m:t xml:space="preserve">(</m:t>
        </m:r>
        <m:r>
          <m:t xml:space="preserve">1</m:t>
        </m:r>
        <m:r>
          <m:t xml:space="preserve">+</m:t>
        </m:r>
        <m:sSub>
          <m:e>
            <m:r>
              <m:t xml:space="preserve">α</m:t>
            </m:r>
          </m:e>
          <m:sub>
            <m:r>
              <m:t xml:space="preserve">1</m:t>
            </m:r>
          </m:sub>
        </m:sSub>
        <m:r>
          <m:t xml:space="preserve">)</m:t>
        </m:r>
      </m:oMath>
      <w:r>
        <w:rPr/>
        <w:tab/>
        <w:t>(3.7)</w:t>
      </w:r>
    </w:p>
    <w:p>
      <w:pPr>
        <w:pStyle w:val="Equation"/>
        <w:rPr/>
      </w:pPr>
      <w:r>
        <w:rPr/>
        <w:tab/>
      </w:r>
      <w:r>
        <w:rPr/>
      </w:r>
      <m:oMath xmlns:m="http://schemas.openxmlformats.org/officeDocument/2006/math">
        <m:r>
          <m:t xml:space="preserve">σ</m:t>
        </m:r>
        <m:r>
          <m:t xml:space="preserve">=</m:t>
        </m:r>
        <m:sSubSup>
          <m:e>
            <m:r>
              <m:t xml:space="preserve">σ</m:t>
            </m:r>
          </m:e>
          <m:sub>
            <m:r>
              <m:t xml:space="preserve">ν</m:t>
            </m:r>
          </m:sub>
          <m:sup>
            <m:r>
              <m:t xml:space="preserve">2</m:t>
            </m:r>
          </m:sup>
        </m:sSubSup>
        <m:rad>
          <m:radPr>
            <m:degHide m:val="1"/>
          </m:radPr>
          <m:deg/>
          <m:e>
            <m:f>
              <m:num>
                <m:r>
                  <m:rPr>
                    <m:lit/>
                    <m:nor/>
                  </m:rPr>
                  <m:t xml:space="preserve">ln</m:t>
                </m:r>
                <m:r>
                  <m:t xml:space="preserve">(</m:t>
                </m:r>
                <m:r>
                  <m:t xml:space="preserve">1</m:t>
                </m:r>
                <m:r>
                  <m:t xml:space="preserve">+</m:t>
                </m:r>
                <m:sSub>
                  <m:e>
                    <m:r>
                      <m:t xml:space="preserve">α</m:t>
                    </m:r>
                  </m:e>
                  <m:sub>
                    <m:r>
                      <m:t xml:space="preserve">1</m:t>
                    </m:r>
                  </m:sub>
                </m:sSub>
                <m:r>
                  <m:t xml:space="preserve">)</m:t>
                </m:r>
              </m:num>
              <m:den>
                <m:r>
                  <m:rPr>
                    <m:lit/>
                    <m:nor/>
                  </m:rPr>
                  <m:t xml:space="preserve">log</m:t>
                </m:r>
                <m:r>
                  <m:t xml:space="preserve">(</m:t>
                </m:r>
                <m:r>
                  <m:t xml:space="preserve">1</m:t>
                </m:r>
                <m:r>
                  <m:t xml:space="preserve">+</m:t>
                </m:r>
                <m:sSub>
                  <m:e>
                    <m:r>
                      <m:t xml:space="preserve">α</m:t>
                    </m:r>
                  </m:e>
                  <m:sub>
                    <m:r>
                      <m:t xml:space="preserve">1</m:t>
                    </m:r>
                  </m:sub>
                </m:sSub>
                <m:sSup>
                  <m:e>
                    <m:r>
                      <m:t xml:space="preserve">)</m:t>
                    </m:r>
                  </m:e>
                  <m:sup>
                    <m:r>
                      <m:t xml:space="preserve">2</m:t>
                    </m:r>
                  </m:sup>
                </m:sSup>
                <m:r>
                  <m:t xml:space="preserve">−</m:t>
                </m:r>
                <m:r>
                  <m:t xml:space="preserve">1</m:t>
                </m:r>
              </m:den>
            </m:f>
          </m:e>
        </m:rad>
      </m:oMath>
      <w:r>
        <w:rPr/>
        <w:tab/>
        <w:t>(3.8)</w:t>
      </w:r>
    </w:p>
    <w:p>
      <w:pPr>
        <w:pStyle w:val="Normal"/>
        <w:rPr>
          <w:color w:val="auto"/>
        </w:rPr>
      </w:pPr>
      <w:r>
        <w:rPr>
          <w:color w:val="auto"/>
        </w:rPr>
      </w:r>
    </w:p>
    <w:p>
      <w:pPr>
        <w:pStyle w:val="Heading3"/>
        <w:ind w:hanging="0" w:start="0"/>
        <w:rPr>
          <w:color w:val="auto"/>
        </w:rPr>
      </w:pPr>
      <w:r>
        <w:rPr>
          <w:color w:val="auto"/>
        </w:rPr>
        <w:t>3.3.3</w:t>
        <w:tab/>
        <w:t>Volatility Estimation: Special Issues</w:t>
      </w:r>
    </w:p>
    <w:p>
      <w:pPr>
        <w:pStyle w:val="Normal"/>
        <w:rPr>
          <w:color w:val="auto"/>
        </w:rPr>
      </w:pPr>
      <w:r>
        <w:rPr>
          <w:color w:val="auto"/>
        </w:rPr>
      </w:r>
    </w:p>
    <w:p>
      <w:pPr>
        <w:pStyle w:val="Normal"/>
        <w:rPr>
          <w:color w:val="auto"/>
        </w:rPr>
      </w:pPr>
      <w:r>
        <w:rPr>
          <w:color w:val="auto"/>
        </w:rPr>
        <w:t>This section will contain the discussion of several special issues: the choice of the annualisation factor and the use of intra-period data (typically this means intraday prices).</w:t>
      </w:r>
    </w:p>
    <w:p>
      <w:pPr>
        <w:pStyle w:val="Normal"/>
        <w:rPr>
          <w:color w:val="auto"/>
        </w:rPr>
      </w:pPr>
      <w:r>
        <w:rPr>
          <w:color w:val="auto"/>
        </w:rPr>
      </w:r>
    </w:p>
    <w:p>
      <w:pPr>
        <w:pStyle w:val="Normal"/>
        <w:rPr/>
      </w:pPr>
      <w:r>
        <w:rPr>
          <w:color w:val="auto"/>
        </w:rPr>
        <w:t>A typical textbook discussion of the annualisation factor typically evolves around the correct number of trading days in a year.  However, the issue is more complicated than this.  French and Roll (1986) compared the variance of price returns during the week with the variance of price returns calculated for the weekend.  One can calculate four daily price returns for weekdays (</w:t>
      </w:r>
      <w:r>
        <w:rPr>
          <w:color w:val="FF00FF"/>
        </w:rPr>
        <w:t>Tuesday over Monday, Wednesday over Tuesday</w:t>
      </w:r>
      <w:r>
        <w:rPr>
          <w:color w:val="auto"/>
        </w:rPr>
        <w:t>, etc) and one weekend return (Monday close to Friday close).  For the US stock data used in their study the authors determined that the weekend was equivalent to 1.107 trading days.  This result can be easily explained.  Volatility is related to trading activities that are in turn triggered by the flow of information into the trading rooms.  Over the weekend, the information flow slows down when trading is suspended and new information is processed during trading activity on Monday.  This explains why the three calendar day period is practically equal to one trading day.  Using this finding one can argue for an annualisation factor of 266 [= 52 * (4 + 1.107)].</w:t>
      </w:r>
    </w:p>
    <w:p>
      <w:pPr>
        <w:pStyle w:val="Normal"/>
        <w:rPr>
          <w:color w:val="auto"/>
        </w:rPr>
      </w:pPr>
      <w:r>
        <w:rPr>
          <w:color w:val="auto"/>
        </w:rPr>
      </w:r>
    </w:p>
    <w:p>
      <w:pPr>
        <w:pStyle w:val="Normal"/>
        <w:rPr/>
      </w:pPr>
      <w:r>
        <w:rPr>
          <w:color w:val="auto"/>
        </w:rPr>
        <w:t xml:space="preserve">However, energy markets are different.  In many cases the information flow does not slow down significantly on weekends.  One can argue that the information regarding political events and weather (which is extremely important for the natural gas, heating oil, propane and electricity markets) keeps flowing roughly at the same rate over the weekend as during the working week.  Data analysis confirms our intuition.  We have looked at the weekday/weekend volatility for natural gas and crude oil using the prompt month NYMEX contracts yearly from </w:t>
      </w:r>
      <w:r>
        <w:rPr>
          <w:color w:val="FF00FF"/>
        </w:rPr>
        <w:t>1995 until the first quarter of 2000</w:t>
      </w:r>
      <w:r>
        <w:rPr>
          <w:color w:val="auto"/>
        </w:rPr>
        <w:t>.  The results are summarized in Table 3.1.</w:t>
      </w:r>
    </w:p>
    <w:p>
      <w:pPr>
        <w:pStyle w:val="Normal"/>
        <w:rPr>
          <w:color w:val="auto"/>
        </w:rPr>
      </w:pPr>
      <w:r>
        <w:rPr>
          <w:color w:val="auto"/>
        </w:rPr>
      </w:r>
    </w:p>
    <w:p>
      <w:pPr>
        <w:pStyle w:val="Normal"/>
        <w:jc w:val="center"/>
        <w:rPr/>
      </w:pPr>
      <w:r>
        <w:rPr/>
        <w:t>Table 3.1: Weekday/Weekend Volatility Ratio (%)</w:t>
      </w:r>
    </w:p>
    <w:tbl>
      <w:tblPr>
        <w:tblW w:w="6390" w:type="dxa"/>
        <w:jc w:val="start"/>
        <w:tblInd w:w="1260" w:type="dxa"/>
        <w:tblLayout w:type="fixed"/>
        <w:tblCellMar>
          <w:top w:w="0" w:type="dxa"/>
          <w:start w:w="0" w:type="dxa"/>
          <w:bottom w:w="0" w:type="dxa"/>
          <w:end w:w="0" w:type="dxa"/>
        </w:tblCellMar>
      </w:tblPr>
      <w:tblGrid>
        <w:gridCol w:w="1350"/>
        <w:gridCol w:w="900"/>
        <w:gridCol w:w="1980"/>
        <w:gridCol w:w="540"/>
        <w:gridCol w:w="1620"/>
      </w:tblGrid>
      <w:tr>
        <w:trPr>
          <w:trHeight w:val="255" w:hRule="atLeast"/>
        </w:trPr>
        <w:tc>
          <w:tcPr>
            <w:tcW w:w="1350" w:type="dxa"/>
            <w:tcBorders/>
            <w:vAlign w:val="bottom"/>
          </w:tcPr>
          <w:p>
            <w:pPr>
              <w:pStyle w:val="Normal"/>
              <w:spacing w:lineRule="auto" w:line="240"/>
              <w:rPr>
                <w:rFonts w:eastAsia="Arial Unicode MS"/>
                <w:color w:val="auto"/>
              </w:rPr>
            </w:pPr>
            <w:r>
              <w:rPr>
                <w:color w:val="auto"/>
              </w:rPr>
              <w:t>Year</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2520" w:type="dxa"/>
            <w:gridSpan w:val="2"/>
            <w:tcBorders/>
            <w:vAlign w:val="bottom"/>
          </w:tcPr>
          <w:p>
            <w:pPr>
              <w:pStyle w:val="Normal"/>
              <w:spacing w:lineRule="auto" w:line="240"/>
              <w:rPr>
                <w:rFonts w:eastAsia="Arial Unicode MS"/>
                <w:color w:val="auto"/>
              </w:rPr>
            </w:pPr>
            <w:r>
              <w:rPr>
                <w:color w:val="auto"/>
              </w:rPr>
              <w:t>Natural Gas</w:t>
            </w:r>
          </w:p>
        </w:tc>
        <w:tc>
          <w:tcPr>
            <w:tcW w:w="1620" w:type="dxa"/>
            <w:tcBorders/>
            <w:vAlign w:val="bottom"/>
          </w:tcPr>
          <w:p>
            <w:pPr>
              <w:pStyle w:val="Normal"/>
              <w:spacing w:lineRule="auto" w:line="240"/>
              <w:rPr>
                <w:rFonts w:eastAsia="Arial Unicode MS"/>
                <w:color w:val="auto"/>
              </w:rPr>
            </w:pPr>
            <w:r>
              <w:rPr>
                <w:color w:val="auto"/>
              </w:rPr>
              <w:t>Crude</w:t>
            </w:r>
          </w:p>
        </w:tc>
      </w:tr>
      <w:tr>
        <w:trPr>
          <w:trHeight w:val="255" w:hRule="atLeast"/>
        </w:trPr>
        <w:tc>
          <w:tcPr>
            <w:tcW w:w="135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napToGrid w:val="false"/>
              <w:spacing w:lineRule="auto" w:line="240"/>
              <w:rPr>
                <w:rFonts w:eastAsia="Arial Unicode MS"/>
                <w:color w:val="auto"/>
              </w:rPr>
            </w:pPr>
            <w:r>
              <w:rPr>
                <w:rFonts w:eastAsia="Arial Unicode MS"/>
                <w:color w:val="auto"/>
              </w:rPr>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1995</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103.41</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119.81</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1996</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134.57</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138.05</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1997</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128.72</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113.98</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1998</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125.03</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144.51</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1999</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115.47</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88.17</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2000</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152.78</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93.51</w:t>
            </w:r>
          </w:p>
        </w:tc>
      </w:tr>
      <w:tr>
        <w:trPr>
          <w:trHeight w:val="255" w:hRule="atLeast"/>
        </w:trPr>
        <w:tc>
          <w:tcPr>
            <w:tcW w:w="135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napToGrid w:val="false"/>
              <w:spacing w:lineRule="auto" w:line="240"/>
              <w:rPr>
                <w:rFonts w:eastAsia="Arial Unicode MS"/>
                <w:color w:val="auto"/>
              </w:rPr>
            </w:pPr>
            <w:r>
              <w:rPr>
                <w:rFonts w:eastAsia="Arial Unicode MS"/>
                <w:color w:val="auto"/>
              </w:rPr>
            </w:r>
          </w:p>
        </w:tc>
      </w:tr>
      <w:tr>
        <w:trPr>
          <w:trHeight w:val="255" w:hRule="atLeast"/>
        </w:trPr>
        <w:tc>
          <w:tcPr>
            <w:tcW w:w="135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napToGrid w:val="false"/>
              <w:spacing w:lineRule="auto" w:line="240"/>
              <w:rPr>
                <w:rFonts w:eastAsia="Arial Unicode MS"/>
                <w:color w:val="auto"/>
              </w:rPr>
            </w:pPr>
            <w:r>
              <w:rPr>
                <w:rFonts w:eastAsia="Arial Unicode MS"/>
                <w:color w:val="auto"/>
              </w:rPr>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Average</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bottom w:val="single" w:sz="4" w:space="0" w:color="000000"/>
            </w:tcBorders>
            <w:vAlign w:val="bottom"/>
          </w:tcPr>
          <w:p>
            <w:pPr>
              <w:pStyle w:val="Normal"/>
              <w:spacing w:lineRule="auto" w:line="240"/>
              <w:rPr>
                <w:rFonts w:eastAsia="Arial Unicode MS"/>
                <w:color w:val="auto"/>
              </w:rPr>
            </w:pPr>
            <w:r>
              <w:rPr>
                <w:color w:val="auto"/>
              </w:rPr>
              <w:t>125.02%</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bottom w:val="single" w:sz="4" w:space="0" w:color="000000"/>
            </w:tcBorders>
            <w:vAlign w:val="bottom"/>
          </w:tcPr>
          <w:p>
            <w:pPr>
              <w:pStyle w:val="Normal"/>
              <w:spacing w:lineRule="auto" w:line="240"/>
              <w:rPr>
                <w:rFonts w:eastAsia="Arial Unicode MS"/>
                <w:color w:val="auto"/>
              </w:rPr>
            </w:pPr>
            <w:r>
              <w:rPr>
                <w:color w:val="auto"/>
              </w:rPr>
              <w:t>125.90%</w:t>
            </w:r>
          </w:p>
        </w:tc>
      </w:tr>
    </w:tbl>
    <w:p>
      <w:pPr>
        <w:pStyle w:val="Header"/>
        <w:tabs>
          <w:tab w:val="clear" w:pos="4320"/>
          <w:tab w:val="clear" w:pos="8640"/>
        </w:tabs>
        <w:rPr>
          <w:color w:val="auto"/>
        </w:rPr>
      </w:pPr>
      <w:r>
        <w:rPr>
          <w:color w:val="auto"/>
        </w:rPr>
      </w:r>
    </w:p>
    <w:p>
      <w:pPr>
        <w:pStyle w:val="Normal"/>
        <w:rPr>
          <w:color w:val="auto"/>
        </w:rPr>
      </w:pPr>
      <w:r>
        <w:rPr>
          <w:color w:val="auto"/>
        </w:rPr>
        <w:t>As we can see, the ratio of weekend to weekday volatility may be significantly higher than in the case of equities.  On average, the volatility ratio implies the annualisation factor of the square root of 273 [= 52 * (4 + 1.25)].</w:t>
      </w:r>
    </w:p>
    <w:p>
      <w:pPr>
        <w:pStyle w:val="Normal"/>
        <w:rPr>
          <w:color w:val="auto"/>
        </w:rPr>
      </w:pPr>
      <w:r>
        <w:rPr>
          <w:color w:val="auto"/>
        </w:rPr>
      </w:r>
    </w:p>
    <w:p>
      <w:pPr>
        <w:pStyle w:val="Normal"/>
        <w:rPr/>
      </w:pPr>
      <w:r>
        <w:rPr>
          <w:color w:val="auto"/>
        </w:rPr>
        <w:t xml:space="preserve">What can be done in view of these findings?  One natural solution is to agree on the annualisation factor that will be used across the board for all commodities.  This guarantees that any volatility quote will be unambiguous and can be restated by another trader based on his personal views of the market.  Our recommendation is to use </w:t>
      </w:r>
      <w:r>
        <w:rPr>
          <w:rFonts w:eastAsia="Symbol" w:cs="Symbol" w:ascii="Symbol" w:hAnsi="Symbol"/>
          <w:color w:val="auto"/>
        </w:rPr>
        <w:sym w:font="Symbol" w:char="f0d6"/>
      </w:r>
      <w:r>
        <w:rPr>
          <w:color w:val="auto"/>
        </w:rPr>
        <w:t>250.</w:t>
      </w:r>
    </w:p>
    <w:p>
      <w:pPr>
        <w:pStyle w:val="Normal"/>
        <w:rPr>
          <w:color w:val="auto"/>
        </w:rPr>
      </w:pPr>
      <w:r>
        <w:rPr>
          <w:color w:val="auto"/>
        </w:rPr>
      </w:r>
    </w:p>
    <w:p>
      <w:pPr>
        <w:pStyle w:val="Heading3"/>
        <w:ind w:hanging="0" w:start="0"/>
        <w:rPr>
          <w:color w:val="auto"/>
        </w:rPr>
      </w:pPr>
      <w:r>
        <w:rPr>
          <w:color w:val="auto"/>
        </w:rPr>
        <w:t>3.3.4</w:t>
        <w:tab/>
        <w:t>Intraday Price Variability</w:t>
      </w:r>
    </w:p>
    <w:p>
      <w:pPr>
        <w:pStyle w:val="Normal"/>
        <w:rPr>
          <w:color w:val="auto"/>
        </w:rPr>
      </w:pPr>
      <w:r>
        <w:rPr>
          <w:color w:val="auto"/>
        </w:rPr>
      </w:r>
    </w:p>
    <w:p>
      <w:pPr>
        <w:pStyle w:val="Normal"/>
        <w:rPr/>
      </w:pPr>
      <w:r>
        <w:rPr>
          <w:color w:val="auto"/>
        </w:rPr>
        <w:t xml:space="preserve">Volatility is typically estimated from the market closing prices.  In many cases, using closing price information for volatility estimation causes loss of very valuable </w:t>
      </w:r>
      <w:r>
        <w:rPr>
          <w:color w:val="FF00FF"/>
        </w:rPr>
        <w:t>insights,</w:t>
      </w:r>
      <w:r>
        <w:rPr>
          <w:color w:val="auto"/>
        </w:rPr>
        <w:t xml:space="preserve"> as additional information is available about the price changes between the market opening and closing prices.  Many markets, and energy markets in particular are characterized by very high volatility of intraday prices.</w:t>
      </w:r>
    </w:p>
    <w:p>
      <w:pPr>
        <w:pStyle w:val="Normal"/>
        <w:rPr>
          <w:color w:val="auto"/>
        </w:rPr>
      </w:pPr>
      <w:r>
        <w:rPr>
          <w:color w:val="auto"/>
        </w:rPr>
      </w:r>
    </w:p>
    <w:p>
      <w:pPr>
        <w:pStyle w:val="Heading3"/>
        <w:ind w:hanging="0" w:start="0"/>
        <w:rPr>
          <w:color w:val="auto"/>
        </w:rPr>
      </w:pPr>
      <w:r>
        <w:rPr>
          <w:color w:val="auto"/>
        </w:rPr>
        <w:t>3.3.5</w:t>
        <w:tab/>
        <w:t>Estimation of Volatility For a Basket</w:t>
      </w:r>
    </w:p>
    <w:p>
      <w:pPr>
        <w:pStyle w:val="Normal"/>
        <w:rPr>
          <w:b/>
          <w:color w:val="auto"/>
        </w:rPr>
      </w:pPr>
      <w:r>
        <w:rPr>
          <w:b/>
          <w:color w:val="auto"/>
        </w:rPr>
      </w:r>
    </w:p>
    <w:p>
      <w:pPr>
        <w:pStyle w:val="Normal"/>
        <w:rPr>
          <w:color w:val="auto"/>
        </w:rPr>
      </w:pPr>
      <w:r>
        <w:rPr>
          <w:color w:val="auto"/>
        </w:rPr>
        <w:t>In many energy markets, both producers and end-users hedge their price exposures with so-called basket options.  A basket option is defined in terms of a sum of two or more prices.  In some cases, the prices may be weighted using weights corresponding to the option buyer’s economic sensitivity to different component prices.   For example, an oil and natural gas producer may be interested in buying an option on a composite commodity that is constructed by weighting oil and gas prices (expressed in terms of a common BTU equivalent) by 0.7 and 0.3, respectively.  To be more precise, the call option payoff is defined as</w:t>
      </w:r>
    </w:p>
    <w:p>
      <w:pPr>
        <w:pStyle w:val="Normal"/>
        <w:rPr>
          <w:color w:val="auto"/>
        </w:rPr>
      </w:pPr>
      <w:r>
        <w:rPr>
          <w:color w:val="auto"/>
        </w:rPr>
      </w:r>
    </w:p>
    <w:p>
      <w:pPr>
        <w:pStyle w:val="Equation"/>
        <w:rPr/>
      </w:pPr>
      <w:r>
        <w:rPr/>
        <w:tab/>
      </w:r>
      <w:r>
        <w:rPr/>
      </w:r>
      <m:oMath xmlns:m="http://schemas.openxmlformats.org/officeDocument/2006/math">
        <m:r>
          <m:rPr>
            <m:lit/>
            <m:nor/>
          </m:rPr>
          <m:t xml:space="preserve">max</m:t>
        </m:r>
        <m:r>
          <m:t xml:space="preserve">(</m:t>
        </m:r>
        <m:r>
          <m:t xml:space="preserve">0</m:t>
        </m:r>
        <m:r>
          <m:t xml:space="preserve">,</m:t>
        </m:r>
        <m:sSub>
          <m:e>
            <m:r>
              <m:t xml:space="preserve">w</m:t>
            </m:r>
          </m:e>
          <m:sub>
            <m:r>
              <m:t xml:space="preserve">1</m:t>
            </m:r>
          </m:sub>
        </m:sSub>
        <m:sSub>
          <m:e>
            <m:r>
              <m:t xml:space="preserve">S</m:t>
            </m:r>
          </m:e>
          <m:sub>
            <m:r>
              <m:t xml:space="preserve">1</m:t>
            </m:r>
          </m:sub>
        </m:sSub>
        <m:r>
          <m:t xml:space="preserve">+</m:t>
        </m:r>
        <m:sSub>
          <m:e>
            <m:r>
              <m:t xml:space="preserve">w</m:t>
            </m:r>
          </m:e>
          <m:sub>
            <m:r>
              <m:t xml:space="preserve">2</m:t>
            </m:r>
          </m:sub>
        </m:sSub>
        <m:sSub>
          <m:e>
            <m:r>
              <m:t xml:space="preserve">S</m:t>
            </m:r>
          </m:e>
          <m:sub>
            <m:r>
              <m:t xml:space="preserve">2</m:t>
            </m:r>
          </m:sub>
        </m:sSub>
        <m:r>
          <m:t xml:space="preserve">−</m:t>
        </m:r>
        <m:r>
          <m:t xml:space="preserve">K</m:t>
        </m:r>
        <m:r>
          <m:t xml:space="preserve">)</m:t>
        </m:r>
      </m:oMath>
      <w:r>
        <w:rPr/>
        <w:tab/>
        <w:t>(3.9)</w:t>
      </w:r>
    </w:p>
    <w:p>
      <w:pPr>
        <w:pStyle w:val="Normal"/>
        <w:rPr>
          <w:color w:val="auto"/>
        </w:rPr>
      </w:pPr>
      <w:r>
        <w:rPr>
          <w:color w:val="auto"/>
        </w:rPr>
      </w:r>
    </w:p>
    <w:p>
      <w:pPr>
        <w:pStyle w:val="Normal"/>
        <w:rPr>
          <w:color w:val="auto"/>
        </w:rPr>
      </w:pPr>
      <w:r>
        <w:rPr>
          <w:color w:val="auto"/>
        </w:rPr>
        <w:t>and the put option payoff is defined as</w:t>
      </w:r>
    </w:p>
    <w:p>
      <w:pPr>
        <w:pStyle w:val="Normal"/>
        <w:rPr>
          <w:color w:val="auto"/>
        </w:rPr>
      </w:pPr>
      <w:r>
        <w:rPr>
          <w:color w:val="auto"/>
        </w:rPr>
      </w:r>
    </w:p>
    <w:p>
      <w:pPr>
        <w:pStyle w:val="Equation"/>
        <w:rPr/>
      </w:pPr>
      <w:r>
        <w:rPr/>
        <w:tab/>
      </w:r>
      <w:r>
        <w:rPr/>
      </w:r>
      <m:oMath xmlns:m="http://schemas.openxmlformats.org/officeDocument/2006/math">
        <m:r>
          <m:rPr>
            <m:lit/>
            <m:nor/>
          </m:rPr>
          <m:t xml:space="preserve">max</m:t>
        </m:r>
        <m:r>
          <m:t xml:space="preserve">(</m:t>
        </m:r>
        <m:r>
          <m:t xml:space="preserve">0</m:t>
        </m:r>
        <m:r>
          <m:t xml:space="preserve">,</m:t>
        </m:r>
        <m:r>
          <m:t xml:space="preserve">K</m:t>
        </m:r>
        <m:r>
          <m:t xml:space="preserve">−</m:t>
        </m:r>
        <m:r>
          <m:t xml:space="preserve">(</m:t>
        </m:r>
        <m:sSub>
          <m:e>
            <m:r>
              <m:t xml:space="preserve">w</m:t>
            </m:r>
          </m:e>
          <m:sub>
            <m:r>
              <m:t xml:space="preserve">1</m:t>
            </m:r>
          </m:sub>
        </m:sSub>
        <m:sSub>
          <m:e>
            <m:r>
              <m:t xml:space="preserve">S</m:t>
            </m:r>
          </m:e>
          <m:sub>
            <m:r>
              <m:t xml:space="preserve">1</m:t>
            </m:r>
          </m:sub>
        </m:sSub>
        <m:r>
          <m:t xml:space="preserve">+</m:t>
        </m:r>
        <m:sSub>
          <m:e>
            <m:r>
              <m:t xml:space="preserve">w</m:t>
            </m:r>
          </m:e>
          <m:sub>
            <m:r>
              <m:t xml:space="preserve">2</m:t>
            </m:r>
          </m:sub>
        </m:sSub>
        <m:sSub>
          <m:e>
            <m:r>
              <m:t xml:space="preserve">S</m:t>
            </m:r>
          </m:e>
          <m:sub>
            <m:r>
              <m:t xml:space="preserve">2</m:t>
            </m:r>
          </m:sub>
        </m:sSub>
        <m:r>
          <m:t xml:space="preserve">)</m:t>
        </m:r>
        <m:r>
          <m:t xml:space="preserve">)</m:t>
        </m:r>
      </m:oMath>
      <w:r>
        <w:rPr/>
        <w:tab/>
        <w:t>(3.10)</w:t>
      </w:r>
    </w:p>
    <w:p>
      <w:pPr>
        <w:pStyle w:val="Normal"/>
        <w:rPr>
          <w:color w:val="auto"/>
        </w:rPr>
      </w:pPr>
      <w:r>
        <w:rPr>
          <w:color w:val="auto"/>
        </w:rPr>
      </w:r>
    </w:p>
    <w:p>
      <w:pPr>
        <w:pStyle w:val="Normal"/>
        <w:rPr/>
      </w:pPr>
      <w:r>
        <w:rPr>
          <w:color w:val="auto"/>
        </w:rPr>
        <w:t xml:space="preserve">where </w:t>
      </w:r>
      <w:r>
        <w:rPr>
          <w:color w:val="auto"/>
        </w:rPr>
      </w:r>
      <m:oMath xmlns:m="http://schemas.openxmlformats.org/officeDocument/2006/math">
        <m:sSub>
          <m:e>
            <m:r>
              <m:t xml:space="preserve">S</m:t>
            </m:r>
          </m:e>
          <m:sub>
            <m:r>
              <m:t xml:space="preserve">1</m:t>
            </m:r>
          </m:sub>
        </m:sSub>
      </m:oMath>
      <w:r>
        <w:rPr>
          <w:color w:val="auto"/>
        </w:rPr>
        <w:t xml:space="preserve"> and </w:t>
      </w:r>
      <w:r>
        <w:rPr>
          <w:color w:val="auto"/>
        </w:rPr>
      </w:r>
      <m:oMath xmlns:m="http://schemas.openxmlformats.org/officeDocument/2006/math">
        <m:sSub>
          <m:e>
            <m:r>
              <m:t xml:space="preserve">S</m:t>
            </m:r>
          </m:e>
          <m:sub>
            <m:r>
              <m:t xml:space="preserve">2</m:t>
            </m:r>
          </m:sub>
        </m:sSub>
      </m:oMath>
      <w:r>
        <w:rPr>
          <w:color w:val="auto"/>
        </w:rPr>
        <w:t xml:space="preserve"> stand for the prices of the oil and gas and the </w:t>
      </w:r>
      <w:r>
        <w:rPr>
          <w:i/>
          <w:color w:val="auto"/>
        </w:rPr>
        <w:t>w</w:t>
      </w:r>
      <w:r>
        <w:rPr>
          <w:color w:val="auto"/>
        </w:rPr>
        <w:t>’s stand for the weights. These options can be seen as options written on a composite energy with the volatility derived from the volatilities of the contributing commodities.  The question is how to derive this composite volatility in a formal way.  The answer is produced through the application of Ito’s lemma.</w:t>
      </w:r>
    </w:p>
    <w:p>
      <w:pPr>
        <w:pStyle w:val="Normal"/>
        <w:rPr>
          <w:color w:val="auto"/>
        </w:rPr>
      </w:pPr>
      <w:r>
        <w:rPr>
          <w:color w:val="auto"/>
        </w:rPr>
      </w:r>
    </w:p>
    <w:p>
      <w:pPr>
        <w:pStyle w:val="Normal"/>
        <w:rPr>
          <w:color w:val="auto"/>
        </w:rPr>
      </w:pPr>
      <w:r>
        <w:rPr>
          <w:color w:val="auto"/>
        </w:rPr>
        <w:t>Assume that the prices of the two commodities follow GBM processes given by</w:t>
      </w:r>
    </w:p>
    <w:p>
      <w:pPr>
        <w:pStyle w:val="Normal"/>
        <w:rPr>
          <w:color w:val="auto"/>
        </w:rPr>
      </w:pPr>
      <w:r>
        <w:rPr>
          <w:color w:val="auto"/>
        </w:rPr>
      </w:r>
    </w:p>
    <w:p>
      <w:pPr>
        <w:pStyle w:val="Normal"/>
        <w:ind w:firstLine="720" w:end="0"/>
        <w:rPr>
          <w:color w:val="auto"/>
        </w:rPr>
      </w:pPr>
      <w:r>
        <w:rPr>
          <w:color w:val="auto"/>
        </w:rPr>
      </w:r>
      <m:oMathPara xmlns:m="http://schemas.openxmlformats.org/officeDocument/2006/math">
        <m:oMathParaPr>
          <m:jc m:val="left"/>
        </m:oMathParaPr>
        <m:oMath>
          <m:sSub>
            <m:e>
              <m:r>
                <m:rPr>
                  <m:lit/>
                  <m:nor/>
                </m:rPr>
                <m:t xml:space="preserve">dS</m:t>
              </m:r>
            </m:e>
            <m:sub>
              <m:r>
                <m:t xml:space="preserve">1</m:t>
              </m:r>
            </m:sub>
          </m:sSub>
          <m:r>
            <m:t xml:space="preserve">=</m:t>
          </m:r>
          <m:sSub>
            <m:e>
              <m:r>
                <m:t xml:space="preserve">α</m:t>
              </m:r>
            </m:e>
            <m:sub>
              <m:r>
                <m:t xml:space="preserve">1</m:t>
              </m:r>
            </m:sub>
          </m:sSub>
          <m:sSub>
            <m:e>
              <m:r>
                <m:t xml:space="preserve">S</m:t>
              </m:r>
            </m:e>
            <m:sub>
              <m:r>
                <m:t xml:space="preserve">1</m:t>
              </m:r>
            </m:sub>
          </m:sSub>
          <m:r>
            <m:rPr>
              <m:lit/>
              <m:nor/>
            </m:rPr>
            <m:t xml:space="preserve">dt</m:t>
          </m:r>
          <m:r>
            <m:t xml:space="preserve">+</m:t>
          </m:r>
          <m:sSub>
            <m:e>
              <m:r>
                <m:t xml:space="preserve">σ</m:t>
              </m:r>
            </m:e>
            <m:sub>
              <m:r>
                <m:t xml:space="preserve">1</m:t>
              </m:r>
            </m:sub>
          </m:sSub>
          <m:sSub>
            <m:e>
              <m:r>
                <m:t xml:space="preserve">S</m:t>
              </m:r>
            </m:e>
            <m:sub>
              <m:r>
                <m:t xml:space="preserve">1</m:t>
              </m:r>
            </m:sub>
          </m:sSub>
          <m:r>
            <m:rPr>
              <m:lit/>
              <m:nor/>
            </m:rPr>
            <m:t xml:space="preserve">dz</m:t>
          </m:r>
        </m:oMath>
      </m:oMathPara>
    </w:p>
    <w:p>
      <w:pPr>
        <w:pStyle w:val="Normal"/>
        <w:rPr>
          <w:color w:val="auto"/>
        </w:rPr>
      </w:pPr>
      <w:r>
        <w:rPr>
          <w:color w:val="auto"/>
        </w:rPr>
        <w:t xml:space="preserve">and </w:t>
      </w:r>
    </w:p>
    <w:p>
      <w:pPr>
        <w:pStyle w:val="Normal"/>
        <w:ind w:firstLine="720" w:end="0"/>
        <w:rPr>
          <w:color w:val="auto"/>
        </w:rPr>
      </w:pPr>
      <w:r>
        <w:rPr>
          <w:color w:val="auto"/>
        </w:rPr>
      </w:r>
      <m:oMathPara xmlns:m="http://schemas.openxmlformats.org/officeDocument/2006/math">
        <m:oMathParaPr>
          <m:jc m:val="left"/>
        </m:oMathParaPr>
        <m:oMath>
          <m:sSub>
            <m:e>
              <m:r>
                <m:rPr>
                  <m:lit/>
                  <m:nor/>
                </m:rPr>
                <m:t xml:space="preserve">dS</m:t>
              </m:r>
            </m:e>
            <m:sub>
              <m:r>
                <m:t xml:space="preserve">2</m:t>
              </m:r>
            </m:sub>
          </m:sSub>
          <m:r>
            <m:t xml:space="preserve">=</m:t>
          </m:r>
          <m:sSub>
            <m:e>
              <m:r>
                <m:t xml:space="preserve">α</m:t>
              </m:r>
            </m:e>
            <m:sub>
              <m:r>
                <m:t xml:space="preserve">2</m:t>
              </m:r>
            </m:sub>
          </m:sSub>
          <m:sSub>
            <m:e>
              <m:r>
                <m:t xml:space="preserve">S</m:t>
              </m:r>
            </m:e>
            <m:sub>
              <m:r>
                <m:t xml:space="preserve">2</m:t>
              </m:r>
            </m:sub>
          </m:sSub>
          <m:r>
            <m:rPr>
              <m:lit/>
              <m:nor/>
            </m:rPr>
            <m:t xml:space="preserve">dt</m:t>
          </m:r>
          <m:r>
            <m:t xml:space="preserve">+</m:t>
          </m:r>
          <m:sSub>
            <m:e>
              <m:r>
                <m:t xml:space="preserve">σ</m:t>
              </m:r>
            </m:e>
            <m:sub>
              <m:r>
                <m:t xml:space="preserve">2</m:t>
              </m:r>
            </m:sub>
          </m:sSub>
          <m:sSub>
            <m:e>
              <m:r>
                <m:t xml:space="preserve">S</m:t>
              </m:r>
            </m:e>
            <m:sub>
              <m:r>
                <m:t xml:space="preserve">2</m:t>
              </m:r>
            </m:sub>
          </m:sSub>
          <m:r>
            <m:rPr>
              <m:lit/>
              <m:nor/>
            </m:rPr>
            <m:t xml:space="preserve">dw</m:t>
          </m:r>
        </m:oMath>
      </m:oMathPara>
    </w:p>
    <w:p>
      <w:pPr>
        <w:pStyle w:val="Normal"/>
        <w:rPr>
          <w:color w:val="auto"/>
        </w:rPr>
      </w:pPr>
      <w:r>
        <w:rPr>
          <w:color w:val="auto"/>
        </w:rPr>
      </w:r>
    </w:p>
    <w:p>
      <w:pPr>
        <w:pStyle w:val="Normal"/>
        <w:rPr/>
      </w:pPr>
      <w:r>
        <w:rPr>
          <w:color w:val="auto"/>
        </w:rPr>
        <w:t xml:space="preserve">where </w:t>
      </w:r>
      <w:r>
        <w:rPr>
          <w:i/>
          <w:color w:val="auto"/>
        </w:rPr>
        <w:t>dz</w:t>
      </w:r>
      <w:r>
        <w:rPr>
          <w:color w:val="auto"/>
        </w:rPr>
        <w:t xml:space="preserve"> and </w:t>
      </w:r>
      <w:r>
        <w:rPr>
          <w:i/>
          <w:color w:val="auto"/>
        </w:rPr>
        <w:t>dw</w:t>
      </w:r>
      <w:r>
        <w:rPr>
          <w:color w:val="auto"/>
        </w:rPr>
        <w:t xml:space="preserve"> stand for correlated (with a coefficient </w:t>
      </w:r>
      <w:r>
        <w:rPr>
          <w:rFonts w:eastAsia="Symbol" w:cs="Symbol" w:ascii="Symbol" w:hAnsi="Symbol"/>
          <w:color w:val="auto"/>
        </w:rPr>
        <w:sym w:font="Symbol" w:char="f072"/>
      </w:r>
      <w:r>
        <w:rPr>
          <w:color w:val="auto"/>
        </w:rPr>
        <w:t xml:space="preserve">) Brownian motions.  </w:t>
      </w:r>
      <w:r>
        <w:rPr>
          <w:color w:val="FF00FF"/>
        </w:rPr>
        <w:t>We can now use Ito’s lemma. According to this theorem, if   dx = a(x,t)dt+b(x,t)dz   and G = G(x,t), then</w:t>
      </w:r>
    </w:p>
    <w:p>
      <w:pPr>
        <w:pStyle w:val="Normal"/>
        <w:ind w:firstLine="720" w:start="720" w:end="0"/>
        <w:rPr/>
      </w:pPr>
      <w:r>
        <w:rPr>
          <w:color w:val="FF00FF"/>
          <w:sz w:val="20"/>
        </w:rPr>
      </w:r>
      <m:oMath xmlns:m="http://schemas.openxmlformats.org/officeDocument/2006/math">
        <m:r>
          <m:rPr>
            <m:lit/>
            <m:nor/>
          </m:rPr>
          <m:t xml:space="preserve">dG</m:t>
        </m:r>
        <m:r>
          <m:t xml:space="preserve">=</m:t>
        </m:r>
        <m:r>
          <m:t xml:space="preserve">(</m:t>
        </m:r>
        <m:f>
          <m:num>
            <m:r>
              <m:t xml:space="preserve">¶</m:t>
            </m:r>
            <m:r>
              <m:t xml:space="preserve">G</m:t>
            </m:r>
          </m:num>
          <m:den>
            <m:r>
              <m:t xml:space="preserve">¶</m:t>
            </m:r>
            <m:r>
              <m:t xml:space="preserve">x</m:t>
            </m:r>
          </m:den>
        </m:f>
        <m:r>
          <m:t xml:space="preserve">a</m:t>
        </m:r>
        <m:r>
          <m:t xml:space="preserve">+</m:t>
        </m:r>
        <m:f>
          <m:num>
            <m:r>
              <m:t xml:space="preserve">¶</m:t>
            </m:r>
            <m:r>
              <m:t xml:space="preserve">G</m:t>
            </m:r>
          </m:num>
          <m:den>
            <m:r>
              <m:t xml:space="preserve">¶</m:t>
            </m:r>
            <m:r>
              <m:t xml:space="preserve">t</m:t>
            </m:r>
          </m:den>
        </m:f>
        <m:r>
          <m:t xml:space="preserve">+</m:t>
        </m:r>
        <m:f>
          <m:num>
            <m:r>
              <m:t xml:space="preserve">1</m:t>
            </m:r>
          </m:num>
          <m:den>
            <m:r>
              <m:t xml:space="preserve">2</m:t>
            </m:r>
          </m:den>
        </m:f>
        <m:f>
          <m:num>
            <m:sSup>
              <m:e>
                <m:r>
                  <m:t xml:space="preserve">¶</m:t>
                </m:r>
              </m:e>
              <m:sup>
                <m:r>
                  <m:t xml:space="preserve">2</m:t>
                </m:r>
              </m:sup>
            </m:sSup>
            <m:r>
              <m:t xml:space="preserve">G</m:t>
            </m:r>
          </m:num>
          <m:den>
            <m:r>
              <m:t xml:space="preserve">¶</m:t>
            </m:r>
            <m:sSup>
              <m:e>
                <m:r>
                  <m:t xml:space="preserve">x</m:t>
                </m:r>
              </m:e>
              <m:sup>
                <m:r>
                  <m:t xml:space="preserve">2</m:t>
                </m:r>
              </m:sup>
            </m:sSup>
          </m:den>
        </m:f>
        <m:sSup>
          <m:e>
            <m:r>
              <m:t xml:space="preserve">b</m:t>
            </m:r>
          </m:e>
          <m:sup>
            <m:r>
              <m:t xml:space="preserve">2</m:t>
            </m:r>
          </m:sup>
        </m:sSup>
        <m:r>
          <m:t xml:space="preserve">)</m:t>
        </m:r>
        <m:r>
          <m:rPr>
            <m:lit/>
            <m:nor/>
          </m:rPr>
          <m:t xml:space="preserve">dt</m:t>
        </m:r>
        <m:r>
          <m:t xml:space="preserve">+</m:t>
        </m:r>
        <m:f>
          <m:num>
            <m:r>
              <m:t xml:space="preserve">¶</m:t>
            </m:r>
            <m:r>
              <m:t xml:space="preserve">G</m:t>
            </m:r>
          </m:num>
          <m:den>
            <m:r>
              <m:t xml:space="preserve">¶</m:t>
            </m:r>
            <m:r>
              <m:t xml:space="preserve">x</m:t>
            </m:r>
          </m:den>
        </m:f>
        <m:r>
          <m:rPr>
            <m:lit/>
            <m:nor/>
          </m:rPr>
          <m:t xml:space="preserve">bdz</m:t>
        </m:r>
      </m:oMath>
      <w:r>
        <w:rPr>
          <w:color w:val="FF00FF"/>
        </w:rPr>
        <w:t xml:space="preserve"> </w:t>
      </w:r>
      <w:r>
        <w:rPr>
          <w:color w:val="FF00FF"/>
        </w:rPr>
        <w:tab/>
        <w:tab/>
        <w:tab/>
        <w:tab/>
        <w:t>(3.11)</w:t>
      </w:r>
    </w:p>
    <w:p>
      <w:pPr>
        <w:pStyle w:val="Normal"/>
        <w:rPr/>
      </w:pPr>
      <w:r>
        <w:rPr>
          <w:color w:val="FF00FF"/>
        </w:rPr>
        <w:t xml:space="preserve">If we assume that the dynamics of  price S  is given  by dS  =  </w:t>
      </w:r>
      <w:r>
        <w:rPr>
          <w:rFonts w:eastAsia="Symbol" w:cs="Symbol" w:ascii="Symbol" w:hAnsi="Symbol"/>
          <w:color w:val="FF00FF"/>
        </w:rPr>
        <w:sym w:font="Symbol" w:char="f06d"/>
      </w:r>
      <w:r>
        <w:rPr>
          <w:color w:val="FF00FF"/>
        </w:rPr>
        <w:t xml:space="preserve">Sdt  +  </w:t>
      </w:r>
      <w:r>
        <w:rPr>
          <w:rFonts w:eastAsia="Symbol" w:cs="Symbol" w:ascii="Symbol" w:hAnsi="Symbol"/>
          <w:color w:val="FF00FF"/>
        </w:rPr>
        <w:sym w:font="Symbol" w:char="f073"/>
      </w:r>
      <w:r>
        <w:rPr>
          <w:color w:val="FF00FF"/>
        </w:rPr>
        <w:t xml:space="preserve">Sdz, then we have:   a =  </w:t>
      </w:r>
      <w:r>
        <w:rPr>
          <w:rFonts w:eastAsia="Symbol" w:cs="Symbol" w:ascii="Symbol" w:hAnsi="Symbol"/>
          <w:color w:val="FF00FF"/>
        </w:rPr>
        <w:sym w:font="Symbol" w:char="f06d"/>
      </w:r>
      <w:r>
        <w:rPr>
          <w:color w:val="FF00FF"/>
        </w:rPr>
        <w:t xml:space="preserve">S;      b =  </w:t>
      </w:r>
      <w:r>
        <w:rPr>
          <w:rFonts w:eastAsia="Symbol" w:cs="Symbol" w:ascii="Symbol" w:hAnsi="Symbol"/>
          <w:color w:val="FF00FF"/>
        </w:rPr>
        <w:sym w:font="Symbol" w:char="f073"/>
      </w:r>
      <w:r>
        <w:rPr>
          <w:color w:val="FF00FF"/>
        </w:rPr>
        <w:t xml:space="preserve">S. If  we assume further that </w:t>
      </w:r>
      <w:r>
        <w:rPr>
          <w:color w:val="FF00FF"/>
          <w:sz w:val="20"/>
        </w:rPr>
      </w:r>
      <m:oMath xmlns:m="http://schemas.openxmlformats.org/officeDocument/2006/math">
        <m:r>
          <m:t xml:space="preserve">G</m:t>
        </m:r>
        <m:r>
          <m:t xml:space="preserve">=</m:t>
        </m:r>
        <m:sSup>
          <m:e>
            <m:r>
              <m:t xml:space="preserve">S</m:t>
            </m:r>
          </m:e>
          <m:sup>
            <m:r>
              <m:t xml:space="preserve">2</m:t>
            </m:r>
          </m:sup>
        </m:sSup>
      </m:oMath>
      <w:r>
        <w:rPr>
          <w:color w:val="FF00FF"/>
        </w:rPr>
        <w:t xml:space="preserve">, then we have  </w:t>
      </w:r>
      <w:r>
        <w:rPr>
          <w:color w:val="FF00FF"/>
          <w:sz w:val="20"/>
        </w:rPr>
      </w:r>
      <m:oMath xmlns:m="http://schemas.openxmlformats.org/officeDocument/2006/math">
        <m:f>
          <m:num>
            <m:r>
              <m:t xml:space="preserve">∂</m:t>
            </m:r>
            <m:r>
              <m:t xml:space="preserve">G</m:t>
            </m:r>
          </m:num>
          <m:den>
            <m:r>
              <m:t xml:space="preserve">∂</m:t>
            </m:r>
            <m:r>
              <m:t xml:space="preserve">S</m:t>
            </m:r>
          </m:den>
        </m:f>
        <m:r>
          <m:t xml:space="preserve">=</m:t>
        </m:r>
        <m:r>
          <m:t xml:space="preserve">2</m:t>
        </m:r>
        <m:r>
          <m:t xml:space="preserve">S</m:t>
        </m:r>
        <m:r>
          <m:t xml:space="preserve">;</m:t>
        </m:r>
      </m:oMath>
      <w:r>
        <w:rPr>
          <w:color w:val="FF00FF"/>
          <w:sz w:val="20"/>
        </w:rPr>
      </w:r>
      <m:oMath xmlns:m="http://schemas.openxmlformats.org/officeDocument/2006/math">
        <m:f>
          <m:num>
            <m:sSup>
              <m:e>
                <m:r>
                  <m:t xml:space="preserve">¶</m:t>
                </m:r>
              </m:e>
              <m:sup>
                <m:r>
                  <m:t xml:space="preserve">2</m:t>
                </m:r>
              </m:sup>
            </m:sSup>
            <m:r>
              <m:t xml:space="preserve">G</m:t>
            </m:r>
          </m:num>
          <m:den>
            <m:r>
              <m:t xml:space="preserve">¶</m:t>
            </m:r>
            <m:sSup>
              <m:e>
                <m:r>
                  <m:t xml:space="preserve">S</m:t>
                </m:r>
              </m:e>
              <m:sup>
                <m:r>
                  <m:t xml:space="preserve">2</m:t>
                </m:r>
              </m:sup>
            </m:sSup>
          </m:den>
        </m:f>
        <m:r>
          <m:t xml:space="preserve">=</m:t>
        </m:r>
        <m:r>
          <m:t xml:space="preserve">2</m:t>
        </m:r>
      </m:oMath>
      <w:r>
        <w:rPr>
          <w:color w:val="FF00FF"/>
        </w:rPr>
        <w:t>; and</w:t>
      </w:r>
    </w:p>
    <w:p>
      <w:pPr>
        <w:pStyle w:val="Normal"/>
        <w:ind w:firstLine="720" w:start="720" w:end="0"/>
        <w:rPr/>
      </w:pPr>
      <w:r>
        <w:rPr>
          <w:color w:val="FF00FF"/>
        </w:rPr>
        <w:t xml:space="preserve"> </w:t>
      </w:r>
      <w:r>
        <w:rPr>
          <w:color w:val="FF00FF"/>
          <w:sz w:val="20"/>
        </w:rPr>
      </w:r>
      <m:oMath xmlns:m="http://schemas.openxmlformats.org/officeDocument/2006/math">
        <m:r>
          <m:t xml:space="preserve">d</m:t>
        </m:r>
        <m:r>
          <m:t xml:space="preserve">(</m:t>
        </m:r>
        <m:sSup>
          <m:e>
            <m:r>
              <m:t xml:space="preserve">S</m:t>
            </m:r>
          </m:e>
          <m:sup>
            <m:r>
              <m:t xml:space="preserve">2</m:t>
            </m:r>
          </m:sup>
        </m:sSup>
        <m:r>
          <m:t xml:space="preserve">)</m:t>
        </m:r>
        <m:r>
          <m:t xml:space="preserve">=</m:t>
        </m:r>
        <m:r>
          <m:t xml:space="preserve">(</m:t>
        </m:r>
        <m:r>
          <m:t xml:space="preserve">2</m:t>
        </m:r>
        <m:sSup>
          <m:e>
            <m:r>
              <m:t xml:space="preserve">mS</m:t>
            </m:r>
          </m:e>
          <m:sup>
            <m:r>
              <m:t xml:space="preserve">2</m:t>
            </m:r>
          </m:sup>
        </m:sSup>
        <m:r>
          <m:t xml:space="preserve">+</m:t>
        </m:r>
        <m:r>
          <m:rPr>
            <m:lit/>
            <m:nor/>
          </m:rPr>
          <m:t xml:space="preserve">  </m:t>
        </m:r>
        <m:r>
          <m:t xml:space="preserve">0</m:t>
        </m:r>
        <m:r>
          <m:rPr>
            <m:lit/>
            <m:nor/>
          </m:rPr>
          <m:t xml:space="preserve">  </m:t>
        </m:r>
        <m:r>
          <m:t xml:space="preserve">+</m:t>
        </m:r>
        <m:r>
          <m:rPr>
            <m:lit/>
            <m:nor/>
          </m:rPr>
          <m:t xml:space="preserve">  </m:t>
        </m:r>
        <m:sSup>
          <m:e>
            <m:r>
              <m:t xml:space="preserve">s</m:t>
            </m:r>
          </m:e>
          <m:sup>
            <m:r>
              <m:t xml:space="preserve">2</m:t>
            </m:r>
          </m:sup>
        </m:sSup>
        <m:sSup>
          <m:e>
            <m:r>
              <m:t xml:space="preserve">S</m:t>
            </m:r>
          </m:e>
          <m:sup>
            <m:r>
              <m:t xml:space="preserve">2</m:t>
            </m:r>
          </m:sup>
        </m:sSup>
        <m:r>
          <m:t xml:space="preserve">)</m:t>
        </m:r>
        <m:r>
          <m:rPr>
            <m:lit/>
            <m:nor/>
          </m:rPr>
          <m:t xml:space="preserve">dt</m:t>
        </m:r>
        <m:r>
          <m:t xml:space="preserve">+</m:t>
        </m:r>
        <m:r>
          <m:rPr>
            <m:lit/>
            <m:nor/>
          </m:rPr>
          <m:t xml:space="preserve">   </m:t>
        </m:r>
        <m:r>
          <m:rPr>
            <m:lit/>
            <m:nor/>
          </m:rPr>
          <m:t xml:space="preserve">.</m:t>
        </m:r>
        <m:r>
          <m:rPr>
            <m:lit/>
            <m:nor/>
          </m:rPr>
          <m:t xml:space="preserve">.</m:t>
        </m:r>
        <m:r>
          <m:rPr>
            <m:lit/>
            <m:nor/>
          </m:rPr>
          <m:t xml:space="preserve">.</m:t>
        </m:r>
      </m:oMath>
      <w:r>
        <w:rPr>
          <w:color w:val="FF00FF"/>
        </w:rPr>
        <w:tab/>
        <w:tab/>
        <w:tab/>
        <w:tab/>
        <w:t>(3.11a)</w:t>
        <w:tab/>
      </w:r>
    </w:p>
    <w:p>
      <w:pPr>
        <w:pStyle w:val="Normal"/>
        <w:rPr/>
      </w:pPr>
      <w:r>
        <w:rPr>
          <w:color w:val="FF00FF"/>
        </w:rPr>
        <w:tab/>
        <w:tab/>
      </w:r>
      <w:r>
        <w:rPr>
          <w:color w:val="FF00FF"/>
          <w:sz w:val="20"/>
        </w:rPr>
      </w:r>
      <m:oMath xmlns:m="http://schemas.openxmlformats.org/officeDocument/2006/math">
        <m:r>
          <m:t xml:space="preserve">E</m:t>
        </m:r>
        <m:r>
          <m:t xml:space="preserve">(</m:t>
        </m:r>
        <m:sSup>
          <m:e>
            <m:r>
              <m:t xml:space="preserve">S</m:t>
            </m:r>
          </m:e>
          <m:sup>
            <m:r>
              <m:t xml:space="preserve">2</m:t>
            </m:r>
          </m:sup>
        </m:sSup>
        <m:r>
          <m:t xml:space="preserve">)</m:t>
        </m:r>
        <m:r>
          <m:t xml:space="preserve">=</m:t>
        </m:r>
        <m:sSubSup>
          <m:e>
            <m:r>
              <m:t xml:space="preserve">S</m:t>
            </m:r>
          </m:e>
          <m:sub>
            <m:r>
              <m:t xml:space="preserve">0</m:t>
            </m:r>
          </m:sub>
          <m:sup>
            <m:r>
              <m:t xml:space="preserve">2</m:t>
            </m:r>
          </m:sup>
        </m:sSubSup>
        <m:r>
          <m:rPr>
            <m:lit/>
            <m:nor/>
          </m:rPr>
          <m:t xml:space="preserve">exp</m:t>
        </m:r>
        <m:d>
          <m:dPr>
            <m:begChr m:val="{"/>
            <m:endChr m:val="}"/>
          </m:dPr>
          <m:e>
            <m:r>
              <m:t xml:space="preserve">(</m:t>
            </m:r>
            <m:r>
              <m:t xml:space="preserve">2</m:t>
            </m:r>
            <m:r>
              <m:t xml:space="preserve">μ</m:t>
            </m:r>
            <m:r>
              <m:t xml:space="preserve">+</m:t>
            </m:r>
            <m:sSup>
              <m:e>
                <m:r>
                  <m:t xml:space="preserve">σ</m:t>
                </m:r>
              </m:e>
              <m:sup>
                <m:r>
                  <m:t xml:space="preserve">2</m:t>
                </m:r>
              </m:sup>
            </m:sSup>
            <m:r>
              <m:t xml:space="preserve">)</m:t>
            </m:r>
            <m:r>
              <m:t xml:space="preserve">t</m:t>
            </m:r>
          </m:e>
        </m:d>
      </m:oMath>
      <w:r>
        <w:rPr>
          <w:color w:val="FF00FF"/>
        </w:rPr>
        <w:tab/>
        <w:tab/>
        <w:tab/>
        <w:tab/>
        <w:tab/>
        <w:tab/>
        <w:t>(3.11b)</w:t>
      </w:r>
    </w:p>
    <w:p>
      <w:pPr>
        <w:pStyle w:val="Normal"/>
        <w:rPr/>
      </w:pPr>
      <w:r>
        <w:rPr>
          <w:color w:val="FF00FF"/>
        </w:rPr>
        <w:t xml:space="preserve">If  S is a forward price  we have </w:t>
      </w:r>
      <w:r>
        <w:rPr>
          <w:rFonts w:eastAsia="Symbol" w:cs="Symbol" w:ascii="Symbol" w:hAnsi="Symbol"/>
          <w:color w:val="FF00FF"/>
        </w:rPr>
        <w:sym w:font="Symbol" w:char="f06d"/>
      </w:r>
      <w:r>
        <w:rPr>
          <w:color w:val="FF00FF"/>
        </w:rPr>
        <w:t xml:space="preserve">  =   0 and</w:t>
        <w:tab/>
      </w:r>
      <w:r>
        <w:rPr>
          <w:color w:val="FF00FF"/>
          <w:sz w:val="20"/>
        </w:rPr>
      </w:r>
      <m:oMath xmlns:m="http://schemas.openxmlformats.org/officeDocument/2006/math">
        <m:r>
          <m:t xml:space="preserve">E</m:t>
        </m:r>
        <m:r>
          <m:t xml:space="preserve">(</m:t>
        </m:r>
        <m:sSup>
          <m:e>
            <m:r>
              <m:t xml:space="preserve">S</m:t>
            </m:r>
          </m:e>
          <m:sup>
            <m:r>
              <m:t xml:space="preserve">2</m:t>
            </m:r>
          </m:sup>
        </m:sSup>
        <m:r>
          <m:t xml:space="preserve">)</m:t>
        </m:r>
        <m:r>
          <m:t xml:space="preserve">=</m:t>
        </m:r>
        <m:sSubSup>
          <m:e>
            <m:r>
              <m:t xml:space="preserve">S</m:t>
            </m:r>
          </m:e>
          <m:sub>
            <m:r>
              <m:t xml:space="preserve">0</m:t>
            </m:r>
          </m:sub>
          <m:sup>
            <m:r>
              <m:t xml:space="preserve">2</m:t>
            </m:r>
          </m:sup>
        </m:sSubSup>
        <m:r>
          <m:rPr>
            <m:lit/>
            <m:nor/>
          </m:rPr>
          <m:t xml:space="preserve">exp</m:t>
        </m:r>
        <m:r>
          <m:t xml:space="preserve">(</m:t>
        </m:r>
        <m:sSup>
          <m:e>
            <m:r>
              <m:t xml:space="preserve">s</m:t>
            </m:r>
          </m:e>
          <m:sup>
            <m:r>
              <m:t xml:space="preserve">2</m:t>
            </m:r>
          </m:sup>
        </m:sSup>
        <m:r>
          <m:t xml:space="preserve">t</m:t>
        </m:r>
        <m:r>
          <m:t xml:space="preserve">)</m:t>
        </m:r>
      </m:oMath>
      <w:r>
        <w:rPr>
          <w:color w:val="FF00FF"/>
        </w:rPr>
        <w:t>. It follows:</w:t>
        <w:tab/>
        <w:tab/>
      </w:r>
    </w:p>
    <w:p>
      <w:pPr>
        <w:pStyle w:val="Normal"/>
        <w:ind w:firstLine="720" w:start="720" w:end="0"/>
        <w:rPr/>
      </w:pPr>
      <w:r>
        <w:rPr>
          <w:color w:val="FF00FF"/>
          <w:sz w:val="20"/>
        </w:rPr>
      </w:r>
      <m:oMath xmlns:m="http://schemas.openxmlformats.org/officeDocument/2006/math">
        <m:r>
          <m:t xml:space="preserve">s</m:t>
        </m:r>
        <m:r>
          <m:t xml:space="preserve">=</m:t>
        </m:r>
        <m:f>
          <m:num>
            <m:rad>
              <m:radPr>
                <m:degHide m:val="1"/>
              </m:radPr>
              <m:deg/>
              <m:e>
                <m:r>
                  <m:rPr>
                    <m:lit/>
                    <m:nor/>
                  </m:rPr>
                  <m:t xml:space="preserve">ln</m:t>
                </m:r>
                <m:r>
                  <m:t xml:space="preserve">[</m:t>
                </m:r>
                <m:r>
                  <m:t xml:space="preserve">E</m:t>
                </m:r>
                <m:r>
                  <m:t xml:space="preserve">(</m:t>
                </m:r>
                <m:sSup>
                  <m:e>
                    <m:r>
                      <m:t xml:space="preserve">S</m:t>
                    </m:r>
                  </m:e>
                  <m:sup>
                    <m:r>
                      <m:t xml:space="preserve">2</m:t>
                    </m:r>
                  </m:sup>
                </m:sSup>
                <m:f>
                  <m:fPr>
                    <m:type m:val="lin"/>
                  </m:fPr>
                  <m:num>
                    <m:r>
                      <m:t xml:space="preserve">)</m:t>
                    </m:r>
                  </m:num>
                  <m:den>
                    <m:sSubSup>
                      <m:e>
                        <m:r>
                          <m:t xml:space="preserve">S</m:t>
                        </m:r>
                      </m:e>
                      <m:sub>
                        <m:r>
                          <m:t xml:space="preserve">0</m:t>
                        </m:r>
                      </m:sub>
                      <m:sup>
                        <m:r>
                          <m:t xml:space="preserve">2</m:t>
                        </m:r>
                      </m:sup>
                    </m:sSubSup>
                  </m:den>
                </m:f>
                <m:r>
                  <m:t xml:space="preserve">]</m:t>
                </m:r>
              </m:e>
            </m:rad>
          </m:num>
          <m:den>
            <m:rad>
              <m:radPr>
                <m:degHide m:val="1"/>
              </m:radPr>
              <m:deg/>
              <m:e>
                <m:r>
                  <m:t xml:space="preserve">t</m:t>
                </m:r>
              </m:e>
            </m:rad>
          </m:den>
        </m:f>
      </m:oMath>
      <w:r>
        <w:rPr>
          <w:color w:val="FF00FF"/>
        </w:rPr>
        <w:tab/>
        <w:tab/>
        <w:tab/>
        <w:tab/>
        <w:tab/>
        <w:tab/>
        <w:t>(3.11c)</w:t>
      </w:r>
    </w:p>
    <w:p>
      <w:pPr>
        <w:pStyle w:val="Normal"/>
        <w:rPr>
          <w:color w:val="FF00FF"/>
        </w:rPr>
      </w:pPr>
      <w:r>
        <w:rPr>
          <w:color w:val="FF00FF"/>
        </w:rPr>
      </w:r>
    </w:p>
    <w:p>
      <w:pPr>
        <w:pStyle w:val="Normal"/>
        <w:rPr>
          <w:color w:val="auto"/>
        </w:rPr>
      </w:pPr>
      <w:r>
        <w:rPr>
          <w:color w:val="FF00FF"/>
        </w:rPr>
        <w:t xml:space="preserve">Applying this approach to </w:t>
      </w:r>
      <w:r>
        <w:rPr>
          <w:color w:val="FF00FF"/>
        </w:rPr>
      </w:r>
      <m:oMath xmlns:m="http://schemas.openxmlformats.org/officeDocument/2006/math">
        <m:sSub>
          <m:e>
            <m:r>
              <m:t xml:space="preserve">S</m:t>
            </m:r>
          </m:e>
          <m:sub>
            <m:r>
              <m:t xml:space="preserve">1</m:t>
            </m:r>
          </m:sub>
        </m:sSub>
        <m:r>
          <m:t xml:space="preserve">+</m:t>
        </m:r>
        <m:sSub>
          <m:e>
            <m:r>
              <m:t xml:space="preserve">S</m:t>
            </m:r>
          </m:e>
          <m:sub>
            <m:r>
              <m:t xml:space="preserve">2</m:t>
            </m:r>
          </m:sub>
        </m:sSub>
      </m:oMath>
      <w:r>
        <w:rPr>
          <w:color w:val="FF00FF"/>
        </w:rPr>
        <w:t xml:space="preserve"> and assuming that this sum follows a lognormal distribution renders</w:t>
      </w:r>
    </w:p>
    <w:p>
      <w:pPr>
        <w:pStyle w:val="Equation"/>
        <w:rPr/>
      </w:pPr>
      <w:r>
        <w:rPr/>
        <w:tab/>
      </w:r>
      <w:r>
        <w:rPr/>
      </w:r>
      <m:oMath xmlns:m="http://schemas.openxmlformats.org/officeDocument/2006/math">
        <m:sSub>
          <m:e>
            <m:r>
              <m:t xml:space="preserve">σ</m:t>
            </m:r>
          </m:e>
          <m:sub>
            <m:sSub>
              <m:e>
                <m:r>
                  <m:t xml:space="preserve">S</m:t>
                </m:r>
              </m:e>
              <m:sub>
                <m:r>
                  <m:t xml:space="preserve">1</m:t>
                </m:r>
              </m:sub>
            </m:sSub>
            <m:r>
              <m:t xml:space="preserve">+</m:t>
            </m:r>
            <m:sSub>
              <m:e>
                <m:r>
                  <m:t xml:space="preserve">S</m:t>
                </m:r>
              </m:e>
              <m:sub>
                <m:r>
                  <m:t xml:space="preserve">2</m:t>
                </m:r>
              </m:sub>
            </m:sSub>
          </m:sub>
        </m:sSub>
        <m:r>
          <m:t xml:space="preserve">=</m:t>
        </m:r>
        <m:f>
          <m:num>
            <m:rad>
              <m:radPr>
                <m:degHide m:val="1"/>
              </m:radPr>
              <m:deg/>
              <m:e>
                <m:r>
                  <m:rPr>
                    <m:lit/>
                    <m:nor/>
                  </m:rPr>
                  <m:t xml:space="preserve">ln</m:t>
                </m:r>
                <m:r>
                  <m:t xml:space="preserve">[</m:t>
                </m:r>
                <m:sSubSup>
                  <m:e>
                    <m:r>
                      <m:t xml:space="preserve">S</m:t>
                    </m:r>
                  </m:e>
                  <m:sub>
                    <m:r>
                      <m:t xml:space="preserve">1</m:t>
                    </m:r>
                  </m:sub>
                  <m:sup>
                    <m:r>
                      <m:t xml:space="preserve">2</m:t>
                    </m:r>
                  </m:sup>
                </m:sSubSup>
                <m:sSup>
                  <m:e>
                    <m:r>
                      <m:t xml:space="preserve">e</m:t>
                    </m:r>
                  </m:e>
                  <m:sup>
                    <m:sSubSup>
                      <m:e>
                        <m:r>
                          <m:t xml:space="preserve">σ</m:t>
                        </m:r>
                      </m:e>
                      <m:sub>
                        <m:r>
                          <m:t xml:space="preserve">1</m:t>
                        </m:r>
                      </m:sub>
                      <m:sup>
                        <m:r>
                          <m:t xml:space="preserve">2</m:t>
                        </m:r>
                      </m:sup>
                    </m:sSubSup>
                    <m:r>
                      <m:t xml:space="preserve">t</m:t>
                    </m:r>
                  </m:sup>
                </m:sSup>
                <m:r>
                  <m:t xml:space="preserve">+</m:t>
                </m:r>
                <m:r>
                  <m:t xml:space="preserve">2</m:t>
                </m:r>
                <m:sSub>
                  <m:e>
                    <m:r>
                      <m:t xml:space="preserve">S</m:t>
                    </m:r>
                  </m:e>
                  <m:sub>
                    <m:r>
                      <m:t xml:space="preserve">1</m:t>
                    </m:r>
                  </m:sub>
                </m:sSub>
                <m:sSub>
                  <m:e>
                    <m:r>
                      <m:t xml:space="preserve">S</m:t>
                    </m:r>
                  </m:e>
                  <m:sub>
                    <m:r>
                      <m:t xml:space="preserve">2</m:t>
                    </m:r>
                  </m:sub>
                </m:sSub>
                <m:sSup>
                  <m:e>
                    <m:r>
                      <m:t xml:space="preserve">e</m:t>
                    </m:r>
                  </m:e>
                  <m:sup>
                    <m:sSub>
                      <m:e>
                        <m:r>
                          <m:rPr>
                            <m:lit/>
                            <m:nor/>
                          </m:rPr>
                          <m:t xml:space="preserve">ρσ</m:t>
                        </m:r>
                      </m:e>
                      <m:sub>
                        <m:r>
                          <m:t xml:space="preserve">1</m:t>
                        </m:r>
                      </m:sub>
                    </m:sSub>
                    <m:sSub>
                      <m:e>
                        <m:r>
                          <m:t xml:space="preserve">σ</m:t>
                        </m:r>
                      </m:e>
                      <m:sub>
                        <m:r>
                          <m:t xml:space="preserve">2</m:t>
                        </m:r>
                      </m:sub>
                    </m:sSub>
                    <m:r>
                      <m:t xml:space="preserve">t</m:t>
                    </m:r>
                  </m:sup>
                </m:sSup>
                <m:r>
                  <m:t xml:space="preserve">+</m:t>
                </m:r>
                <m:sSubSup>
                  <m:e>
                    <m:r>
                      <m:t xml:space="preserve">S</m:t>
                    </m:r>
                  </m:e>
                  <m:sub>
                    <m:r>
                      <m:t xml:space="preserve">2</m:t>
                    </m:r>
                  </m:sub>
                  <m:sup>
                    <m:r>
                      <m:t xml:space="preserve">2</m:t>
                    </m:r>
                  </m:sup>
                </m:sSubSup>
                <m:sSup>
                  <m:e>
                    <m:r>
                      <m:t xml:space="preserve">e</m:t>
                    </m:r>
                  </m:e>
                  <m:sup>
                    <m:sSubSup>
                      <m:e>
                        <m:r>
                          <m:t xml:space="preserve">σ</m:t>
                        </m:r>
                      </m:e>
                      <m:sub>
                        <m:r>
                          <m:t xml:space="preserve">2</m:t>
                        </m:r>
                      </m:sub>
                      <m:sup>
                        <m:r>
                          <m:t xml:space="preserve">2</m:t>
                        </m:r>
                      </m:sup>
                    </m:sSubSup>
                    <m:r>
                      <m:t xml:space="preserve">t</m:t>
                    </m:r>
                  </m:sup>
                </m:sSup>
                <m:r>
                  <m:t xml:space="preserve">]</m:t>
                </m:r>
                <m:r>
                  <m:t xml:space="preserve">−</m:t>
                </m:r>
                <m:r>
                  <m:t xml:space="preserve">2</m:t>
                </m:r>
                <m:r>
                  <m:rPr>
                    <m:lit/>
                    <m:nor/>
                  </m:rPr>
                  <m:t xml:space="preserve">ln</m:t>
                </m:r>
                <m:r>
                  <m:t xml:space="preserve">[</m:t>
                </m:r>
                <m:sSub>
                  <m:e>
                    <m:r>
                      <m:t xml:space="preserve">S</m:t>
                    </m:r>
                  </m:e>
                  <m:sub>
                    <m:r>
                      <m:t xml:space="preserve">1</m:t>
                    </m:r>
                  </m:sub>
                </m:sSub>
                <m:r>
                  <m:t xml:space="preserve">+</m:t>
                </m:r>
                <m:sSub>
                  <m:e>
                    <m:r>
                      <m:t xml:space="preserve">S</m:t>
                    </m:r>
                  </m:e>
                  <m:sub>
                    <m:r>
                      <m:t xml:space="preserve">2</m:t>
                    </m:r>
                  </m:sub>
                </m:sSub>
                <m:r>
                  <m:t xml:space="preserve">]</m:t>
                </m:r>
              </m:e>
            </m:rad>
          </m:num>
          <m:den>
            <m:rad>
              <m:radPr>
                <m:degHide m:val="1"/>
              </m:radPr>
              <m:deg/>
              <m:e>
                <m:r>
                  <m:t xml:space="preserve">t</m:t>
                </m:r>
              </m:e>
            </m:rad>
          </m:den>
        </m:f>
      </m:oMath>
      <w:r>
        <w:rPr/>
        <w:tab/>
        <w:t>(3.12)</w:t>
      </w:r>
    </w:p>
    <w:p>
      <w:pPr>
        <w:pStyle w:val="Normal"/>
        <w:rPr>
          <w:b/>
          <w:color w:val="auto"/>
        </w:rPr>
      </w:pPr>
      <w:r>
        <w:rPr>
          <w:b/>
          <w:color w:val="auto"/>
        </w:rPr>
      </w:r>
    </w:p>
    <w:p>
      <w:pPr>
        <w:pStyle w:val="Heading3"/>
        <w:ind w:hanging="0" w:start="0"/>
        <w:rPr>
          <w:color w:val="auto"/>
        </w:rPr>
      </w:pPr>
      <w:r>
        <w:rPr>
          <w:color w:val="auto"/>
        </w:rPr>
        <w:t>3.3.6</w:t>
        <w:tab/>
        <w:t>Implied Volatility</w:t>
      </w:r>
    </w:p>
    <w:p>
      <w:pPr>
        <w:pStyle w:val="Normal"/>
        <w:rPr>
          <w:color w:val="auto"/>
        </w:rPr>
      </w:pPr>
      <w:r>
        <w:rPr>
          <w:color w:val="auto"/>
        </w:rPr>
      </w:r>
    </w:p>
    <w:p>
      <w:pPr>
        <w:pStyle w:val="Normal"/>
        <w:rPr>
          <w:color w:val="auto"/>
        </w:rPr>
      </w:pPr>
      <w:r>
        <w:rPr>
          <w:color w:val="auto"/>
        </w:rPr>
        <w:t>The previous sections have dealt with estimation of volatility from historical data.  The job of an option trader is to guess what is the level of volatility expected in the future.  A buyer or a writer of an option that is unhedged effectively makes a bet on the price level of the underlying instrument. An option trader who hedges makes a bet on volatility.  Volatility that is used as an input to an option pricing formula that equates the model price with the market price is called an implied volatility.  It is implied in the sense that once an option market price is known one can use the option pricing formula to calculate the volatility input, given that other inputs are known (maturity, the current price of the underlying, interest rate, the strike price).  Volatility can be ‘backed out’ from market prices using a trial and error method or a program allowing for a solution of a nonlinear equation (an option pricing equation in this case).  In practice, implied volatility is usually quoted for at-the-money options and is often calculated based on the average of an at-the-money straddle (a call and a put with the same strike price).</w:t>
      </w:r>
    </w:p>
    <w:p>
      <w:pPr>
        <w:pStyle w:val="Normal"/>
        <w:rPr>
          <w:color w:val="auto"/>
        </w:rPr>
      </w:pPr>
      <w:r>
        <w:rPr>
          <w:color w:val="auto"/>
        </w:rPr>
      </w:r>
    </w:p>
    <w:p>
      <w:pPr>
        <w:pStyle w:val="Normal"/>
        <w:rPr>
          <w:color w:val="auto"/>
        </w:rPr>
      </w:pPr>
      <w:r>
        <w:rPr>
          <w:color w:val="auto"/>
        </w:rPr>
        <w:t xml:space="preserve">It is well-known fact that out-of-the-money options trade at volatility levels that diverge from at-the-money volatility.  This is often referred to as a volatility smile (or a frown, smirk, etc. depending on the shape of the curve).  The traders try to compensate for the shortcomings of the model by adjusting the inputs to the model.  Given that most inputs are well defined and directly observable and cannot be adjusted at will, this leaves only one free parameter that can be manipulated.  The adjustment would lead typically to a volatility smile – the traders increase the volatility for out-of-the-money options to compensate for flat volatility model derived valuations that are perceived to be too low.  There are many competing explanations why this is the case, which are not necessarily mutually exclusive. </w:t>
      </w:r>
    </w:p>
    <w:p>
      <w:pPr>
        <w:pStyle w:val="Normal"/>
        <w:rPr>
          <w:color w:val="auto"/>
        </w:rPr>
      </w:pPr>
      <w:r>
        <w:rPr>
          <w:color w:val="auto"/>
        </w:rPr>
      </w:r>
    </w:p>
    <w:p>
      <w:pPr>
        <w:pStyle w:val="Normal"/>
        <w:rPr/>
      </w:pPr>
      <w:r>
        <w:rPr>
          <w:color w:val="auto"/>
        </w:rPr>
        <w:t xml:space="preserve">The first explanation is related to well-known shortcomings of the Black-Scholes-Merton model which is based on the assumption of normality of price returns and as such understates the probability of extreme outcomes.  One consequence of jumps, in, </w:t>
      </w:r>
      <w:r>
        <w:rPr>
          <w:color w:val="FF00FF"/>
        </w:rPr>
        <w:t>for example,</w:t>
      </w:r>
      <w:r>
        <w:rPr>
          <w:color w:val="auto"/>
        </w:rPr>
        <w:t xml:space="preserve"> electricity prices, which is important from the point of view of management of portfolios of power derivatives, is the presence of so-called </w:t>
      </w:r>
      <w:r>
        <w:rPr>
          <w:i/>
          <w:color w:val="auto"/>
        </w:rPr>
        <w:t>fat tails</w:t>
      </w:r>
      <w:r>
        <w:rPr>
          <w:color w:val="auto"/>
        </w:rPr>
        <w:t xml:space="preserve">. This term is used to refer to the fact that the probability of extreme outcomes inferred from the empirical data exceeds theoretical probabilities which are based on probability distributions typically assumed </w:t>
      </w:r>
      <w:r>
        <w:rPr>
          <w:color w:val="FF00FF"/>
        </w:rPr>
        <w:t>in financial models</w:t>
      </w:r>
      <w:r>
        <w:rPr>
          <w:color w:val="auto"/>
        </w:rPr>
        <w:t xml:space="preserve">.  Distributions displaying fat tails are referred to as </w:t>
      </w:r>
      <w:r>
        <w:rPr>
          <w:i/>
          <w:color w:val="auto"/>
        </w:rPr>
        <w:t>leptokurtic</w:t>
      </w:r>
      <w:r>
        <w:rPr>
          <w:color w:val="auto"/>
        </w:rPr>
        <w:t>.  The property is measured by kurtosis, or the fourth moment around the mean, which for the normal distribution is equal to three (in some computer programs, this number is adjusted to be equal to 0).  Table 3.2 displays calculated values of kurtosis for a number of price indices in the US power markets to illustrate the prevalence of leptokurtic distributions in the electricity markets.  The program used for this calculation produces zero kurtosis for the normal distribution.  Hence, we use the traditional term “excess kurtosis”.</w:t>
      </w:r>
    </w:p>
    <w:p>
      <w:pPr>
        <w:pStyle w:val="Normal"/>
        <w:rPr>
          <w:color w:val="auto"/>
        </w:rPr>
      </w:pPr>
      <w:r>
        <w:rPr>
          <w:color w:val="auto"/>
        </w:rPr>
      </w:r>
    </w:p>
    <w:p>
      <w:pPr>
        <w:pStyle w:val="Normal"/>
        <w:jc w:val="center"/>
        <w:rPr>
          <w:b/>
          <w:color w:val="auto"/>
        </w:rPr>
      </w:pPr>
      <w:r>
        <w:rPr>
          <w:b/>
          <w:color w:val="auto"/>
        </w:rPr>
        <w:t>Table 3.2: Excess Kurtosis of Selected Power Prices, 29/6/1995 - 2/10/1997.</w:t>
      </w:r>
    </w:p>
    <w:p>
      <w:pPr>
        <w:pStyle w:val="Normal"/>
        <w:rPr>
          <w:b/>
          <w:color w:val="auto"/>
        </w:rPr>
      </w:pPr>
      <w:r>
        <w:rPr>
          <w:b/>
          <w:color w:val="auto"/>
        </w:rPr>
      </w:r>
    </w:p>
    <w:tbl>
      <w:tblPr>
        <w:tblW w:w="8640" w:type="dxa"/>
        <w:jc w:val="start"/>
        <w:tblInd w:w="0" w:type="dxa"/>
        <w:tblLayout w:type="fixed"/>
        <w:tblCellMar>
          <w:top w:w="0" w:type="dxa"/>
          <w:start w:w="108" w:type="dxa"/>
          <w:bottom w:w="0" w:type="dxa"/>
          <w:end w:w="108" w:type="dxa"/>
        </w:tblCellMar>
      </w:tblPr>
      <w:tblGrid>
        <w:gridCol w:w="2160"/>
        <w:gridCol w:w="2160"/>
        <w:gridCol w:w="2160"/>
        <w:gridCol w:w="2160"/>
      </w:tblGrid>
      <w:tr>
        <w:trPr/>
        <w:tc>
          <w:tcPr>
            <w:tcW w:w="2160" w:type="dxa"/>
            <w:tcBorders>
              <w:bottom w:val="single" w:sz="4" w:space="0" w:color="000000"/>
              <w:end w:val="single" w:sz="4" w:space="0" w:color="000000"/>
            </w:tcBorders>
          </w:tcPr>
          <w:p>
            <w:pPr>
              <w:pStyle w:val="Normal"/>
              <w:spacing w:lineRule="auto" w:line="240"/>
              <w:rPr>
                <w:color w:val="auto"/>
              </w:rPr>
            </w:pPr>
            <w:r>
              <w:rPr>
                <w:color w:val="auto"/>
              </w:rPr>
              <w:t>Location</w:t>
            </w:r>
          </w:p>
        </w:tc>
        <w:tc>
          <w:tcPr>
            <w:tcW w:w="2160" w:type="dxa"/>
            <w:tcBorders>
              <w:start w:val="single" w:sz="4" w:space="0" w:color="000000"/>
              <w:bottom w:val="single" w:sz="4" w:space="0" w:color="000000"/>
            </w:tcBorders>
          </w:tcPr>
          <w:p>
            <w:pPr>
              <w:pStyle w:val="Normal"/>
              <w:spacing w:lineRule="auto" w:line="240"/>
              <w:rPr>
                <w:color w:val="auto"/>
              </w:rPr>
            </w:pPr>
            <w:r>
              <w:rPr>
                <w:color w:val="auto"/>
              </w:rPr>
              <w:t>PJM</w:t>
            </w:r>
          </w:p>
        </w:tc>
        <w:tc>
          <w:tcPr>
            <w:tcW w:w="2160" w:type="dxa"/>
            <w:tcBorders>
              <w:bottom w:val="single" w:sz="4" w:space="0" w:color="000000"/>
            </w:tcBorders>
          </w:tcPr>
          <w:p>
            <w:pPr>
              <w:pStyle w:val="Normal"/>
              <w:spacing w:lineRule="auto" w:line="240"/>
              <w:rPr>
                <w:color w:val="auto"/>
              </w:rPr>
            </w:pPr>
            <w:r>
              <w:rPr>
                <w:color w:val="auto"/>
              </w:rPr>
              <w:t>Palo Verde</w:t>
            </w:r>
          </w:p>
        </w:tc>
        <w:tc>
          <w:tcPr>
            <w:tcW w:w="2160" w:type="dxa"/>
            <w:tcBorders>
              <w:bottom w:val="single" w:sz="4" w:space="0" w:color="000000"/>
            </w:tcBorders>
          </w:tcPr>
          <w:p>
            <w:pPr>
              <w:pStyle w:val="Normal"/>
              <w:spacing w:lineRule="auto" w:line="240"/>
              <w:rPr>
                <w:color w:val="auto"/>
              </w:rPr>
            </w:pPr>
            <w:r>
              <w:rPr>
                <w:color w:val="auto"/>
              </w:rPr>
              <w:t>COB</w:t>
            </w:r>
          </w:p>
        </w:tc>
      </w:tr>
      <w:tr>
        <w:trPr/>
        <w:tc>
          <w:tcPr>
            <w:tcW w:w="2160" w:type="dxa"/>
            <w:tcBorders>
              <w:top w:val="single" w:sz="4" w:space="0" w:color="000000"/>
              <w:end w:val="single" w:sz="4" w:space="0" w:color="000000"/>
            </w:tcBorders>
          </w:tcPr>
          <w:p>
            <w:pPr>
              <w:pStyle w:val="Normal"/>
              <w:snapToGrid w:val="false"/>
              <w:spacing w:lineRule="auto" w:line="240"/>
              <w:rPr>
                <w:color w:val="auto"/>
              </w:rPr>
            </w:pPr>
            <w:r>
              <w:rPr>
                <w:color w:val="auto"/>
              </w:rPr>
            </w:r>
          </w:p>
        </w:tc>
        <w:tc>
          <w:tcPr>
            <w:tcW w:w="2160" w:type="dxa"/>
            <w:tcBorders>
              <w:top w:val="single" w:sz="4" w:space="0" w:color="000000"/>
              <w:start w:val="single" w:sz="4" w:space="0" w:color="000000"/>
            </w:tcBorders>
          </w:tcPr>
          <w:p>
            <w:pPr>
              <w:pStyle w:val="Normal"/>
              <w:snapToGrid w:val="false"/>
              <w:spacing w:lineRule="auto" w:line="240"/>
              <w:rPr>
                <w:color w:val="auto"/>
              </w:rPr>
            </w:pPr>
            <w:r>
              <w:rPr>
                <w:color w:val="auto"/>
              </w:rPr>
            </w:r>
          </w:p>
        </w:tc>
        <w:tc>
          <w:tcPr>
            <w:tcW w:w="2160" w:type="dxa"/>
            <w:tcBorders>
              <w:top w:val="single" w:sz="4" w:space="0" w:color="000000"/>
            </w:tcBorders>
          </w:tcPr>
          <w:p>
            <w:pPr>
              <w:pStyle w:val="Normal"/>
              <w:snapToGrid w:val="false"/>
              <w:spacing w:lineRule="auto" w:line="240"/>
              <w:rPr>
                <w:color w:val="auto"/>
              </w:rPr>
            </w:pPr>
            <w:r>
              <w:rPr>
                <w:color w:val="auto"/>
              </w:rPr>
            </w:r>
          </w:p>
        </w:tc>
        <w:tc>
          <w:tcPr>
            <w:tcW w:w="2160" w:type="dxa"/>
            <w:tcBorders>
              <w:top w:val="single" w:sz="4" w:space="0" w:color="000000"/>
            </w:tcBorders>
          </w:tcPr>
          <w:p>
            <w:pPr>
              <w:pStyle w:val="Normal"/>
              <w:snapToGrid w:val="false"/>
              <w:spacing w:lineRule="auto" w:line="240"/>
              <w:rPr>
                <w:color w:val="auto"/>
              </w:rPr>
            </w:pPr>
            <w:r>
              <w:rPr>
                <w:color w:val="auto"/>
              </w:rPr>
            </w:r>
          </w:p>
        </w:tc>
      </w:tr>
      <w:tr>
        <w:trPr/>
        <w:tc>
          <w:tcPr>
            <w:tcW w:w="2160" w:type="dxa"/>
            <w:tcBorders>
              <w:end w:val="single" w:sz="4" w:space="0" w:color="000000"/>
            </w:tcBorders>
          </w:tcPr>
          <w:p>
            <w:pPr>
              <w:pStyle w:val="Normal"/>
              <w:spacing w:lineRule="auto" w:line="240"/>
              <w:rPr>
                <w:color w:val="auto"/>
              </w:rPr>
            </w:pPr>
            <w:r>
              <w:rPr>
                <w:color w:val="auto"/>
              </w:rPr>
              <w:t>Kurtosis</w:t>
            </w:r>
          </w:p>
        </w:tc>
        <w:tc>
          <w:tcPr>
            <w:tcW w:w="2160" w:type="dxa"/>
            <w:tcBorders>
              <w:start w:val="single" w:sz="4" w:space="0" w:color="000000"/>
            </w:tcBorders>
          </w:tcPr>
          <w:p>
            <w:pPr>
              <w:pStyle w:val="Normal"/>
              <w:spacing w:lineRule="auto" w:line="240"/>
              <w:rPr>
                <w:color w:val="auto"/>
              </w:rPr>
            </w:pPr>
            <w:r>
              <w:rPr>
                <w:color w:val="auto"/>
              </w:rPr>
              <w:t>4.87</w:t>
            </w:r>
          </w:p>
        </w:tc>
        <w:tc>
          <w:tcPr>
            <w:tcW w:w="2160" w:type="dxa"/>
            <w:tcBorders/>
          </w:tcPr>
          <w:p>
            <w:pPr>
              <w:pStyle w:val="Normal"/>
              <w:spacing w:lineRule="auto" w:line="240"/>
              <w:rPr>
                <w:color w:val="auto"/>
              </w:rPr>
            </w:pPr>
            <w:r>
              <w:rPr>
                <w:color w:val="auto"/>
              </w:rPr>
              <w:t>14.48</w:t>
            </w:r>
          </w:p>
        </w:tc>
        <w:tc>
          <w:tcPr>
            <w:tcW w:w="2160" w:type="dxa"/>
            <w:tcBorders/>
          </w:tcPr>
          <w:p>
            <w:pPr>
              <w:pStyle w:val="Normal"/>
              <w:spacing w:lineRule="auto" w:line="240"/>
              <w:rPr>
                <w:color w:val="auto"/>
              </w:rPr>
            </w:pPr>
            <w:r>
              <w:rPr>
                <w:color w:val="auto"/>
              </w:rPr>
              <w:t>10.78</w:t>
            </w:r>
          </w:p>
        </w:tc>
      </w:tr>
    </w:tbl>
    <w:p>
      <w:pPr>
        <w:pStyle w:val="Normal"/>
        <w:rPr>
          <w:color w:val="auto"/>
        </w:rPr>
      </w:pPr>
      <w:r>
        <w:rPr>
          <w:color w:val="auto"/>
        </w:rPr>
      </w:r>
    </w:p>
    <w:p>
      <w:pPr>
        <w:pStyle w:val="Normal"/>
        <w:rPr>
          <w:color w:val="auto"/>
        </w:rPr>
      </w:pPr>
      <w:r>
        <w:rPr>
          <w:color w:val="auto"/>
        </w:rPr>
        <w:t>One should notice that there are several competing explanations of the presence of fat tails in empirical price distributions.  One source of fat tails is the presence of jumps in the prices which, as we have seen, are a typical feature of power markets. Another explanation is that the parameters of the distribution of returns (which is usually assumed to be normal) vary over time.  Empirical observations of returns are drawn in this case from a mixture of distributions.</w:t>
      </w:r>
    </w:p>
    <w:p>
      <w:pPr>
        <w:pStyle w:val="Normal"/>
        <w:rPr>
          <w:color w:val="auto"/>
        </w:rPr>
      </w:pPr>
      <w:r>
        <w:rPr>
          <w:color w:val="auto"/>
        </w:rPr>
      </w:r>
    </w:p>
    <w:p>
      <w:pPr>
        <w:pStyle w:val="Normal"/>
        <w:rPr/>
      </w:pPr>
      <w:r>
        <w:rPr>
          <w:color w:val="auto"/>
        </w:rPr>
        <w:t xml:space="preserve">This feature of power markets creates not only a challenge from the point of view of pricing electricity derivatives but also from the point of view of portfolio management and </w:t>
      </w:r>
      <w:r>
        <w:rPr>
          <w:i/>
          <w:color w:val="auto"/>
        </w:rPr>
        <w:t>value-at-risk</w:t>
      </w:r>
      <w:r>
        <w:rPr>
          <w:color w:val="auto"/>
        </w:rPr>
        <w:t xml:space="preserve"> calculations. Value-at-risk is a shorthand term for a system that measures the potential loss in the value of a portfolio of financial instruments over a specified time period, typically one day, with a given probability, and a subject which is covered in some depth in chapter 10. For portfolios that include electricity derivatives, incorporation of gapping prices is of critical importance to insure a necessary degree of realism</w:t>
      </w:r>
      <w:r>
        <w:rPr>
          <w:rStyle w:val="EndnoteCharacters"/>
          <w:rStyle w:val="EndnoteReference"/>
          <w:color w:val="auto"/>
        </w:rPr>
        <w:endnoteReference w:customMarkFollows="1" w:id="2"/>
        <w:t>1</w:t>
      </w:r>
      <w:r>
        <w:rPr>
          <w:rStyle w:val="EndnoteCharacters"/>
          <w:color w:val="auto"/>
        </w:rPr>
        <w:t>4</w:t>
      </w:r>
      <w:r>
        <w:rPr>
          <w:color w:val="auto"/>
        </w:rPr>
        <w:t xml:space="preserve">.  The degree to which empirical distributions may diverge from theoretical distributions can be assessed comparing the third and fourth moments of the empirical distributions with the theoretical levels (both equal to zero </w:t>
      </w:r>
      <w:r>
        <w:rPr>
          <w:color w:val="FF00FF"/>
        </w:rPr>
        <w:t>under the assumption of normality</w:t>
      </w:r>
      <w:r>
        <w:rPr>
          <w:color w:val="auto"/>
        </w:rPr>
        <w:t>).</w:t>
      </w:r>
    </w:p>
    <w:p>
      <w:pPr>
        <w:pStyle w:val="Normal"/>
        <w:rPr>
          <w:color w:val="auto"/>
        </w:rPr>
      </w:pPr>
      <w:r>
        <w:rPr>
          <w:color w:val="auto"/>
        </w:rPr>
      </w:r>
    </w:p>
    <w:p>
      <w:pPr>
        <w:pStyle w:val="Normal"/>
        <w:rPr/>
      </w:pPr>
      <w:r>
        <w:rPr>
          <w:color w:val="auto"/>
        </w:rPr>
        <w:t xml:space="preserve">An alternative explanation for volatility smiles deals with the microstructure of the markets.  In many emerging energy markets, insufficient liquidity or lack of complete markets does not allow for effective delta hedging.  This means that the supply of options comes either from the trading institutions with exceptionally efficient trading operations or from the organizations that can mitigate the risk of financial options using positions in physical assets.  For example, power generators can sell call options on electricity, treating them as covered calls: if an option is exercised an idle unit may be turned on to deliver into the contract.  The buyers see out-of-the money options as </w:t>
      </w:r>
      <w:r>
        <w:rPr>
          <w:color w:val="FF00FF"/>
        </w:rPr>
        <w:t>valuable</w:t>
      </w:r>
      <w:r>
        <w:rPr>
          <w:color w:val="auto"/>
        </w:rPr>
        <w:t xml:space="preserve"> disaster insurance.  This reduces the supply of options relative to demand and increases their prices.  This is reflected in turn in implied volatility higher than the volatility for at the money options.</w:t>
      </w:r>
    </w:p>
    <w:p>
      <w:pPr>
        <w:pStyle w:val="Normal"/>
        <w:rPr>
          <w:color w:val="auto"/>
        </w:rPr>
      </w:pPr>
      <w:r>
        <w:rPr>
          <w:color w:val="auto"/>
        </w:rPr>
      </w:r>
    </w:p>
    <w:p>
      <w:pPr>
        <w:pStyle w:val="Heading2"/>
        <w:ind w:hanging="0" w:start="0"/>
        <w:rPr>
          <w:color w:val="auto"/>
        </w:rPr>
      </w:pPr>
      <w:r>
        <w:rPr>
          <w:color w:val="auto"/>
        </w:rPr>
        <w:t>3.4</w:t>
        <w:tab/>
        <w:t>Stochastic Volatility Models</w:t>
      </w:r>
    </w:p>
    <w:p>
      <w:pPr>
        <w:pStyle w:val="Normal"/>
        <w:rPr>
          <w:color w:val="auto"/>
        </w:rPr>
      </w:pPr>
      <w:r>
        <w:rPr>
          <w:color w:val="auto"/>
        </w:rPr>
      </w:r>
    </w:p>
    <w:p>
      <w:pPr>
        <w:pStyle w:val="Normal"/>
        <w:rPr/>
      </w:pPr>
      <w:r>
        <w:rPr/>
        <w:t xml:space="preserve">In section 2.5 the authors introduced the concept of stochastic volatility models for energy price evolution.  Recall that a simple model that yields spot price return distributions that exhibit skews has a stochastic term that can be generalised as </w:t>
      </w:r>
      <w:r>
        <w:rPr/>
      </w:r>
      <m:oMath xmlns:m="http://schemas.openxmlformats.org/officeDocument/2006/math">
        <m:sSup>
          <m:e>
            <m:r>
              <m:t xml:space="preserve">σS</m:t>
            </m:r>
          </m:e>
          <m:sup>
            <m:r>
              <m:t xml:space="preserve">γ</m:t>
            </m:r>
          </m:sup>
        </m:sSup>
        <m:r>
          <m:rPr>
            <m:lit/>
            <m:nor/>
          </m:rPr>
          <m:t xml:space="preserve">dz</m:t>
        </m:r>
      </m:oMath>
      <w:r>
        <w:rPr/>
        <w:t xml:space="preserve">, where </w:t>
      </w:r>
      <w:r>
        <w:rPr>
          <w:rFonts w:eastAsia="Symbol" w:cs="Symbol" w:ascii="Symbol" w:hAnsi="Symbol"/>
          <w:color w:val="auto"/>
        </w:rPr>
        <w:sym w:font="Symbol" w:char="f067"/>
      </w:r>
      <w:r>
        <w:rPr>
          <w:color w:val="auto"/>
        </w:rPr>
        <w:t xml:space="preserve"> is between 0 and 1.  Any dependence on price is factored out, and the volatility term </w:t>
      </w:r>
      <w:r>
        <w:rPr>
          <w:rFonts w:eastAsia="Symbol" w:cs="Symbol" w:ascii="Symbol" w:hAnsi="Symbol"/>
          <w:color w:val="auto"/>
        </w:rPr>
        <w:sym w:font="Symbol" w:char="f073"/>
      </w:r>
      <w:r>
        <w:rPr>
          <w:color w:val="auto"/>
        </w:rPr>
        <w:t xml:space="preserve"> is explicitly a constant with respect to time.  When a process assumes constant volatility, it is said to be homoskedastic. When volatility varies in time, whether deterministically or randomly, the process is termed heteroskedastic. Part of the appeal of constant-volatility models is their mathematical tractability and relative ease of estimation. There is no mathematical reason, however, that requires volatility to be a constant, and indeed many commodity markets exhibit time varying volatility.  For example, figure 3.1 shows the 30-day rolling volatility for Californian average daily PX prices from April 1, 1998 until May 31, 2000, and clearly suggests a price volatility that is not constant but rather is best described by a process with both periodic and stochastic terms.</w:t>
      </w:r>
    </w:p>
    <w:p>
      <w:pPr>
        <w:pStyle w:val="Normal"/>
        <w:rPr>
          <w:color w:val="auto"/>
        </w:rPr>
      </w:pPr>
      <w:r>
        <w:rPr>
          <w:color w:val="auto"/>
        </w:rPr>
      </w:r>
    </w:p>
    <w:p>
      <w:pPr>
        <w:pStyle w:val="Heading4"/>
        <w:ind w:hanging="180" w:start="0" w:end="0"/>
        <w:jc w:val="center"/>
        <w:rPr/>
      </w:pPr>
      <w:bookmarkStart w:id="0" w:name="_Ref486043038"/>
      <w:r>
        <w:rPr>
          <w:color w:val="auto"/>
        </w:rPr>
        <w:t>Figure 3.1</w:t>
      </w:r>
      <w:bookmarkEnd w:id="0"/>
      <w:r>
        <w:rPr>
          <w:color w:val="auto"/>
          <w:lang w:val="en-CA"/>
        </w:rPr>
        <w:t xml:space="preserve"> 30-Day Rolling Annualized Volatility</w:t>
      </w:r>
    </w:p>
    <w:p>
      <w:pPr>
        <w:pStyle w:val="Heading4"/>
        <w:ind w:hanging="180" w:start="0" w:end="0"/>
        <w:jc w:val="center"/>
        <w:rPr>
          <w:color w:val="auto"/>
        </w:rPr>
      </w:pPr>
      <w:r>
        <w:rPr>
          <w:color w:val="auto"/>
          <w:lang w:val="en-CA"/>
        </w:rPr>
        <w:t>Californian Day-Ahead Average PX Price (April 1, 1998 - May 31, 2000)</w:t>
      </w:r>
    </w:p>
    <w:p>
      <w:pPr>
        <w:pStyle w:val="Normal"/>
        <w:jc w:val="center"/>
        <w:rPr>
          <w:color w:val="auto"/>
        </w:rPr>
      </w:pPr>
      <w:bookmarkStart w:id="1" w:name="_1023543614"/>
      <w:bookmarkStart w:id="2" w:name="_1022913888"/>
      <w:bookmarkEnd w:id="1"/>
      <w:bookmarkEnd w:id="2"/>
      <w:r>
        <w:rPr>
          <w:color w:val="auto"/>
        </w:rPr>
        <w:object w:dxaOrig="15360" w:dyaOrig="1177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0.8pt;height:284.15pt" filled="f" o:ole="">
            <v:imagedata r:id="rId3" o:title=""/>
          </v:shape>
          <o:OLEObject Type="Embed" ProgID="Excel.Sheet.12" ShapeID="ole_rId2" DrawAspect="Content" ObjectID="_1720453950" r:id="rId2"/>
        </w:object>
      </w:r>
    </w:p>
    <w:p>
      <w:pPr>
        <w:pStyle w:val="Header"/>
        <w:tabs>
          <w:tab w:val="clear" w:pos="4320"/>
          <w:tab w:val="clear" w:pos="8640"/>
        </w:tabs>
        <w:rPr>
          <w:color w:val="auto"/>
        </w:rPr>
      </w:pPr>
      <w:r>
        <w:rPr>
          <w:color w:val="auto"/>
        </w:rPr>
      </w:r>
    </w:p>
    <w:p>
      <w:pPr>
        <w:pStyle w:val="Normal"/>
        <w:rPr>
          <w:color w:val="auto"/>
        </w:rPr>
      </w:pPr>
      <w:r>
        <w:rPr>
          <w:color w:val="auto"/>
        </w:rPr>
        <w:t>The simplest heteroskedastic extension to the standard diffusion price process is to assume a volatility that is deterministically time dependent.  Forward contract price dynamics, often modelled as a smoothly decreasing function of time to contract expiration, and treated in detail in chapter 8, are a good example of this type of behaviour.</w:t>
      </w:r>
    </w:p>
    <w:p>
      <w:pPr>
        <w:pStyle w:val="Normal"/>
        <w:rPr>
          <w:color w:val="auto"/>
        </w:rPr>
      </w:pPr>
      <w:r>
        <w:rPr>
          <w:color w:val="auto"/>
        </w:rPr>
      </w:r>
    </w:p>
    <w:p>
      <w:pPr>
        <w:pStyle w:val="Normal"/>
        <w:rPr>
          <w:color w:val="auto"/>
        </w:rPr>
      </w:pPr>
      <w:r>
        <w:rPr>
          <w:color w:val="auto"/>
        </w:rPr>
        <w:t>The simplest case of stochastic volatility is, however, when the variance is itself cast as a diffusion process and we saw an example of this in section 2.5 with the Hull-White mean reverting model represented by equations (2.10) and (2.11):</w:t>
      </w:r>
    </w:p>
    <w:p>
      <w:pPr>
        <w:pStyle w:val="Normal"/>
        <w:rPr>
          <w:color w:val="auto"/>
        </w:rPr>
      </w:pPr>
      <w:r>
        <w:rPr>
          <w:color w:val="auto"/>
        </w:rPr>
      </w:r>
    </w:p>
    <w:p>
      <w:pPr>
        <w:pStyle w:val="Normal"/>
        <w:rPr/>
      </w:pPr>
      <w:r>
        <w:rPr>
          <w:color w:val="auto"/>
        </w:rPr>
        <w:t xml:space="preserve">As noted in the previous section, energy commodity price return distributions tend to be leptokurtic or fat tailed.  Some commodities, such as crude oil, also exhibit volatility clustering.  These behaviours are consistent with a process where the volatility at a given point in time depends on the past history of volatility; that is to say the volatility is autoregressive.  Such behaviour is not unique to energy prices but has been observed in many other economic and financial settings.  As a result, there is a large class of stochastic volatility models, widely used in the econometric community, which go by the generic name of Autoregressive Conditional Heteroskedastic or, less formidably, ARCH models.  First proposed by Engle (1982) to model </w:t>
      </w:r>
      <w:r>
        <w:rPr>
          <w:color w:val="FF00FF"/>
        </w:rPr>
        <w:t>price</w:t>
      </w:r>
      <w:r>
        <w:rPr>
          <w:color w:val="auto"/>
        </w:rPr>
        <w:t xml:space="preserve"> in inflation, ARCH models have been successfully applied in many different areas of finance such as interest rates, foreign exchange, and equities.  Variations on the basic concept are myriad and the literature on the subject is extensive.  See Bollerslev (1992) for a review.</w:t>
      </w:r>
    </w:p>
    <w:p>
      <w:pPr>
        <w:pStyle w:val="Normal"/>
        <w:rPr>
          <w:color w:val="auto"/>
        </w:rPr>
      </w:pPr>
      <w:r>
        <w:rPr>
          <w:color w:val="auto"/>
        </w:rPr>
      </w:r>
    </w:p>
    <w:p>
      <w:pPr>
        <w:pStyle w:val="Normal"/>
        <w:rPr>
          <w:color w:val="auto"/>
        </w:rPr>
      </w:pPr>
      <w:r>
        <w:rPr>
          <w:color w:val="auto"/>
        </w:rPr>
        <w:t>In ARCH models, asset price returns are written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y</m:t>
        </m:r>
        <m:r>
          <m:t xml:space="preserve">=</m:t>
        </m:r>
        <m:r>
          <m:rPr>
            <m:lit/>
            <m:nor/>
          </m:rPr>
          <m:t xml:space="preserve">ln</m:t>
        </m:r>
        <m:d>
          <m:dPr>
            <m:begChr m:val="("/>
            <m:endChr m:val=")"/>
          </m:dPr>
          <m:e>
            <m:f>
              <m:num>
                <m:sSub>
                  <m:e>
                    <m:r>
                      <m:t xml:space="preserve">S</m:t>
                    </m:r>
                  </m:e>
                  <m:sub>
                    <m:r>
                      <m:t xml:space="preserve">t</m:t>
                    </m:r>
                  </m:sub>
                </m:sSub>
              </m:num>
              <m:den>
                <m:sSub>
                  <m:e>
                    <m:r>
                      <m:t xml:space="preserve">S</m:t>
                    </m:r>
                  </m:e>
                  <m:sub>
                    <m:r>
                      <m:t xml:space="preserve">t</m:t>
                    </m:r>
                    <m:r>
                      <m:t xml:space="preserve">−</m:t>
                    </m:r>
                    <m:r>
                      <m:t xml:space="preserve">1</m:t>
                    </m:r>
                  </m:sub>
                </m:sSub>
              </m:den>
            </m:f>
          </m:e>
        </m:d>
        <m:r>
          <m:t xml:space="preserve">=</m:t>
        </m:r>
        <m:r>
          <m:t xml:space="preserve">k</m:t>
        </m:r>
        <m:r>
          <m:t xml:space="preserve">+</m:t>
        </m:r>
        <m:sSub>
          <m:e>
            <m:r>
              <m:t xml:space="preserve">u</m:t>
            </m:r>
          </m:e>
          <m:sub>
            <m:r>
              <m:t xml:space="preserve">t</m:t>
            </m:r>
          </m:sub>
        </m:sSub>
      </m:oMath>
      <w:r>
        <w:rPr>
          <w:color w:val="auto"/>
        </w:rPr>
        <w:tab/>
        <w:t>(3.13)</w:t>
      </w:r>
    </w:p>
    <w:p>
      <w:pPr>
        <w:pStyle w:val="Normal"/>
        <w:rPr>
          <w:color w:val="auto"/>
        </w:rPr>
      </w:pPr>
      <w:r>
        <w:rPr>
          <w:color w:val="auto"/>
        </w:rPr>
      </w:r>
    </w:p>
    <w:p>
      <w:pPr>
        <w:pStyle w:val="Normal"/>
        <w:rPr/>
      </w:pPr>
      <w:r>
        <w:rPr>
          <w:color w:val="auto"/>
        </w:rPr>
        <w:t xml:space="preserve">Where </w:t>
      </w:r>
      <w:r>
        <w:rPr>
          <w:i/>
          <w:color w:val="auto"/>
        </w:rPr>
        <w:t>k</w:t>
      </w:r>
      <w:r>
        <w:rPr>
          <w:color w:val="auto"/>
        </w:rPr>
        <w:t xml:space="preserve"> is a constant mean term, </w:t>
      </w:r>
      <w:r>
        <w:rPr>
          <w:color w:val="auto"/>
        </w:rPr>
      </w:r>
      <m:oMath xmlns:m="http://schemas.openxmlformats.org/officeDocument/2006/math">
        <m:sSub>
          <m:e>
            <m:r>
              <m:t xml:space="preserve">u</m:t>
            </m:r>
          </m:e>
          <m:sub>
            <m:r>
              <m:t xml:space="preserve">t</m:t>
            </m:r>
          </m:sub>
        </m:sSub>
        <m:r>
          <m:t xml:space="preserve">=</m:t>
        </m:r>
        <m:sSub>
          <m:e>
            <m:r>
              <m:t xml:space="preserve">σ</m:t>
            </m:r>
          </m:e>
          <m:sub>
            <m:r>
              <m:t xml:space="preserve">t</m:t>
            </m:r>
          </m:sub>
        </m:sSub>
        <m:sSub>
          <m:e>
            <m:r>
              <m:t xml:space="preserve">ε</m:t>
            </m:r>
          </m:e>
          <m:sub>
            <m:r>
              <m:t xml:space="preserve">t</m:t>
            </m:r>
          </m:sub>
        </m:sSub>
      </m:oMath>
      <w:r>
        <w:rPr>
          <w:color w:val="auto"/>
        </w:rPr>
        <w:t>, and</w:t>
      </w:r>
      <w:r>
        <w:rPr>
          <w:color w:val="auto"/>
        </w:rPr>
      </w:r>
      <m:oMath xmlns:m="http://schemas.openxmlformats.org/officeDocument/2006/math">
        <m:sSub>
          <m:e>
            <m:r>
              <m:t xml:space="preserve">ε</m:t>
            </m:r>
          </m:e>
          <m:sub>
            <m:r>
              <m:t xml:space="preserve">t</m:t>
            </m:r>
          </m:sub>
        </m:sSub>
      </m:oMath>
      <w:r>
        <w:rPr>
          <w:color w:val="auto"/>
        </w:rPr>
        <w:t>is a normally distributed random shock, that is to say</w:t>
      </w:r>
      <w:r>
        <w:rPr>
          <w:color w:val="auto"/>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auto"/>
        </w:rPr>
        <w:t xml:space="preserve">.  In econometrics, the term </w:t>
      </w:r>
      <w:r>
        <w:rPr>
          <w:i/>
          <w:color w:val="auto"/>
        </w:rPr>
        <w:t>u</w:t>
      </w:r>
      <w:r>
        <w:rPr>
          <w:i/>
          <w:color w:val="auto"/>
          <w:vertAlign w:val="subscript"/>
        </w:rPr>
        <w:t>t</w:t>
      </w:r>
      <w:r>
        <w:rPr>
          <w:color w:val="auto"/>
        </w:rPr>
        <w:t xml:space="preserve"> is referred to as the innovation at time </w:t>
      </w:r>
      <w:r>
        <w:rPr>
          <w:i/>
          <w:color w:val="auto"/>
        </w:rPr>
        <w:t>t</w:t>
      </w:r>
      <w:r>
        <w:rPr>
          <w:color w:val="auto"/>
        </w:rPr>
        <w:t xml:space="preserve">.  Now the essential feature of ARCH is to make the innovation variance at time </w:t>
      </w:r>
      <w:r>
        <w:rPr>
          <w:i/>
          <w:color w:val="auto"/>
        </w:rPr>
        <w:t>t</w:t>
      </w:r>
      <w:r>
        <w:rPr>
          <w:color w:val="auto"/>
        </w:rPr>
        <w:t xml:space="preserve"> conditional on previously realized innovations.  For example a ARCH(</w:t>
      </w:r>
      <w:r>
        <w:rPr>
          <w:i/>
          <w:color w:val="auto"/>
        </w:rPr>
        <w:t>q</w:t>
      </w:r>
      <w:r>
        <w:rPr>
          <w:color w:val="auto"/>
        </w:rPr>
        <w:t>) model would be represented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α</m:t>
            </m:r>
          </m:e>
          <m:sub>
            <m:r>
              <m:t xml:space="preserve">2</m:t>
            </m:r>
          </m:sub>
        </m:sSub>
        <m:sSubSup>
          <m:e>
            <m:r>
              <m:t xml:space="preserve">u</m:t>
            </m:r>
          </m:e>
          <m:sub>
            <m:r>
              <m:t xml:space="preserve">t</m:t>
            </m:r>
            <m:r>
              <m:t xml:space="preserve">−</m:t>
            </m:r>
            <m:r>
              <m:t xml:space="preserve">2</m:t>
            </m:r>
          </m:sub>
          <m:sup>
            <m:r>
              <m:t xml:space="preserve">2</m:t>
            </m:r>
          </m:sup>
        </m:sSubSup>
        <m:r>
          <m:t xml:space="preserve">+</m:t>
        </m:r>
        <m:r>
          <m:t xml:space="preserve">…</m:t>
        </m:r>
        <m:r>
          <m:t xml:space="preserve">+</m:t>
        </m:r>
        <m:sSub>
          <m:e>
            <m:r>
              <m:t xml:space="preserve">α</m:t>
            </m:r>
          </m:e>
          <m:sub>
            <m:r>
              <m:t xml:space="preserve">q</m:t>
            </m:r>
          </m:sub>
        </m:sSub>
        <m:sSubSup>
          <m:e>
            <m:r>
              <m:t xml:space="preserve">u</m:t>
            </m:r>
          </m:e>
          <m:sub>
            <m:r>
              <m:t xml:space="preserve">t</m:t>
            </m:r>
            <m:r>
              <m:t xml:space="preserve">−</m:t>
            </m:r>
            <m:r>
              <m:t xml:space="preserve">q</m:t>
            </m:r>
          </m:sub>
          <m:sup>
            <m:r>
              <m:t xml:space="preserve">2</m:t>
            </m:r>
          </m:sup>
        </m:sSubSup>
      </m:oMath>
      <w:r>
        <w:rPr>
          <w:color w:val="auto"/>
        </w:rPr>
        <w:tab/>
        <w:t>(3.14)</w:t>
      </w:r>
    </w:p>
    <w:p>
      <w:pPr>
        <w:pStyle w:val="Normal"/>
        <w:rPr>
          <w:color w:val="auto"/>
        </w:rPr>
      </w:pPr>
      <w:r>
        <w:rPr>
          <w:color w:val="auto"/>
        </w:rPr>
      </w:r>
    </w:p>
    <w:p>
      <w:pPr>
        <w:pStyle w:val="Normal"/>
        <w:rPr/>
      </w:pPr>
      <w:r>
        <w:rPr>
          <w:color w:val="auto"/>
        </w:rPr>
        <w:t xml:space="preserve">Equation (3.14) represents an autoregressive model of conditional volatility; hence the name ARCH.  The order of the equation, </w:t>
      </w:r>
      <w:r>
        <w:rPr>
          <w:i/>
          <w:color w:val="auto"/>
        </w:rPr>
        <w:t>q</w:t>
      </w:r>
      <w:r>
        <w:rPr>
          <w:color w:val="auto"/>
        </w:rPr>
        <w:t xml:space="preserve">, is of course arbitrary.  In practical applications however, models with several terms are often required in order to capture the “decaying memory” of volatility.  To incorporate this feature in a more parsimonious way, Bollerslev (1986) developed a generalized ARCH, or GARCH, model.  Here the variance equation includes both past innovations (of order </w:t>
      </w:r>
      <w:r>
        <w:rPr>
          <w:i/>
          <w:color w:val="auto"/>
        </w:rPr>
        <w:t>q</w:t>
      </w:r>
      <w:r>
        <w:rPr>
          <w:color w:val="auto"/>
        </w:rPr>
        <w:t xml:space="preserve">) and past conditional variances (of order </w:t>
      </w:r>
      <w:r>
        <w:rPr>
          <w:i/>
          <w:color w:val="auto"/>
        </w:rPr>
        <w:t>p</w:t>
      </w:r>
      <w:r>
        <w:rPr>
          <w:color w:val="auto"/>
        </w:rPr>
        <w:t>), termed a GARCH(</w:t>
      </w:r>
      <w:r>
        <w:rPr>
          <w:i/>
          <w:color w:val="auto"/>
        </w:rPr>
        <w:t>p</w:t>
      </w:r>
      <w:r>
        <w:rPr>
          <w:color w:val="auto"/>
        </w:rPr>
        <w:t xml:space="preserve">, </w:t>
      </w:r>
      <w:r>
        <w:rPr>
          <w:i/>
          <w:color w:val="auto"/>
        </w:rPr>
        <w:t>q</w:t>
      </w:r>
      <w:r>
        <w:rPr>
          <w:color w:val="auto"/>
        </w:rPr>
        <w:t>) model;</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nary>
          <m:naryPr>
            <m:chr m:val="∑"/>
          </m:naryPr>
          <m:sub>
            <m:r>
              <m:t xml:space="preserve">i</m:t>
            </m:r>
            <m:r>
              <m:t xml:space="preserve">=</m:t>
            </m:r>
            <m:r>
              <m:t xml:space="preserve">1</m:t>
            </m:r>
          </m:sub>
          <m:sup>
            <m:r>
              <m:t xml:space="preserve">q</m:t>
            </m:r>
          </m:sup>
          <m:e>
            <m:sSub>
              <m:e>
                <m:r>
                  <m:t xml:space="preserve">α</m:t>
                </m:r>
              </m:e>
              <m:sub>
                <m:r>
                  <m:t xml:space="preserve">i</m:t>
                </m:r>
              </m:sub>
            </m:sSub>
            <m:sSubSup>
              <m:e>
                <m:r>
                  <m:t xml:space="preserve">u</m:t>
                </m:r>
              </m:e>
              <m:sub>
                <m:r>
                  <m:t xml:space="preserve">t</m:t>
                </m:r>
                <m:r>
                  <m:t xml:space="preserve">−</m:t>
                </m:r>
                <m:r>
                  <m:t xml:space="preserve">i</m:t>
                </m:r>
              </m:sub>
              <m:sup>
                <m:r>
                  <m:t xml:space="preserve">2</m:t>
                </m:r>
              </m:sup>
            </m:sSubSup>
          </m:e>
        </m:nary>
        <m:r>
          <m:t xml:space="preserve">+</m:t>
        </m:r>
        <m:nary>
          <m:naryPr>
            <m:chr m:val="∑"/>
          </m:naryPr>
          <m:sub>
            <m:r>
              <m:t xml:space="preserve">i</m:t>
            </m:r>
            <m:r>
              <m:t xml:space="preserve">=</m:t>
            </m:r>
            <m:r>
              <m:t xml:space="preserve">1</m:t>
            </m:r>
          </m:sub>
          <m:sup>
            <m:r>
              <m:t xml:space="preserve">p</m:t>
            </m:r>
          </m:sup>
          <m:e>
            <m:sSub>
              <m:e>
                <m:r>
                  <m:t xml:space="preserve">β</m:t>
                </m:r>
              </m:e>
              <m:sub>
                <m:r>
                  <m:t xml:space="preserve">i</m:t>
                </m:r>
              </m:sub>
            </m:sSub>
            <m:sSubSup>
              <m:e>
                <m:r>
                  <m:t xml:space="preserve">σ</m:t>
                </m:r>
              </m:e>
              <m:sub>
                <m:r>
                  <m:t xml:space="preserve">t</m:t>
                </m:r>
                <m:r>
                  <m:t xml:space="preserve">−</m:t>
                </m:r>
                <m:r>
                  <m:t xml:space="preserve">i</m:t>
                </m:r>
              </m:sub>
              <m:sup>
                <m:r>
                  <m:t xml:space="preserve">2</m:t>
                </m:r>
              </m:sup>
            </m:sSubSup>
          </m:e>
        </m:nary>
      </m:oMath>
      <w:r>
        <w:rPr>
          <w:color w:val="auto"/>
        </w:rPr>
        <w:tab/>
        <w:t>(3.15)</w:t>
      </w:r>
    </w:p>
    <w:p>
      <w:pPr>
        <w:pStyle w:val="Normal"/>
        <w:rPr>
          <w:color w:val="auto"/>
        </w:rPr>
      </w:pPr>
      <w:r>
        <w:rPr>
          <w:color w:val="auto"/>
        </w:rPr>
      </w:r>
    </w:p>
    <w:p>
      <w:pPr>
        <w:pStyle w:val="Normal"/>
        <w:rPr/>
      </w:pPr>
      <w:r>
        <w:rPr>
          <w:color w:val="auto"/>
        </w:rPr>
        <w:t xml:space="preserve">Note that because the equation is recursive in variance, </w:t>
      </w:r>
      <w:r>
        <w:rPr>
          <w:rFonts w:eastAsia="Symbol" w:cs="Symbol" w:ascii="Symbol" w:hAnsi="Symbol"/>
          <w:color w:val="auto"/>
        </w:rPr>
        <w:sym w:font="Symbol" w:char="f073"/>
      </w:r>
      <w:r>
        <w:rPr>
          <w:i/>
          <w:color w:val="auto"/>
          <w:vertAlign w:val="subscript"/>
        </w:rPr>
        <w:t>t</w:t>
      </w:r>
      <w:r>
        <w:rPr>
          <w:color w:val="auto"/>
        </w:rPr>
        <w:t xml:space="preserve"> will effectively depend on all innovations.  As a result, a GARCH model with few terms will often fit a data set as well as an ARCH model of much higher order.  In practice, a first order GARCH(1,1) is often quite adequate.</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β</m:t>
            </m:r>
          </m:e>
          <m:sub>
            <m:r>
              <m:t xml:space="preserve">1</m:t>
            </m:r>
          </m:sub>
        </m:sSub>
        <m:sSubSup>
          <m:e>
            <m:r>
              <m:t xml:space="preserve">σ</m:t>
            </m:r>
          </m:e>
          <m:sub>
            <m:r>
              <m:t xml:space="preserve">t</m:t>
            </m:r>
            <m:r>
              <m:t xml:space="preserve">−</m:t>
            </m:r>
            <m:r>
              <m:t xml:space="preserve">1</m:t>
            </m:r>
          </m:sub>
          <m:sup>
            <m:r>
              <m:t xml:space="preserve">2</m:t>
            </m:r>
          </m:sup>
        </m:sSubSup>
      </m:oMath>
      <w:r>
        <w:rPr>
          <w:color w:val="auto"/>
        </w:rPr>
        <w:tab/>
        <w:t>(3.16)</w:t>
      </w:r>
    </w:p>
    <w:p>
      <w:pPr>
        <w:pStyle w:val="Normal"/>
        <w:rPr>
          <w:color w:val="auto"/>
        </w:rPr>
      </w:pPr>
      <w:r>
        <w:rPr>
          <w:color w:val="auto"/>
        </w:rPr>
      </w:r>
    </w:p>
    <w:p>
      <w:pPr>
        <w:pStyle w:val="Normal"/>
        <w:rPr>
          <w:color w:val="auto"/>
        </w:rPr>
      </w:pPr>
      <w:r>
        <w:rPr>
          <w:color w:val="auto"/>
        </w:rPr>
        <w:t>By expanding the recursive terms in equation (3.16) we see that it is indeed equivalent to a simple sum of past innovations with a geometrical weighting of the terms.</w:t>
      </w:r>
    </w:p>
    <w:p>
      <w:pPr>
        <w:pStyle w:val="Normal"/>
        <w:rPr>
          <w:color w:val="auto"/>
        </w:rPr>
      </w:pPr>
      <w:r>
        <w:rPr>
          <w:color w:val="auto"/>
        </w:rPr>
      </w:r>
      <w:bookmarkStart w:id="3" w:name="_Ref486089347"/>
      <w:bookmarkStart w:id="4" w:name="_Ref486089347"/>
      <w:bookmarkEnd w:id="4"/>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f>
          <m:num>
            <m:sSub>
              <m:e>
                <m:r>
                  <m:t xml:space="preserve">α</m:t>
                </m:r>
              </m:e>
              <m:sub>
                <m:r>
                  <m:t xml:space="preserve">0</m:t>
                </m:r>
              </m:sub>
            </m:sSub>
          </m:num>
          <m:den>
            <m:r>
              <m:t xml:space="preserve">1</m:t>
            </m:r>
            <m:r>
              <m:t xml:space="preserve">−</m:t>
            </m:r>
            <m:sSub>
              <m:e>
                <m:r>
                  <m:t xml:space="preserve">β</m:t>
                </m:r>
              </m:e>
              <m:sub>
                <m:r>
                  <m:t xml:space="preserve">1</m:t>
                </m:r>
              </m:sub>
            </m:sSub>
          </m:den>
        </m:f>
        <m:r>
          <m:t xml:space="preserve">+</m:t>
        </m:r>
        <m:nary>
          <m:naryPr>
            <m:chr m:val="∑"/>
          </m:naryPr>
          <m:sub>
            <m:r>
              <m:t xml:space="preserve">i</m:t>
            </m:r>
            <m:r>
              <m:t xml:space="preserve">=</m:t>
            </m:r>
            <m:r>
              <m:t xml:space="preserve">1</m:t>
            </m:r>
          </m:sub>
          <m:sup>
            <m:r>
              <m:t xml:space="preserve">∞</m:t>
            </m:r>
          </m:sup>
          <m:e>
            <m:sSub>
              <m:e>
                <m:r>
                  <m:t xml:space="preserve">α</m:t>
                </m:r>
              </m:e>
              <m:sub>
                <m:r>
                  <m:t xml:space="preserve">1</m:t>
                </m:r>
              </m:sub>
            </m:sSub>
            <m:sSubSup>
              <m:e>
                <m:r>
                  <m:t xml:space="preserve">β</m:t>
                </m:r>
              </m:e>
              <m:sub>
                <m:r>
                  <m:t xml:space="preserve">1</m:t>
                </m:r>
              </m:sub>
              <m:sup>
                <m:r>
                  <m:t xml:space="preserve">i</m:t>
                </m:r>
                <m:r>
                  <m:t xml:space="preserve">−</m:t>
                </m:r>
                <m:r>
                  <m:t xml:space="preserve">1</m:t>
                </m:r>
              </m:sup>
            </m:sSubSup>
            <m:sSubSup>
              <m:e>
                <m:r>
                  <m:t xml:space="preserve">u</m:t>
                </m:r>
              </m:e>
              <m:sub>
                <m:r>
                  <m:t xml:space="preserve">t</m:t>
                </m:r>
                <m:r>
                  <m:t xml:space="preserve">−</m:t>
                </m:r>
                <m:r>
                  <m:t xml:space="preserve">i</m:t>
                </m:r>
              </m:sub>
              <m:sup>
                <m:r>
                  <m:t xml:space="preserve">2</m:t>
                </m:r>
              </m:sup>
            </m:sSubSup>
          </m:e>
        </m:nary>
      </m:oMath>
      <w:r>
        <w:rPr>
          <w:color w:val="auto"/>
        </w:rPr>
        <w:t xml:space="preserve">     if </w:t>
      </w:r>
      <w:r>
        <w:rPr>
          <w:rFonts w:eastAsia="Symbol" w:cs="Symbol" w:ascii="Symbol" w:hAnsi="Symbol"/>
          <w:color w:val="auto"/>
        </w:rPr>
        <w:sym w:font="Symbol" w:char="f062"/>
      </w:r>
      <w:r>
        <w:rPr>
          <w:color w:val="auto"/>
          <w:vertAlign w:val="subscript"/>
        </w:rPr>
        <w:t>1</w:t>
      </w:r>
      <w:r>
        <w:rPr>
          <w:color w:val="auto"/>
        </w:rPr>
        <w:t xml:space="preserve"> &lt; 1.</w:t>
        <w:tab/>
        <w:t>(3.17)</w:t>
      </w:r>
    </w:p>
    <w:p>
      <w:pPr>
        <w:pStyle w:val="Normal"/>
        <w:rPr>
          <w:color w:val="auto"/>
        </w:rPr>
      </w:pPr>
      <w:r>
        <w:rPr>
          <w:color w:val="auto"/>
        </w:rPr>
      </w:r>
      <w:bookmarkStart w:id="5" w:name="_Ref486089347"/>
      <w:bookmarkStart w:id="6" w:name="_Ref486089347"/>
      <w:bookmarkEnd w:id="6"/>
    </w:p>
    <w:p>
      <w:pPr>
        <w:pStyle w:val="Normal"/>
        <w:rPr>
          <w:color w:val="auto"/>
        </w:rPr>
      </w:pPr>
      <w:r>
        <w:rPr>
          <w:color w:val="auto"/>
        </w:rPr>
        <w:t>Figure 3.2 shows an example of a spot price process with GARCH volatility and clearly shows periods of relative high and low volatility.</w:t>
      </w:r>
    </w:p>
    <w:p>
      <w:pPr>
        <w:pStyle w:val="Normal"/>
        <w:rPr>
          <w:color w:val="auto"/>
        </w:rPr>
      </w:pPr>
      <w:r>
        <w:rPr>
          <w:color w:val="auto"/>
        </w:rPr>
      </w:r>
    </w:p>
    <w:p>
      <w:pPr>
        <w:pStyle w:val="Heading4"/>
        <w:ind w:hanging="270" w:end="0"/>
        <w:jc w:val="center"/>
        <w:rPr>
          <w:color w:val="auto"/>
        </w:rPr>
      </w:pPr>
      <w:bookmarkStart w:id="7" w:name="_Ref486047388"/>
      <w:r>
        <w:rPr>
          <w:color w:val="auto"/>
        </w:rPr>
        <w:t>Figure 3.2</w:t>
      </w:r>
      <w:bookmarkEnd w:id="7"/>
      <w:r>
        <w:rPr>
          <w:color w:val="auto"/>
        </w:rPr>
        <w:t xml:space="preserve"> GARCH(1,1) Model Price Process and 30-day Rolling Annualized Volatility</w:t>
      </w:r>
    </w:p>
    <w:p>
      <w:pPr>
        <w:pStyle w:val="Heading4"/>
        <w:jc w:val="center"/>
        <w:rPr>
          <w:color w:val="auto"/>
        </w:rPr>
      </w:pPr>
      <w:r>
        <w:rPr>
          <w:color w:val="auto"/>
        </w:rPr>
        <w:t>(</w:t>
      </w:r>
      <w:r>
        <w:rPr>
          <w:rFonts w:eastAsia="Symbol" w:cs="Symbol" w:ascii="Symbol" w:hAnsi="Symbol"/>
          <w:color w:val="auto"/>
        </w:rPr>
        <w:sym w:font="Symbol" w:char="f061"/>
      </w:r>
      <w:r>
        <w:rPr>
          <w:color w:val="auto"/>
          <w:vertAlign w:val="subscript"/>
        </w:rPr>
        <w:t>0</w:t>
      </w:r>
      <w:r>
        <w:rPr>
          <w:color w:val="auto"/>
        </w:rPr>
        <w:t xml:space="preserve">=0.0006, </w:t>
      </w:r>
      <w:r>
        <w:rPr>
          <w:rFonts w:eastAsia="Symbol" w:cs="Symbol" w:ascii="Symbol" w:hAnsi="Symbol"/>
          <w:color w:val="auto"/>
        </w:rPr>
        <w:sym w:font="Symbol" w:char="f061"/>
      </w:r>
      <w:r>
        <w:rPr>
          <w:color w:val="auto"/>
          <w:vertAlign w:val="subscript"/>
        </w:rPr>
        <w:t>1</w:t>
      </w:r>
      <w:r>
        <w:rPr>
          <w:color w:val="auto"/>
        </w:rPr>
        <w:t xml:space="preserve"> = 0.30, </w:t>
      </w:r>
      <w:r>
        <w:rPr>
          <w:rFonts w:eastAsia="Symbol" w:cs="Symbol" w:ascii="Symbol" w:hAnsi="Symbol"/>
          <w:color w:val="auto"/>
        </w:rPr>
        <w:sym w:font="Symbol" w:char="f062"/>
      </w:r>
      <w:r>
        <w:rPr>
          <w:color w:val="auto"/>
          <w:vertAlign w:val="subscript"/>
        </w:rPr>
        <w:t>1</w:t>
      </w:r>
      <w:r>
        <w:rPr>
          <w:color w:val="auto"/>
        </w:rPr>
        <w:t>=0.60)</w:t>
      </w:r>
    </w:p>
    <w:p>
      <w:pPr>
        <w:pStyle w:val="Normal"/>
        <w:jc w:val="center"/>
        <w:rPr>
          <w:color w:val="auto"/>
        </w:rPr>
      </w:pPr>
      <w:bookmarkStart w:id="8" w:name="_1023543793"/>
      <w:bookmarkStart w:id="9" w:name="_1022918364"/>
      <w:bookmarkEnd w:id="8"/>
      <w:bookmarkEnd w:id="9"/>
      <w:r>
        <w:rPr>
          <w:color w:val="auto"/>
        </w:rPr>
        <w:object w:dxaOrig="14081" w:dyaOrig="947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4.35pt;height:256.3pt" filled="f" o:ole="">
            <v:imagedata r:id="rId5" o:title=""/>
          </v:shape>
          <o:OLEObject Type="Embed" ProgID="Excel.Sheet.12" ShapeID="ole_rId4" DrawAspect="Content" ObjectID="_1647887651" r:id="rId4"/>
        </w:object>
      </w:r>
    </w:p>
    <w:p>
      <w:pPr>
        <w:pStyle w:val="Normal"/>
        <w:rPr>
          <w:color w:val="auto"/>
        </w:rPr>
      </w:pPr>
      <w:r>
        <w:rPr>
          <w:color w:val="auto"/>
        </w:rPr>
      </w:r>
    </w:p>
    <w:p>
      <w:pPr>
        <w:pStyle w:val="Normal"/>
        <w:rPr/>
      </w:pPr>
      <w:r>
        <w:rPr>
          <w:color w:val="auto"/>
        </w:rPr>
        <w:t xml:space="preserve">Figure 3.3 shows the frequency distribution of returns together with a superimposed normal distribution fitted from the data.  The superimposed normal distribution has a mean and standard deviation that are derived from the log return data.  As expected, the GARCH model is leptokurtic. </w:t>
      </w:r>
    </w:p>
    <w:p>
      <w:pPr>
        <w:pStyle w:val="Normal"/>
        <w:rPr>
          <w:color w:val="auto"/>
        </w:rPr>
      </w:pPr>
      <w:r>
        <w:rPr>
          <w:color w:val="auto"/>
        </w:rPr>
      </w:r>
    </w:p>
    <w:p>
      <w:pPr>
        <w:pStyle w:val="Heading4"/>
        <w:jc w:val="center"/>
        <w:rPr>
          <w:color w:val="auto"/>
        </w:rPr>
      </w:pPr>
      <w:bookmarkStart w:id="10" w:name="_Ref486047404"/>
      <w:r>
        <w:rPr>
          <w:color w:val="auto"/>
        </w:rPr>
        <w:t>Figure 3.3</w:t>
      </w:r>
      <w:bookmarkEnd w:id="10"/>
      <w:r>
        <w:rPr>
          <w:color w:val="auto"/>
        </w:rPr>
        <w:t xml:space="preserve"> Frequency Histogram of the Log Daily Price Returns</w:t>
      </w:r>
    </w:p>
    <w:p>
      <w:pPr>
        <w:pStyle w:val="Normal"/>
        <w:jc w:val="center"/>
        <w:rPr>
          <w:color w:val="auto"/>
        </w:rPr>
      </w:pPr>
      <w:bookmarkStart w:id="11" w:name="_1022917143"/>
      <w:bookmarkStart w:id="12" w:name="_1022917110"/>
      <w:bookmarkEnd w:id="11"/>
      <w:bookmarkEnd w:id="12"/>
      <w:r>
        <w:rPr>
          <w:color w:val="auto"/>
        </w:rPr>
        <w:object w:dxaOrig="15360" w:dyaOrig="1177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54.75pt;height:254.85pt" filled="f" o:ole="">
            <v:imagedata r:id="rId7" o:title=""/>
          </v:shape>
          <o:OLEObject Type="Embed" ProgID="Excel.Sheet.12" ShapeID="ole_rId6" DrawAspect="Content" ObjectID="_1667028841" r:id="rId6"/>
        </w:object>
      </w:r>
    </w:p>
    <w:p>
      <w:pPr>
        <w:pStyle w:val="Normal"/>
        <w:rPr>
          <w:color w:val="auto"/>
        </w:rPr>
      </w:pPr>
      <w:r>
        <w:rPr>
          <w:color w:val="auto"/>
        </w:rPr>
      </w:r>
    </w:p>
    <w:p>
      <w:pPr>
        <w:pStyle w:val="Normal"/>
        <w:rPr/>
      </w:pPr>
      <w:r>
        <w:rPr>
          <w:color w:val="FF00FF"/>
        </w:rPr>
        <w:t>One of the criticisms</w:t>
      </w:r>
      <w:r>
        <w:rPr>
          <w:color w:val="auto"/>
        </w:rPr>
        <w:t xml:space="preserve"> of GARCH models has been their symmetry with respect to price movements. A GARCH model is necessarily symmetric; high volatility is associated with large price movements to both the up- and down side.  In many financial markets, including energy commodities, the empirical evidence suggests asymmetrical volatility clustering.  This has led to proposals of nonlinear extensions to GARCH, which attempt to capture this asymmetry.  Exponential GARCH or EGARCH, suggested by Nelson (1991), is one example, and can be represented by the following equation;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ln</m:t>
        </m:r>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r>
          <m:t xml:space="preserve">β</m:t>
        </m:r>
        <m:d>
          <m:dPr>
            <m:begChr m:val="|"/>
            <m:endChr m:val="|"/>
          </m:dPr>
          <m:e>
            <m:sSubSup>
              <m:e>
                <m:r>
                  <m:t xml:space="preserve">u</m:t>
                </m:r>
              </m:e>
              <m:sub>
                <m:r>
                  <m:t xml:space="preserve">t</m:t>
                </m:r>
                <m:r>
                  <m:t xml:space="preserve">−</m:t>
                </m:r>
                <m:r>
                  <m:t xml:space="preserve">1</m:t>
                </m:r>
              </m:sub>
              <m:sup>
                <m:r>
                  <m:t xml:space="preserve">2</m:t>
                </m:r>
              </m:sup>
            </m:sSubSup>
          </m:e>
        </m:d>
        <m:r>
          <m:t xml:space="preserve">+</m:t>
        </m:r>
        <m:r>
          <m:t xml:space="preserve">γ</m:t>
        </m:r>
        <m:r>
          <m:rPr>
            <m:lit/>
            <m:nor/>
          </m:rPr>
          <m:t xml:space="preserve">ln</m:t>
        </m:r>
        <m:sSubSup>
          <m:e>
            <m:r>
              <m:t xml:space="preserve">σ</m:t>
            </m:r>
          </m:e>
          <m:sub>
            <m:r>
              <m:t xml:space="preserve">t</m:t>
            </m:r>
            <m:r>
              <m:t xml:space="preserve">−</m:t>
            </m:r>
            <m:r>
              <m:t xml:space="preserve">1</m:t>
            </m:r>
          </m:sub>
          <m:sup>
            <m:r>
              <m:t xml:space="preserve">2</m:t>
            </m:r>
          </m:sup>
        </m:sSubSup>
      </m:oMath>
      <w:r>
        <w:rPr>
          <w:color w:val="auto"/>
        </w:rPr>
        <w:tab/>
        <w:t>(3.18)</w:t>
      </w:r>
    </w:p>
    <w:p>
      <w:pPr>
        <w:pStyle w:val="Normal"/>
        <w:rPr>
          <w:color w:val="auto"/>
        </w:rPr>
      </w:pPr>
      <w:r>
        <w:rPr>
          <w:color w:val="auto"/>
        </w:rPr>
      </w:r>
    </w:p>
    <w:p>
      <w:pPr>
        <w:pStyle w:val="Heading3"/>
        <w:ind w:hanging="0" w:start="0"/>
        <w:rPr>
          <w:color w:val="auto"/>
        </w:rPr>
      </w:pPr>
      <w:r>
        <w:rPr>
          <w:color w:val="auto"/>
        </w:rPr>
        <w:t>3.4.1</w:t>
        <w:tab/>
        <w:t>Estimation and Testing</w:t>
      </w:r>
    </w:p>
    <w:p>
      <w:pPr>
        <w:pStyle w:val="Normal"/>
        <w:rPr>
          <w:color w:val="auto"/>
        </w:rPr>
      </w:pPr>
      <w:r>
        <w:rPr>
          <w:color w:val="auto"/>
        </w:rPr>
      </w:r>
    </w:p>
    <w:p>
      <w:pPr>
        <w:pStyle w:val="Normal"/>
        <w:rPr>
          <w:color w:val="auto"/>
        </w:rPr>
      </w:pPr>
      <w:r>
        <w:rPr>
          <w:color w:val="auto"/>
        </w:rPr>
        <w:t>Once a model is chosen as a hypothesis for a given price behaviour, the parameters for that model must be estimated.  Usually this is done using historical data, but, as we have seen, because the practitioner is almost always more interested in future price behaviour, it is better to use forward looking information to the extent possible to calibrate the model. In addition to parameter estimation, an equally important and often times more difficult task is testing how well the proposed model fits the data. This usually means using the statistical properties of a proposed model to determine how probable it is that such a model could have generated the observed data.  While there are well-established tests for many of the simpler models, tests for more complicated models such as ARCH and GARCH are less well defined and are the subject of much academic research.</w:t>
      </w:r>
    </w:p>
    <w:p>
      <w:pPr>
        <w:pStyle w:val="Normal"/>
        <w:rPr>
          <w:color w:val="auto"/>
        </w:rPr>
      </w:pPr>
      <w:r>
        <w:rPr>
          <w:color w:val="auto"/>
        </w:rPr>
      </w:r>
    </w:p>
    <w:p>
      <w:pPr>
        <w:pStyle w:val="Normal"/>
        <w:rPr>
          <w:color w:val="auto"/>
        </w:rPr>
      </w:pPr>
      <w:r>
        <w:rPr>
          <w:color w:val="auto"/>
        </w:rPr>
        <w:t>The fields of estimation and testing techniques are vast, representing core subjects in statistics and econometrics. By necessity we will be brief in this section, concentrating only on the essential aspects of estimation as it relates to energy commodity price modelling. Any reader faced with the task of estimating price processes, and who is unfamiliar with econometrics, can consult one of the many textbooks on the subject, for example Greene (1997) and Davidson and MacKinnon (1993).</w:t>
      </w:r>
    </w:p>
    <w:p>
      <w:pPr>
        <w:pStyle w:val="Normal"/>
        <w:rPr>
          <w:color w:val="auto"/>
        </w:rPr>
      </w:pPr>
      <w:r>
        <w:rPr>
          <w:color w:val="auto"/>
        </w:rPr>
      </w:r>
    </w:p>
    <w:p>
      <w:pPr>
        <w:pStyle w:val="Normal"/>
        <w:rPr/>
      </w:pPr>
      <w:r>
        <w:rPr>
          <w:color w:val="auto"/>
        </w:rPr>
        <w:t xml:space="preserve">As we shall see in a moment, there is more to parameter estimation than simply running regressions.  There are an infinite number of possible estimators for a given model parameter: </w:t>
      </w:r>
      <w:r>
        <w:rPr>
          <w:color w:val="FF00FF"/>
        </w:rPr>
        <w:t>an arbitrary number, 42</w:t>
      </w:r>
      <w:r>
        <w:rPr>
          <w:color w:val="auto"/>
        </w:rPr>
        <w:t xml:space="preserve"> for example, is a perfectly acceptable estimator of the mean of a price process; it is simply not very accurate, and hence not very useful.  Two properties, bias and efficiency define the usefulness of a parameter estimator. An </w:t>
      </w:r>
      <w:r>
        <w:rPr>
          <w:color w:val="FF00FF"/>
        </w:rPr>
        <w:t>estimator</w:t>
      </w:r>
      <w:r>
        <w:rPr>
          <w:color w:val="auto"/>
        </w:rPr>
        <w:t xml:space="preserve"> of a parameter is a random number with a mean and variance.  Clearly, we would like our measurement to be “the best guess” possible of the actual parameter value.  In other words, if </w:t>
      </w:r>
      <w:r>
        <w:rPr>
          <w:rFonts w:eastAsia="Symbol" w:cs="Symbol" w:ascii="Symbol" w:hAnsi="Symbol"/>
          <w:color w:val="auto"/>
        </w:rPr>
        <w:sym w:font="Symbol" w:char="f071"/>
      </w:r>
      <w:r>
        <w:rPr>
          <w:color w:val="auto"/>
        </w:rPr>
        <w:t xml:space="preserve"> is the estimate of the true value </w:t>
      </w:r>
      <w:r>
        <w:rPr>
          <w:rFonts w:eastAsia="Symbol" w:cs="Symbol" w:ascii="Symbol" w:hAnsi="Symbol"/>
          <w:color w:val="auto"/>
        </w:rPr>
        <w:sym w:font="Symbol" w:char="f051"/>
      </w:r>
      <w:r>
        <w:rPr>
          <w:color w:val="auto"/>
        </w:rPr>
        <w:t xml:space="preserve">, then it is desirable that </w:t>
      </w:r>
      <w:r>
        <w:rPr>
          <w:i/>
          <w:color w:val="auto"/>
        </w:rPr>
        <w:t>E</w:t>
      </w:r>
      <w:r>
        <w:rPr>
          <w:color w:val="auto"/>
        </w:rPr>
        <w:t>[</w:t>
      </w:r>
      <w:r>
        <w:rPr>
          <w:rFonts w:eastAsia="Symbol" w:cs="Symbol" w:ascii="Symbol" w:hAnsi="Symbol"/>
          <w:color w:val="auto"/>
        </w:rPr>
        <w:sym w:font="Symbol" w:char="f071"/>
      </w:r>
      <w:r>
        <w:rPr>
          <w:color w:val="auto"/>
        </w:rPr>
        <w:t xml:space="preserve"> - </w:t>
      </w:r>
      <w:r>
        <w:rPr>
          <w:rFonts w:eastAsia="Symbol" w:cs="Symbol" w:ascii="Symbol" w:hAnsi="Symbol"/>
          <w:color w:val="auto"/>
        </w:rPr>
        <w:sym w:font="Symbol" w:char="f051"/>
      </w:r>
      <w:r>
        <w:rPr>
          <w:color w:val="auto"/>
        </w:rPr>
        <w:t>] = 0.  An estimator is said to be unbiased if this property holds.</w:t>
      </w:r>
    </w:p>
    <w:p>
      <w:pPr>
        <w:pStyle w:val="Normal"/>
        <w:rPr>
          <w:color w:val="auto"/>
        </w:rPr>
      </w:pPr>
      <w:r>
        <w:rPr>
          <w:color w:val="auto"/>
        </w:rPr>
      </w:r>
    </w:p>
    <w:p>
      <w:pPr>
        <w:pStyle w:val="Normal"/>
        <w:rPr/>
      </w:pPr>
      <w:r>
        <w:rPr>
          <w:color w:val="auto"/>
        </w:rPr>
        <w:t xml:space="preserve">Similarly, it is preferable to have an estimate with the smallest possible variance.  For example, let </w:t>
      </w:r>
      <w:r>
        <w:rPr>
          <w:rFonts w:eastAsia="Symbol" w:cs="Symbol" w:ascii="Symbol" w:hAnsi="Symbol"/>
          <w:i/>
          <w:color w:val="auto"/>
        </w:rPr>
        <w:sym w:font="Symbol" w:char="f071"/>
      </w:r>
      <w:r>
        <w:rPr>
          <w:color w:val="auto"/>
          <w:vertAlign w:val="subscript"/>
        </w:rPr>
        <w:t xml:space="preserve">1 </w:t>
      </w:r>
      <w:r>
        <w:rPr>
          <w:color w:val="auto"/>
        </w:rPr>
        <w:t xml:space="preserve">be the average of the sum of every fourth price in a time series.  This is an entirely acceptable and unbiased estimate of the mean price.  However, the variance of </w:t>
      </w:r>
      <w:r>
        <w:rPr>
          <w:rFonts w:eastAsia="Symbol" w:cs="Symbol" w:ascii="Symbol" w:hAnsi="Symbol"/>
          <w:i/>
          <w:color w:val="auto"/>
        </w:rPr>
        <w:sym w:font="Symbol" w:char="f071"/>
      </w:r>
      <w:r>
        <w:rPr>
          <w:color w:val="auto"/>
          <w:vertAlign w:val="subscript"/>
        </w:rPr>
        <w:t xml:space="preserve">1 </w:t>
      </w:r>
      <w:r>
        <w:rPr>
          <w:color w:val="auto"/>
        </w:rPr>
        <w:t xml:space="preserve">is twice as large as that of the estimate </w:t>
      </w:r>
      <w:r>
        <w:rPr>
          <w:rFonts w:eastAsia="Symbol" w:cs="Symbol" w:ascii="Symbol" w:hAnsi="Symbol"/>
          <w:i/>
          <w:color w:val="auto"/>
        </w:rPr>
        <w:sym w:font="Symbol" w:char="f071"/>
      </w:r>
      <w:r>
        <w:rPr>
          <w:color w:val="auto"/>
          <w:vertAlign w:val="subscript"/>
        </w:rPr>
        <w:t>2</w:t>
      </w:r>
      <w:r>
        <w:rPr>
          <w:color w:val="auto"/>
        </w:rPr>
        <w:t xml:space="preserve"> derived from taking the average of the sum of every price.  Clearly, </w:t>
      </w:r>
      <w:r>
        <w:rPr>
          <w:rFonts w:eastAsia="Symbol" w:cs="Symbol" w:ascii="Symbol" w:hAnsi="Symbol"/>
          <w:i/>
          <w:color w:val="auto"/>
        </w:rPr>
        <w:sym w:font="Symbol" w:char="f071"/>
      </w:r>
      <w:r>
        <w:rPr>
          <w:color w:val="auto"/>
          <w:vertAlign w:val="subscript"/>
        </w:rPr>
        <w:t>2</w:t>
      </w:r>
      <w:r>
        <w:rPr>
          <w:color w:val="auto"/>
        </w:rPr>
        <w:t xml:space="preserve"> is more “efficient” than </w:t>
      </w:r>
      <w:r>
        <w:rPr>
          <w:rFonts w:eastAsia="Symbol" w:cs="Symbol" w:ascii="Symbol" w:hAnsi="Symbol"/>
          <w:i/>
          <w:color w:val="auto"/>
        </w:rPr>
        <w:sym w:font="Symbol" w:char="f071"/>
      </w:r>
      <w:r>
        <w:rPr>
          <w:color w:val="auto"/>
          <w:vertAlign w:val="subscript"/>
        </w:rPr>
        <w:t xml:space="preserve">1 </w:t>
      </w:r>
      <w:r>
        <w:rPr>
          <w:color w:val="auto"/>
        </w:rPr>
        <w:t xml:space="preserve">because, </w:t>
      </w:r>
      <w:r>
        <w:rPr>
          <w:color w:val="auto"/>
        </w:rPr>
      </w:r>
      <m:oMath xmlns:m="http://schemas.openxmlformats.org/officeDocument/2006/math">
        <m:r>
          <m:t xml:space="preserve">E</m:t>
        </m:r>
        <m:d>
          <m:dPr>
            <m:begChr m:val="("/>
            <m:endChr m:val=")"/>
          </m:dPr>
          <m:e>
            <m:sSubSup>
              <m:e>
                <m:r>
                  <m:t xml:space="preserve">θ</m:t>
                </m:r>
              </m:e>
              <m:sub>
                <m:r>
                  <m:t xml:space="preserve">1</m:t>
                </m:r>
              </m:sub>
              <m:sup>
                <m:r>
                  <m:t xml:space="preserve">2</m:t>
                </m:r>
              </m:sup>
            </m:sSubSup>
          </m:e>
        </m:d>
        <m:r>
          <m:t xml:space="preserve">&gt;</m:t>
        </m:r>
        <m:r>
          <m:t xml:space="preserve">E</m:t>
        </m:r>
        <m:d>
          <m:dPr>
            <m:begChr m:val="("/>
            <m:endChr m:val=")"/>
          </m:dPr>
          <m:e>
            <m:sSubSup>
              <m:e>
                <m:r>
                  <m:t xml:space="preserve">θ</m:t>
                </m:r>
              </m:e>
              <m:sub>
                <m:r>
                  <m:t xml:space="preserve">2</m:t>
                </m:r>
              </m:sub>
              <m:sup>
                <m:r>
                  <m:t xml:space="preserve">2</m:t>
                </m:r>
              </m:sup>
            </m:sSubSup>
          </m:e>
        </m:d>
      </m:oMath>
      <w:r>
        <w:rPr>
          <w:color w:val="auto"/>
        </w:rPr>
        <w:t>.</w:t>
      </w:r>
    </w:p>
    <w:p>
      <w:pPr>
        <w:pStyle w:val="Normal"/>
        <w:rPr>
          <w:color w:val="auto"/>
        </w:rPr>
      </w:pPr>
      <w:r>
        <w:rPr>
          <w:color w:val="auto"/>
        </w:rPr>
      </w:r>
    </w:p>
    <w:p>
      <w:pPr>
        <w:pStyle w:val="Normal"/>
        <w:rPr>
          <w:color w:val="auto"/>
        </w:rPr>
      </w:pPr>
      <w:r>
        <w:rPr>
          <w:color w:val="auto"/>
        </w:rPr>
        <w:t>Both properties are important. An estimator that is biased but efficient may be preferable to an unbiased, inefficient estimator because it will provide tighter bounds on the range of possible parameter values.</w:t>
      </w:r>
    </w:p>
    <w:p>
      <w:pPr>
        <w:pStyle w:val="Normal"/>
        <w:rPr>
          <w:color w:val="auto"/>
        </w:rPr>
      </w:pPr>
      <w:r>
        <w:rPr>
          <w:color w:val="auto"/>
        </w:rPr>
      </w:r>
    </w:p>
    <w:p>
      <w:pPr>
        <w:pStyle w:val="Normal"/>
        <w:rPr>
          <w:color w:val="auto"/>
        </w:rPr>
      </w:pPr>
      <w:r>
        <w:rPr>
          <w:color w:val="auto"/>
        </w:rPr>
        <w:t>For the sake of completeness, we mention in passing that the concepts of bias and efficiency are applicable to finite-sample estimates only.  It is often the case that we do not know the finite properties of an estimator.  Therefore we must compare instead the asymptotic (i.e. in the limit of large sample size) properties of estimators to determine which is more suitable and then assume that the relationship holds in the real world of finite sampling.  The asymptotic properties most often described in the literature as desirable are consistency, asymptotic normality, and asymptotic efficiency.  While consistency and asymptotic normality are akin to bias in the sense that they all measure whether an estimate converges in some sense to the true value, they are not the same thing.  Indeed, an estimator can be biased but consistent, or vice versa.</w:t>
      </w:r>
    </w:p>
    <w:p>
      <w:pPr>
        <w:pStyle w:val="Normal"/>
        <w:rPr>
          <w:color w:val="auto"/>
        </w:rPr>
      </w:pPr>
      <w:r>
        <w:rPr>
          <w:color w:val="auto"/>
        </w:rPr>
      </w:r>
    </w:p>
    <w:p>
      <w:pPr>
        <w:pStyle w:val="Heading3"/>
        <w:ind w:hanging="0" w:start="0"/>
        <w:rPr>
          <w:color w:val="auto"/>
        </w:rPr>
      </w:pPr>
      <w:r>
        <w:rPr>
          <w:color w:val="auto"/>
        </w:rPr>
        <w:t>3.4.2</w:t>
        <w:tab/>
        <w:t>Ordinary Least Squares</w:t>
      </w:r>
    </w:p>
    <w:p>
      <w:pPr>
        <w:pStyle w:val="Normal"/>
        <w:rPr>
          <w:color w:val="auto"/>
        </w:rPr>
      </w:pPr>
      <w:r>
        <w:rPr>
          <w:color w:val="auto"/>
        </w:rPr>
      </w:r>
    </w:p>
    <w:p>
      <w:pPr>
        <w:pStyle w:val="Normal"/>
        <w:rPr/>
      </w:pPr>
      <w:r>
        <w:rPr>
          <w:color w:val="auto"/>
        </w:rPr>
        <w:t>Ordinary Least Squared estimation (OLS) is probably the technique most familiar to readers because it is at the heart of standard linear regression analysis.  The concept is simple: we hypothesize that a set of observations {</w:t>
      </w:r>
      <w:r>
        <w:rPr>
          <w:b/>
          <w:color w:val="auto"/>
        </w:rPr>
        <w:t>x</w:t>
      </w:r>
      <w:r>
        <w:rPr>
          <w:i/>
          <w:color w:val="auto"/>
          <w:vertAlign w:val="subscript"/>
        </w:rPr>
        <w:t>t</w:t>
      </w:r>
      <w:r>
        <w:rPr>
          <w:color w:val="auto"/>
        </w:rPr>
        <w:t>, y</w:t>
      </w:r>
      <w:r>
        <w:rPr>
          <w:i/>
          <w:color w:val="auto"/>
          <w:vertAlign w:val="subscript"/>
        </w:rPr>
        <w:t>t</w:t>
      </w:r>
      <w:r>
        <w:rPr>
          <w:color w:val="auto"/>
        </w:rPr>
        <w:t>} is related via the stochastic equation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y</m:t>
        </m:r>
        <m:r>
          <m:t xml:space="preserve">=</m:t>
        </m:r>
        <m:r>
          <m:t xml:space="preserve">θ</m:t>
        </m:r>
        <m:r>
          <m:t xml:space="preserve">⋅</m:t>
        </m:r>
        <m:r>
          <m:t xml:space="preserve">x</m:t>
        </m:r>
        <m:r>
          <m:t xml:space="preserve">+</m:t>
        </m:r>
        <m:r>
          <m:t xml:space="preserve">ε</m:t>
        </m:r>
      </m:oMath>
      <w:r>
        <w:rPr>
          <w:color w:val="auto"/>
        </w:rPr>
        <w:tab/>
        <w:t>(3.19)</w:t>
      </w:r>
    </w:p>
    <w:p>
      <w:pPr>
        <w:pStyle w:val="Normal"/>
        <w:rPr>
          <w:color w:val="auto"/>
        </w:rPr>
      </w:pPr>
      <w:r>
        <w:rPr>
          <w:color w:val="auto"/>
        </w:rPr>
      </w:r>
    </w:p>
    <w:p>
      <w:pPr>
        <w:pStyle w:val="Normal"/>
        <w:rPr/>
      </w:pPr>
      <w:r>
        <w:rPr>
          <w:color w:val="auto"/>
        </w:rPr>
        <w:t xml:space="preserve">where </w:t>
      </w:r>
      <w:r>
        <w:rPr>
          <w:rFonts w:eastAsia="Symbol" w:cs="Symbol" w:ascii="Symbol" w:hAnsi="Symbol"/>
          <w:b/>
          <w:color w:val="auto"/>
        </w:rPr>
        <w:sym w:font="Symbol" w:char="f071"/>
      </w:r>
      <w:r>
        <w:rPr>
          <w:b/>
          <w:color w:val="auto"/>
        </w:rPr>
        <w:t xml:space="preserve"> </w:t>
      </w:r>
      <w:r>
        <w:rPr>
          <w:color w:val="auto"/>
        </w:rPr>
        <w:t xml:space="preserve">is the set of unknown parameters.  We can estimate these parameters by choosing a set </w:t>
      </w:r>
      <w:r>
        <w:rPr>
          <w:color w:val="auto"/>
        </w:rPr>
      </w:r>
      <m:oMath xmlns:m="http://schemas.openxmlformats.org/officeDocument/2006/math">
        <m:acc>
          <m:accPr>
            <m:chr m:val="~"/>
          </m:accPr>
          <m:e>
            <m:r>
              <m:t xml:space="preserve">θ</m:t>
            </m:r>
          </m:e>
        </m:acc>
      </m:oMath>
      <w:r>
        <w:rPr>
          <w:color w:val="auto"/>
        </w:rPr>
        <w:t xml:space="preserve"> such that the sum of squared observed residuals (SSR) from </w:t>
      </w:r>
      <w:r>
        <w:rPr>
          <w:i/>
          <w:color w:val="auto"/>
        </w:rPr>
        <w:t>N</w:t>
      </w:r>
      <w:r>
        <w:rPr>
          <w:color w:val="auto"/>
        </w:rPr>
        <w:t xml:space="preserve"> observations is minimized;</w:t>
      </w:r>
    </w:p>
    <w:p>
      <w:pPr>
        <w:pStyle w:val="Normal"/>
        <w:rPr>
          <w:color w:val="auto"/>
        </w:rPr>
      </w:pPr>
      <w:r>
        <w:rPr>
          <w:color w:val="auto"/>
        </w:rPr>
      </w:r>
      <w:bookmarkStart w:id="13" w:name="_Ref486089739"/>
      <w:bookmarkStart w:id="14" w:name="_Ref486089739"/>
      <w:bookmarkEnd w:id="14"/>
    </w:p>
    <w:p>
      <w:pPr>
        <w:pStyle w:val="Equation"/>
        <w:rPr/>
      </w:pPr>
      <w:bookmarkStart w:id="15" w:name="_Ref486089739"/>
      <w:bookmarkEnd w:id="15"/>
      <w:r>
        <w:rPr>
          <w:i/>
          <w:color w:val="auto"/>
        </w:rPr>
        <w:tab/>
      </w:r>
      <w:r>
        <w:rPr>
          <w:color w:val="auto"/>
        </w:rPr>
      </w:r>
      <m:oMath xmlns:m="http://schemas.openxmlformats.org/officeDocument/2006/math">
        <m:eqAr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r>
              <m:t xml:space="preserve">+</m:t>
            </m:r>
            <m:sSub>
              <m:e>
                <m:r>
                  <m:t xml:space="preserve">e</m:t>
                </m:r>
              </m:e>
              <m:sub>
                <m:r>
                  <m:t xml:space="preserve">t</m:t>
                </m:r>
              </m:sub>
            </m:sSub>
          </m:e>
          <m:e>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e>
                    </m:d>
                  </m:e>
                  <m:sup>
                    <m:r>
                      <m:t xml:space="preserve">2</m:t>
                    </m:r>
                  </m:sup>
                </m:sSup>
              </m:e>
            </m:nary>
          </m:e>
        </m:eqArr>
      </m:oMath>
      <w:r>
        <w:rPr>
          <w:color w:val="auto"/>
        </w:rPr>
        <w:tab/>
        <w:t>(3.20)</w:t>
      </w:r>
    </w:p>
    <w:p>
      <w:pPr>
        <w:pStyle w:val="Normal"/>
        <w:rPr>
          <w:color w:val="auto"/>
        </w:rPr>
      </w:pPr>
      <w:r>
        <w:rPr>
          <w:color w:val="auto"/>
        </w:rPr>
      </w:r>
    </w:p>
    <w:p>
      <w:pPr>
        <w:pStyle w:val="Normal"/>
        <w:rPr/>
      </w:pPr>
      <w:r>
        <w:rPr>
          <w:color w:val="auto"/>
        </w:rPr>
        <w:t xml:space="preserve">The OLS estimates </w:t>
      </w:r>
      <w:r>
        <w:rPr>
          <w:color w:val="auto"/>
        </w:rPr>
      </w:r>
      <m:oMath xmlns:m="http://schemas.openxmlformats.org/officeDocument/2006/math">
        <m:acc>
          <m:accPr>
            <m:chr m:val="~"/>
          </m:accPr>
          <m:e>
            <m:r>
              <m:t xml:space="preserve">θ</m:t>
            </m:r>
          </m:e>
        </m:acc>
      </m:oMath>
      <w:r>
        <w:rPr>
          <w:color w:val="auto"/>
        </w:rPr>
        <w:t>are found in the usual way by setting</w:t>
      </w:r>
      <w:r>
        <w:rPr>
          <w:color w:val="auto"/>
        </w:rPr>
      </w:r>
      <m:oMath xmlns:m="http://schemas.openxmlformats.org/officeDocument/2006/math">
        <m:f>
          <m:num>
            <m:r>
              <m:t xml:space="preserve">∂</m:t>
            </m:r>
            <m:r>
              <m:rPr>
                <m:lit/>
                <m:nor/>
              </m:rPr>
              <m:t xml:space="preserve">SSR</m:t>
            </m:r>
          </m:num>
          <m:den>
            <m:r>
              <m:t xml:space="preserve">∂</m:t>
            </m:r>
            <m:r>
              <m:t xml:space="preserve">θ</m:t>
            </m:r>
          </m:den>
        </m:f>
        <m:r>
          <m:t xml:space="preserve">=</m:t>
        </m:r>
        <m:r>
          <m:t xml:space="preserve">0</m:t>
        </m:r>
      </m:oMath>
      <w:r>
        <w:rPr>
          <w:color w:val="auto"/>
        </w:rPr>
        <w:t xml:space="preserve"> and solving for </w:t>
      </w:r>
      <w:r>
        <w:rPr>
          <w:color w:val="auto"/>
        </w:rPr>
      </w:r>
      <m:oMath xmlns:m="http://schemas.openxmlformats.org/officeDocument/2006/math">
        <m:acc>
          <m:accPr>
            <m:chr m:val="~"/>
          </m:accPr>
          <m:e>
            <m:r>
              <m:t xml:space="preserve">θ</m:t>
            </m:r>
          </m:e>
        </m:acc>
      </m:oMath>
      <w:r>
        <w:rPr>
          <w:color w:val="auto"/>
        </w:rPr>
        <w:t>.  For example, recall that the pure diffusion equation (3.13) is written as</w:t>
      </w:r>
    </w:p>
    <w:p>
      <w:pPr>
        <w:pStyle w:val="Normal"/>
        <w:rPr>
          <w:color w:val="auto"/>
        </w:rPr>
      </w:pPr>
      <w:r>
        <w:rPr>
          <w:color w:val="auto"/>
        </w:rPr>
      </w:r>
      <w:bookmarkStart w:id="16" w:name="_Ref486089701"/>
      <w:bookmarkStart w:id="17" w:name="_Ref486089701"/>
      <w:bookmarkEnd w:id="17"/>
    </w:p>
    <w:p>
      <w:pPr>
        <w:pStyle w:val="Equation"/>
        <w:rPr/>
      </w:pPr>
      <w:bookmarkStart w:id="18" w:name="_Ref486089701"/>
      <w:bookmarkEnd w:id="18"/>
      <w:r>
        <w:rPr>
          <w:i/>
          <w:color w:val="auto"/>
        </w:rPr>
        <w:tab/>
      </w:r>
      <w:r>
        <w:rPr>
          <w:color w:val="auto"/>
        </w:rPr>
      </w:r>
      <m:oMath xmlns:m="http://schemas.openxmlformats.org/officeDocument/2006/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w:r>
        <w:rPr>
          <w:color w:val="auto"/>
        </w:rPr>
        <w:t xml:space="preserve">,   </w:t>
      </w:r>
      <w:r>
        <w:rPr>
          <w:color w:val="auto"/>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auto"/>
        </w:rPr>
        <w:tab/>
        <w:t>(3.21)</w:t>
      </w:r>
    </w:p>
    <w:p>
      <w:pPr>
        <w:pStyle w:val="Normal"/>
        <w:rPr>
          <w:color w:val="auto"/>
        </w:rPr>
      </w:pPr>
      <w:r>
        <w:rPr>
          <w:color w:val="auto"/>
        </w:rPr>
      </w:r>
    </w:p>
    <w:p>
      <w:pPr>
        <w:pStyle w:val="Normal"/>
        <w:rPr>
          <w:color w:val="auto"/>
        </w:rPr>
      </w:pPr>
      <w:r>
        <w:rPr>
          <w:color w:val="auto"/>
        </w:rPr>
        <w:t>Then sum of squared residuals is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k</m:t>
                    </m:r>
                  </m:e>
                </m:d>
              </m:e>
              <m:sup>
                <m:r>
                  <m:t xml:space="preserve">2</m:t>
                </m:r>
              </m:sup>
            </m:sSup>
          </m:e>
        </m:nary>
      </m:oMath>
      <w:r>
        <w:rPr>
          <w:color w:val="auto"/>
        </w:rPr>
        <w:tab/>
        <w:t>(3.22)</w:t>
      </w:r>
    </w:p>
    <w:p>
      <w:pPr>
        <w:pStyle w:val="Normal"/>
        <w:rPr>
          <w:color w:val="auto"/>
        </w:rPr>
      </w:pPr>
      <w:r>
        <w:rPr>
          <w:color w:val="auto"/>
        </w:rPr>
      </w:r>
    </w:p>
    <w:p>
      <w:pPr>
        <w:pStyle w:val="Normal"/>
        <w:rPr/>
      </w:pPr>
      <w:r>
        <w:rPr>
          <w:color w:val="auto"/>
        </w:rPr>
        <w:t xml:space="preserve">Taking the derivative with respect to </w:t>
      </w:r>
      <w:r>
        <w:rPr>
          <w:i/>
          <w:color w:val="auto"/>
        </w:rPr>
        <w:t>k</w:t>
      </w:r>
      <w:r>
        <w:rPr>
          <w:color w:val="auto"/>
        </w:rPr>
        <w:t xml:space="preserve"> and setting the resultant equation equal to zero yields;</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f>
              <m:num>
                <m:r>
                  <m:t xml:space="preserve">∂</m:t>
                </m:r>
                <m:r>
                  <m:rPr>
                    <m:lit/>
                    <m:nor/>
                  </m:rPr>
                  <m:t xml:space="preserve">SSR</m:t>
                </m:r>
              </m:num>
              <m:den>
                <m:r>
                  <m:t xml:space="preserve">∂</m:t>
                </m:r>
                <m:r>
                  <m:t xml:space="preserve">k</m:t>
                </m:r>
              </m:den>
            </m:f>
            <m:r>
              <m:t xml:space="preserve">=</m:t>
            </m:r>
            <m:nary>
              <m:naryPr>
                <m:chr m:val="∑"/>
              </m:naryPr>
              <m:sub>
                <m:r>
                  <m:t xml:space="preserve">t</m:t>
                </m:r>
                <m:r>
                  <m:t xml:space="preserve">=</m:t>
                </m:r>
                <m:r>
                  <m:t xml:space="preserve">1</m:t>
                </m:r>
              </m:sub>
              <m:sup>
                <m:r>
                  <m:t xml:space="preserve">N</m:t>
                </m:r>
              </m:sup>
              <m:e>
                <m:r>
                  <m:t xml:space="preserve">2</m:t>
                </m:r>
                <m:d>
                  <m:dPr>
                    <m:begChr m:val="("/>
                    <m:endChr m:val=")"/>
                  </m:dPr>
                  <m:e>
                    <m:sSub>
                      <m:e>
                        <m:r>
                          <m:t xml:space="preserve">y</m:t>
                        </m:r>
                      </m:e>
                      <m:sub>
                        <m:r>
                          <m:t xml:space="preserve">t</m:t>
                        </m:r>
                      </m:sub>
                    </m:sSub>
                    <m:r>
                      <m:t xml:space="preserve">−</m:t>
                    </m:r>
                    <m:r>
                      <m:t xml:space="preserve">k</m:t>
                    </m:r>
                  </m:e>
                </m:d>
              </m:e>
            </m:nary>
            <m:r>
              <m:t xml:space="preserve">=</m:t>
            </m:r>
            <m:r>
              <m:t xml:space="preserve">0</m:t>
            </m:r>
          </m:e>
          <m:e>
            <m:r>
              <m:t xml:space="preserve">k</m:t>
            </m:r>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
            <m:r>
              <m:t xml:space="preserve">κ</m:t>
            </m:r>
            <m:r>
              <m:t xml:space="preserve">=</m:t>
            </m:r>
            <m:r>
              <m:t xml:space="preserve">E</m:t>
            </m:r>
            <m:d>
              <m:dPr>
                <m:begChr m:val="("/>
                <m:endChr m:val=")"/>
              </m:dPr>
              <m:e>
                <m:r>
                  <m:t xml:space="preserve">k</m:t>
                </m:r>
              </m:e>
            </m:d>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qArr>
      </m:oMath>
      <w:r>
        <w:rPr>
          <w:color w:val="auto"/>
        </w:rPr>
        <w:tab/>
        <w:t>(3.23)</w:t>
      </w:r>
    </w:p>
    <w:p>
      <w:pPr>
        <w:pStyle w:val="Normal"/>
        <w:rPr>
          <w:color w:val="auto"/>
        </w:rPr>
      </w:pPr>
      <w:r>
        <w:rPr>
          <w:color w:val="auto"/>
        </w:rPr>
      </w:r>
    </w:p>
    <w:p>
      <w:pPr>
        <w:pStyle w:val="Normal"/>
        <w:rPr/>
      </w:pPr>
      <w:r>
        <w:rPr>
          <w:color w:val="auto"/>
        </w:rPr>
        <w:t xml:space="preserve">as expected.  Because </w:t>
      </w:r>
      <w:r>
        <w:rPr>
          <w:rFonts w:eastAsia="Symbol" w:cs="Symbol" w:ascii="Symbol" w:hAnsi="Symbol"/>
          <w:color w:val="auto"/>
        </w:rPr>
        <w:sym w:font="Symbol" w:char="f073"/>
      </w:r>
      <w:r>
        <w:rPr>
          <w:color w:val="auto"/>
        </w:rPr>
        <w:t xml:space="preserve"> multiplies the stochastic term, we must resort to a slightly different method to find its estimate.  From equations 3.20 and 3.21 we know that we can write</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e>
          <m:e>
            <m:sSub>
              <m:e>
                <m:r>
                  <m:t xml:space="preserve">e</m:t>
                </m:r>
              </m:e>
              <m:sub>
                <m:r>
                  <m:t xml:space="preserve">t</m:t>
                </m:r>
              </m:sub>
            </m:sSub>
            <m:r>
              <m:t xml:space="preserve">=</m:t>
            </m:r>
            <m:sSub>
              <m:e>
                <m:r>
                  <m:t xml:space="preserve">y</m:t>
                </m:r>
              </m:e>
              <m:sub>
                <m:r>
                  <m:t xml:space="preserve">t</m:t>
                </m:r>
              </m:sub>
            </m:sSub>
            <m:r>
              <m:t xml:space="preserve">−</m:t>
            </m:r>
            <m:r>
              <m:t xml:space="preserve">k</m:t>
            </m:r>
          </m:e>
        </m:eqArr>
      </m:oMath>
      <w:r>
        <w:rPr>
          <w:color w:val="auto"/>
        </w:rPr>
        <w:tab/>
        <w:t>(3.24)</w:t>
      </w:r>
    </w:p>
    <w:p>
      <w:pPr>
        <w:pStyle w:val="Normal"/>
        <w:rPr>
          <w:color w:val="auto"/>
        </w:rPr>
      </w:pPr>
      <w:r>
        <w:rPr>
          <w:color w:val="auto"/>
        </w:rPr>
      </w:r>
    </w:p>
    <w:p>
      <w:pPr>
        <w:pStyle w:val="Normal"/>
        <w:rPr/>
      </w:pPr>
      <w:r>
        <w:rPr>
          <w:color w:val="auto"/>
        </w:rPr>
        <w:t xml:space="preserve">These relations also allow us to define the </w:t>
      </w:r>
      <w:r>
        <w:rPr>
          <w:i/>
          <w:color w:val="auto"/>
        </w:rPr>
        <w:t>average</w:t>
      </w:r>
      <w:r>
        <w:rPr>
          <w:color w:val="auto"/>
        </w:rPr>
        <w:t xml:space="preserve"> innovation and</w:t>
      </w:r>
      <w:r>
        <w:rPr>
          <w:i/>
          <w:color w:val="auto"/>
        </w:rPr>
        <w:t xml:space="preserve"> average </w:t>
      </w:r>
      <w:r>
        <w:rPr>
          <w:color w:val="auto"/>
        </w:rPr>
        <w:t>return;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σ</m:t>
        </m:r>
        <m:acc>
          <m:accPr>
            <m:chr m:val="¯"/>
          </m:accPr>
          <m:e>
            <m:r>
              <m:t xml:space="preserve">ε</m:t>
            </m:r>
          </m:e>
        </m:acc>
        <m:r>
          <m:t xml:space="preserve">=</m:t>
        </m:r>
        <m:r>
          <m:t xml:space="preserve">σ</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ε</m:t>
                </m:r>
              </m:e>
              <m:sub>
                <m:r>
                  <m:t xml:space="preserve">t</m:t>
                </m:r>
              </m:sub>
            </m:sSub>
          </m:e>
        </m:nary>
        <m:r>
          <m:t xml:space="preserve">=</m:t>
        </m:r>
        <m:acc>
          <m:accPr>
            <m:chr m:val="¯"/>
          </m:accPr>
          <m:e>
            <m:r>
              <m:t xml:space="preserve">y</m:t>
            </m:r>
          </m:e>
        </m:acc>
        <m:r>
          <m:t xml:space="preserve">−</m:t>
        </m:r>
        <m:r>
          <m:t xml:space="preserve">κ</m:t>
        </m:r>
      </m:oMath>
      <w:r>
        <w:rPr>
          <w:color w:val="auto"/>
        </w:rPr>
        <w:tab/>
        <w:t>(3.25)</w:t>
      </w:r>
    </w:p>
    <w:p>
      <w:pPr>
        <w:pStyle w:val="Normal"/>
        <w:rPr>
          <w:color w:val="auto"/>
        </w:rPr>
      </w:pPr>
      <w:r>
        <w:rPr>
          <w:color w:val="auto"/>
        </w:rPr>
      </w:r>
    </w:p>
    <w:p>
      <w:pPr>
        <w:pStyle w:val="Normal"/>
        <w:rPr>
          <w:color w:val="auto"/>
        </w:rPr>
      </w:pPr>
      <w:r>
        <w:rPr>
          <w:color w:val="auto"/>
        </w:rPr>
        <w:t xml:space="preserve">and </w:t>
      </w:r>
    </w:p>
    <w:p>
      <w:pPr>
        <w:pStyle w:val="Equation"/>
        <w:rPr/>
      </w:pPr>
      <w:r>
        <w:rPr>
          <w:i/>
          <w:color w:val="auto"/>
        </w:rPr>
        <w:tab/>
      </w:r>
      <w:r>
        <w:rPr>
          <w:color w:val="auto"/>
        </w:rPr>
      </w:r>
      <m:oMath xmlns:m="http://schemas.openxmlformats.org/officeDocument/2006/math">
        <m:acc>
          <m:accPr>
            <m:chr m:val="¯"/>
          </m:accPr>
          <m:e>
            <m:r>
              <m:t xml:space="preserve">y</m:t>
            </m:r>
          </m:e>
        </m:acc>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r>
          <m:t xml:space="preserve">=</m:t>
        </m:r>
        <m:r>
          <m:t xml:space="preserve">k</m:t>
        </m:r>
      </m:oMath>
      <w:r>
        <w:rPr>
          <w:color w:val="auto"/>
        </w:rPr>
        <w:tab/>
        <w:t>(3.26)</w:t>
      </w:r>
    </w:p>
    <w:p>
      <w:pPr>
        <w:pStyle w:val="Normal"/>
        <w:rPr>
          <w:color w:val="auto"/>
        </w:rPr>
      </w:pPr>
      <w:r>
        <w:rPr>
          <w:color w:val="auto"/>
        </w:rPr>
      </w:r>
    </w:p>
    <w:p>
      <w:pPr>
        <w:pStyle w:val="Normal"/>
        <w:rPr>
          <w:color w:val="auto"/>
        </w:rPr>
      </w:pPr>
      <w:r>
        <w:rPr>
          <w:color w:val="auto"/>
        </w:rPr>
        <w:t>Then</w:t>
      </w:r>
    </w:p>
    <w:p>
      <w:pPr>
        <w:pStyle w:val="Equation"/>
        <w:rPr/>
      </w:pPr>
      <w:r>
        <w:rPr>
          <w:i/>
          <w:color w:val="auto"/>
        </w:rPr>
        <w:tab/>
      </w:r>
      <w:r>
        <w:rPr>
          <w:color w:val="auto"/>
        </w:rPr>
      </w:r>
      <m:oMath xmlns:m="http://schemas.openxmlformats.org/officeDocument/2006/math">
        <m:eqArr>
          <m:e>
            <m:sSub>
              <m:e>
                <m:r>
                  <m:t xml:space="preserve">e</m:t>
                </m:r>
              </m:e>
              <m:sub>
                <m:r>
                  <m:t xml:space="preserve">t</m:t>
                </m:r>
              </m:sub>
            </m:sSub>
            <m:r>
              <m:t xml:space="preserve">=</m:t>
            </m:r>
            <m:sSub>
              <m:e>
                <m:r>
                  <m:t xml:space="preserve">y</m:t>
                </m:r>
              </m:e>
              <m:sub>
                <m:r>
                  <m:t xml:space="preserve">t</m:t>
                </m:r>
              </m:sub>
            </m:sSub>
            <m:r>
              <m:t xml:space="preserve">−</m:t>
            </m:r>
            <m:r>
              <m:t xml:space="preserve">k</m:t>
            </m:r>
          </m:e>
          <m:e>
            <m:r>
              <m:t xml:space="preserve">κ</m:t>
            </m:r>
            <m:r>
              <m:t xml:space="preserve">+</m:t>
            </m:r>
            <m:sSub>
              <m:e>
                <m:r>
                  <m:rPr>
                    <m:lit/>
                    <m:nor/>
                  </m:rPr>
                  <m:t xml:space="preserve">σε</m:t>
                </m:r>
              </m:e>
              <m:sub>
                <m:r>
                  <m:t xml:space="preserve">t</m:t>
                </m:r>
              </m:sub>
            </m:sSub>
            <m:r>
              <m:t xml:space="preserve">−</m:t>
            </m:r>
            <m:r>
              <m:t xml:space="preserve">k</m:t>
            </m:r>
          </m:e>
          <m:e>
            <m:r>
              <m:t xml:space="preserve">σ</m:t>
            </m:r>
            <m:d>
              <m:dPr>
                <m:begChr m:val="("/>
                <m:endChr m:val=")"/>
              </m:dPr>
              <m:e>
                <m:sSub>
                  <m:e>
                    <m:r>
                      <m:t xml:space="preserve">ε</m:t>
                    </m:r>
                  </m:e>
                  <m:sub>
                    <m:r>
                      <m:t xml:space="preserve">t</m:t>
                    </m:r>
                  </m:sub>
                </m:sSub>
                <m:r>
                  <m:t xml:space="preserve">−</m:t>
                </m:r>
                <m:acc>
                  <m:accPr>
                    <m:chr m:val="¯"/>
                  </m:accPr>
                  <m:e>
                    <m:r>
                      <m:t xml:space="preserve">ε</m:t>
                    </m:r>
                  </m:e>
                </m:acc>
              </m:e>
            </m:d>
          </m:e>
        </m:eqArr>
      </m:oMath>
      <w:r>
        <w:rPr>
          <w:color w:val="auto"/>
        </w:rPr>
        <w:tab/>
        <w:t>(3.27)</w:t>
      </w:r>
    </w:p>
    <w:p>
      <w:pPr>
        <w:pStyle w:val="Normal"/>
        <w:rPr>
          <w:color w:val="auto"/>
        </w:rPr>
      </w:pPr>
      <w:r>
        <w:rPr>
          <w:color w:val="auto"/>
        </w:rPr>
      </w:r>
    </w:p>
    <w:p>
      <w:pPr>
        <w:pStyle w:val="Normal"/>
        <w:rPr>
          <w:color w:val="auto"/>
        </w:rPr>
      </w:pPr>
      <w:r>
        <w:rPr>
          <w:color w:val="auto"/>
        </w:rPr>
        <w:t>Squaring equation (3.27) yields</w:t>
      </w:r>
    </w:p>
    <w:p>
      <w:pPr>
        <w:pStyle w:val="Equation"/>
        <w:rPr/>
      </w:pPr>
      <w:r>
        <w:rPr>
          <w:i/>
          <w:color w:val="auto"/>
        </w:rPr>
        <w:tab/>
      </w:r>
      <w:r>
        <w:rPr>
          <w:color w:val="auto"/>
        </w:rPr>
      </w:r>
      <m:oMath xmlns:m="http://schemas.openxmlformats.org/officeDocument/2006/math">
        <m:eqArr>
          <m:e>
            <m:sSubSup>
              <m:e>
                <m:r>
                  <m:t xml:space="preserve">e</m:t>
                </m:r>
              </m:e>
              <m:sub>
                <m:r>
                  <m:t xml:space="preserve">t</m:t>
                </m:r>
              </m:sub>
              <m:sup>
                <m:r>
                  <m:t xml:space="preserve">2</m:t>
                </m:r>
              </m:sup>
            </m:sSubSup>
            <m:r>
              <m:t xml:space="preserve">=</m:t>
            </m:r>
            <m:sSup>
              <m:e>
                <m:r>
                  <m:t xml:space="preserve">σ</m:t>
                </m:r>
              </m:e>
              <m:sup>
                <m:r>
                  <m:t xml:space="preserve">2</m:t>
                </m:r>
              </m:sup>
            </m:sSup>
            <m:sSup>
              <m:e>
                <m:d>
                  <m:dPr>
                    <m:begChr m:val="("/>
                    <m:endChr m:val=")"/>
                  </m:dPr>
                  <m:e>
                    <m:sSub>
                      <m:e>
                        <m:r>
                          <m:t xml:space="preserve">ε</m:t>
                        </m:r>
                      </m:e>
                      <m:sub>
                        <m:r>
                          <m:t xml:space="preserve">t</m:t>
                        </m:r>
                      </m:sub>
                    </m:sSub>
                    <m:r>
                      <m:t xml:space="preserve">−</m:t>
                    </m:r>
                    <m:acc>
                      <m:accPr>
                        <m:chr m:val="¯"/>
                      </m:accPr>
                      <m:e>
                        <m:r>
                          <m:t xml:space="preserve">ε</m:t>
                        </m:r>
                      </m:e>
                    </m:acc>
                  </m:e>
                </m:d>
              </m:e>
              <m:sup>
                <m:r>
                  <m:t xml:space="preserve">2</m:t>
                </m:r>
              </m:sup>
            </m:sSup>
          </m:e>
          <m:e>
            <m:sSup>
              <m:e>
                <m:r>
                  <m:t xml:space="preserve">σ</m:t>
                </m:r>
              </m:e>
              <m:sup>
                <m:r>
                  <m:t xml:space="preserve">2</m:t>
                </m:r>
              </m:sup>
            </m:sSup>
            <m:d>
              <m:dPr>
                <m:begChr m:val="("/>
                <m:endChr m:val=")"/>
              </m:dPr>
              <m:e>
                <m:sSubSup>
                  <m:e>
                    <m:r>
                      <m:t xml:space="preserve">ε</m:t>
                    </m:r>
                  </m:e>
                  <m:sub>
                    <m:r>
                      <m:t xml:space="preserve">t</m:t>
                    </m:r>
                  </m:sub>
                  <m:sup>
                    <m:r>
                      <m:t xml:space="preserve">2</m:t>
                    </m:r>
                  </m:sup>
                </m:sSubSup>
                <m:r>
                  <m:t xml:space="preserve">−</m:t>
                </m:r>
                <m:r>
                  <m:t xml:space="preserve">2</m:t>
                </m:r>
                <m:sSub>
                  <m:e>
                    <m:r>
                      <m:t xml:space="preserve">ε</m:t>
                    </m:r>
                  </m:e>
                  <m:sub>
                    <m:r>
                      <m:t xml:space="preserve">t</m:t>
                    </m:r>
                  </m:sub>
                </m:sSub>
                <m:acc>
                  <m:accPr>
                    <m:chr m:val="¯"/>
                  </m:accPr>
                  <m:e>
                    <m:r>
                      <m:t xml:space="preserve">ε</m:t>
                    </m:r>
                  </m:e>
                </m:acc>
                <m:r>
                  <m:t xml:space="preserve">+</m:t>
                </m:r>
                <m:sSup>
                  <m:e>
                    <m:acc>
                      <m:accPr>
                        <m:chr m:val="¯"/>
                      </m:accPr>
                      <m:e>
                        <m:r>
                          <m:t xml:space="preserve">ε</m:t>
                        </m:r>
                      </m:e>
                    </m:acc>
                  </m:e>
                  <m:sup>
                    <m:r>
                      <m:t xml:space="preserve">2</m:t>
                    </m:r>
                  </m:sup>
                </m:sSup>
              </m:e>
            </m:d>
          </m:e>
        </m:eqArr>
      </m:oMath>
      <w:r>
        <w:rPr>
          <w:color w:val="auto"/>
        </w:rPr>
        <w:tab/>
        <w:t>(3.28)</w:t>
      </w:r>
    </w:p>
    <w:p>
      <w:pPr>
        <w:pStyle w:val="Normal"/>
        <w:rPr>
          <w:color w:val="auto"/>
        </w:rPr>
      </w:pPr>
      <w:r>
        <w:rPr>
          <w:color w:val="auto"/>
        </w:rPr>
      </w:r>
    </w:p>
    <w:p>
      <w:pPr>
        <w:pStyle w:val="Normal"/>
        <w:rPr>
          <w:color w:val="auto"/>
        </w:rPr>
      </w:pPr>
      <w:r>
        <w:rPr>
          <w:color w:val="auto"/>
        </w:rPr>
        <w:t>Taking the sum over all observations yields;</w:t>
      </w:r>
    </w:p>
    <w:p>
      <w:pPr>
        <w:pStyle w:val="Header"/>
        <w:tabs>
          <w:tab w:val="clear" w:pos="4320"/>
          <w:tab w:val="clear" w:pos="8640"/>
        </w:tabs>
        <w:rPr>
          <w:color w:val="auto"/>
        </w:rPr>
      </w:pPr>
      <w:r>
        <w:rPr>
          <w:color w:val="auto"/>
        </w:rPr>
      </w:r>
    </w:p>
    <w:p>
      <w:pPr>
        <w:pStyle w:val="Equation"/>
        <w:rPr/>
      </w:pPr>
      <w:r>
        <w:rPr>
          <w:i/>
          <w:color w:val="auto"/>
        </w:rPr>
        <w:tab/>
      </w:r>
      <w:r>
        <w:rPr>
          <w:color w:val="auto"/>
        </w:rPr>
      </w:r>
      <m:oMath xmlns:m="http://schemas.openxmlformats.org/officeDocument/2006/math">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r>
          <m:t xml:space="preserve">=</m:t>
        </m:r>
        <m:sSup>
          <m:e>
            <m:r>
              <m:t xml:space="preserve">σ</m:t>
            </m:r>
          </m:e>
          <m:sup>
            <m:r>
              <m:t xml:space="preserve">2</m:t>
            </m:r>
          </m:sup>
        </m:sSup>
        <m:d>
          <m:dPr>
            <m:begChr m:val="("/>
            <m:endChr m:val=")"/>
          </m:dPr>
          <m:e>
            <m:nary>
              <m:naryPr>
                <m:chr m:val="∑"/>
              </m:naryPr>
              <m:sub>
                <m:r>
                  <m:t xml:space="preserve">t</m:t>
                </m:r>
                <m:r>
                  <m:t xml:space="preserve">=</m:t>
                </m:r>
                <m:r>
                  <m:t xml:space="preserve">1</m:t>
                </m:r>
              </m:sub>
              <m:sup>
                <m:r>
                  <m:t xml:space="preserve">N</m:t>
                </m:r>
              </m:sup>
              <m:e>
                <m:sSubSup>
                  <m:e>
                    <m:r>
                      <m:t xml:space="preserve">ε</m:t>
                    </m:r>
                  </m:e>
                  <m:sub>
                    <m:r>
                      <m:t xml:space="preserve">t</m:t>
                    </m:r>
                  </m:sub>
                  <m:sup>
                    <m:r>
                      <m:t xml:space="preserve">2</m:t>
                    </m:r>
                  </m:sup>
                </m:sSubSup>
              </m:e>
            </m:nary>
            <m:r>
              <m:t xml:space="preserve">−</m:t>
            </m:r>
            <m:r>
              <m:t xml:space="preserve">N</m:t>
            </m:r>
            <m:sSup>
              <m:e>
                <m:acc>
                  <m:accPr>
                    <m:chr m:val="¯"/>
                  </m:accPr>
                  <m:e>
                    <m:r>
                      <m:t xml:space="preserve">ε</m:t>
                    </m:r>
                  </m:e>
                </m:acc>
              </m:e>
              <m:sup>
                <m:r>
                  <m:t xml:space="preserve">2</m:t>
                </m:r>
              </m:sup>
            </m:sSup>
          </m:e>
        </m:d>
      </m:oMath>
      <w:r>
        <w:rPr>
          <w:color w:val="auto"/>
        </w:rPr>
        <w:tab/>
        <w:t>(3.29)</w:t>
      </w:r>
    </w:p>
    <w:p>
      <w:pPr>
        <w:pStyle w:val="Normal"/>
        <w:rPr>
          <w:color w:val="auto"/>
        </w:rPr>
      </w:pPr>
      <w:r>
        <w:rPr>
          <w:color w:val="auto"/>
        </w:rPr>
      </w:r>
    </w:p>
    <w:p>
      <w:pPr>
        <w:pStyle w:val="Normal"/>
        <w:rPr/>
      </w:pPr>
      <w:r>
        <w:rPr>
          <w:color w:val="auto"/>
        </w:rPr>
        <w:t>The shocks</w:t>
      </w:r>
      <w:r>
        <w:rPr>
          <w:color w:val="auto"/>
        </w:rPr>
      </w:r>
      <m:oMath xmlns:m="http://schemas.openxmlformats.org/officeDocument/2006/math">
        <m:sSub>
          <m:e>
            <m:r>
              <m:t xml:space="preserve">ε</m:t>
            </m:r>
          </m:e>
          <m:sub>
            <m:r>
              <m:t xml:space="preserve">t</m:t>
            </m:r>
          </m:sub>
        </m:sSub>
      </m:oMath>
      <w:r>
        <w:rPr>
          <w:color w:val="auto"/>
        </w:rPr>
        <w:t xml:space="preserve">are distributed normally as </w:t>
      </w:r>
      <w:r>
        <w:rPr>
          <w:i/>
          <w:color w:val="auto"/>
        </w:rPr>
        <w:t>N</w:t>
      </w:r>
      <w:r>
        <w:rPr>
          <w:color w:val="auto"/>
        </w:rPr>
        <w:t xml:space="preserve">(0,1) and are independent, which implies that </w:t>
      </w:r>
      <w:r>
        <w:rPr>
          <w:color w:val="auto"/>
        </w:rPr>
      </w:r>
      <m:oMath xmlns:m="http://schemas.openxmlformats.org/officeDocument/2006/math">
        <m:r>
          <m:t xml:space="preserve">E</m:t>
        </m:r>
        <m:d>
          <m:dPr>
            <m:begChr m:val="("/>
            <m:endChr m:val=")"/>
          </m:dPr>
          <m:e>
            <m:sSub>
              <m:e>
                <m:r>
                  <m:t xml:space="preserve">ε</m:t>
                </m:r>
              </m:e>
              <m:sub>
                <m:r>
                  <m:t xml:space="preserve">i</m:t>
                </m:r>
              </m:sub>
            </m:sSub>
            <m:sSub>
              <m:e>
                <m:r>
                  <m:t xml:space="preserve">ε</m:t>
                </m:r>
              </m:e>
              <m:sub>
                <m:r>
                  <m:t xml:space="preserve">j</m:t>
                </m:r>
              </m:sub>
            </m:sSub>
          </m:e>
        </m:d>
        <m:r>
          <m:t xml:space="preserve">=</m:t>
        </m:r>
        <m:sSub>
          <m:e>
            <m:r>
              <m:t xml:space="preserve">δ</m:t>
            </m:r>
          </m:e>
          <m:sub>
            <m:r>
              <m:rPr>
                <m:lit/>
                <m:nor/>
              </m:rPr>
              <m:t xml:space="preserve">ij</m:t>
            </m:r>
          </m:sub>
        </m:sSub>
      </m:oMath>
      <w:r>
        <w:rPr>
          <w:color w:val="auto"/>
        </w:rPr>
        <w:t>.  Therefore, we arrive finally at</w:t>
      </w:r>
    </w:p>
    <w:p>
      <w:pPr>
        <w:pStyle w:val="Normal"/>
        <w:rPr>
          <w:color w:val="auto"/>
        </w:rPr>
      </w:pPr>
      <w:r>
        <w:rPr>
          <w:color w:val="auto"/>
        </w:rPr>
      </w:r>
      <w:bookmarkStart w:id="19" w:name="_Ref486089944"/>
      <w:bookmarkStart w:id="20" w:name="_Ref486089944"/>
      <w:bookmarkEnd w:id="20"/>
    </w:p>
    <w:p>
      <w:pPr>
        <w:pStyle w:val="Equation"/>
        <w:rPr/>
      </w:pPr>
      <w:bookmarkStart w:id="21" w:name="_Ref486089944"/>
      <w:bookmarkEnd w:id="21"/>
      <w:r>
        <w:rPr>
          <w:i/>
          <w:color w:val="auto"/>
        </w:rPr>
        <w:tab/>
      </w:r>
      <w:r>
        <w:rPr>
          <w:color w:val="auto"/>
        </w:rPr>
      </w:r>
      <m:oMath xmlns:m="http://schemas.openxmlformats.org/officeDocument/2006/math">
        <m:eqArr>
          <m:e>
            <m:r>
              <m:t xml:space="preserve">E</m:t>
            </m:r>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r>
              <m:t xml:space="preserve">=</m:t>
            </m:r>
            <m:sSup>
              <m:e>
                <m:r>
                  <m:t xml:space="preserve">σ</m:t>
                </m:r>
              </m:e>
              <m:sup>
                <m:r>
                  <m:t xml:space="preserve">2</m:t>
                </m:r>
              </m:sup>
            </m:sSup>
            <m:d>
              <m:dPr>
                <m:begChr m:val="("/>
                <m:endChr m:val=")"/>
              </m:dPr>
              <m:e>
                <m:r>
                  <m:t xml:space="preserve">N</m:t>
                </m:r>
                <m:r>
                  <m:t xml:space="preserve">−</m:t>
                </m:r>
                <m:r>
                  <m:t xml:space="preserve">1</m:t>
                </m:r>
              </m:e>
            </m:d>
          </m:e>
          <m:e>
            <m:r>
              <m:t xml:space="preserve">σ</m:t>
            </m:r>
            <m:r>
              <m:t xml:space="preserve">=</m:t>
            </m:r>
            <m:rad>
              <m:radPr>
                <m:degHide m:val="1"/>
              </m:radPr>
              <m:deg/>
              <m:e>
                <m:f>
                  <m:num>
                    <m:r>
                      <m:t xml:space="preserve">1</m:t>
                    </m:r>
                  </m:num>
                  <m:den>
                    <m:r>
                      <m:t xml:space="preserve">N</m:t>
                    </m:r>
                    <m:r>
                      <m:t xml:space="preserve">−</m:t>
                    </m:r>
                    <m:r>
                      <m:t xml:space="preserve">1</m:t>
                    </m:r>
                  </m:den>
                </m:f>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e>
            </m:rad>
          </m:e>
        </m:eqArr>
      </m:oMath>
      <w:r>
        <w:rPr>
          <w:color w:val="auto"/>
        </w:rPr>
        <w:tab/>
        <w:t>(3.30)</w:t>
      </w:r>
    </w:p>
    <w:p>
      <w:pPr>
        <w:pStyle w:val="Normal"/>
        <w:rPr>
          <w:color w:val="auto"/>
        </w:rPr>
      </w:pPr>
      <w:r>
        <w:rPr>
          <w:color w:val="auto"/>
        </w:rPr>
      </w:r>
    </w:p>
    <w:p>
      <w:pPr>
        <w:pStyle w:val="Normal"/>
        <w:rPr/>
      </w:pPr>
      <w:r>
        <w:rPr>
          <w:color w:val="auto"/>
        </w:rPr>
        <w:t xml:space="preserve">which, of course, is the common definition for standard deviation.  If the stochastic equation (3.21) had </w:t>
      </w:r>
      <w:r>
        <w:rPr>
          <w:i/>
          <w:color w:val="auto"/>
        </w:rPr>
        <w:t>p</w:t>
      </w:r>
      <w:r>
        <w:rPr>
          <w:color w:val="auto"/>
        </w:rPr>
        <w:t xml:space="preserve"> parameters rather than just one, it can be shown through a similar analysis that the OLS estimate for </w:t>
      </w:r>
      <w:r>
        <w:rPr>
          <w:rFonts w:eastAsia="Symbol" w:cs="Symbol" w:ascii="Symbol" w:hAnsi="Symbol"/>
          <w:color w:val="auto"/>
        </w:rPr>
        <w:sym w:font="Symbol" w:char="f073"/>
      </w:r>
      <w:r>
        <w:rPr>
          <w:color w:val="auto"/>
        </w:rPr>
        <w:t xml:space="preserve"> in this case would be equation (3.30) with the denominator </w:t>
      </w:r>
      <w:r>
        <w:rPr>
          <w:i/>
          <w:color w:val="auto"/>
        </w:rPr>
        <w:t>N</w:t>
      </w:r>
      <w:r>
        <w:rPr>
          <w:color w:val="auto"/>
        </w:rPr>
        <w:t xml:space="preserve"> - 1 replaced by </w:t>
      </w:r>
      <w:r>
        <w:rPr>
          <w:i/>
          <w:color w:val="auto"/>
        </w:rPr>
        <w:t>N</w:t>
      </w:r>
      <w:r>
        <w:rPr>
          <w:color w:val="auto"/>
        </w:rPr>
        <w:t xml:space="preserve"> - </w:t>
      </w:r>
      <w:r>
        <w:rPr>
          <w:i/>
          <w:color w:val="auto"/>
        </w:rPr>
        <w:t>p</w:t>
      </w:r>
      <w:r>
        <w:rPr>
          <w:color w:val="auto"/>
        </w:rPr>
        <w:t>.</w:t>
      </w:r>
    </w:p>
    <w:p>
      <w:pPr>
        <w:pStyle w:val="Header"/>
        <w:tabs>
          <w:tab w:val="clear" w:pos="4320"/>
          <w:tab w:val="clear" w:pos="8640"/>
        </w:tabs>
        <w:rPr>
          <w:color w:val="auto"/>
        </w:rPr>
      </w:pPr>
      <w:r>
        <w:rPr>
          <w:color w:val="auto"/>
        </w:rPr>
      </w:r>
    </w:p>
    <w:p>
      <w:pPr>
        <w:pStyle w:val="Normal"/>
        <w:rPr>
          <w:color w:val="auto"/>
        </w:rPr>
      </w:pPr>
      <w:r>
        <w:rPr>
          <w:color w:val="auto"/>
        </w:rPr>
        <w:t>OLS estimators have the desirable properties of unbiasedness, consistency, and efficiency for a variety of problems, however, in the case of heteroskedastic systems, OLS estimators are not generally efficient, therefore other methods are often employed to provide estimates.</w:t>
      </w:r>
    </w:p>
    <w:p>
      <w:pPr>
        <w:pStyle w:val="Normal"/>
        <w:rPr>
          <w:color w:val="auto"/>
        </w:rPr>
      </w:pPr>
      <w:r>
        <w:rPr>
          <w:color w:val="auto"/>
        </w:rPr>
      </w:r>
    </w:p>
    <w:p>
      <w:pPr>
        <w:pStyle w:val="Heading3"/>
        <w:ind w:hanging="0" w:start="0"/>
        <w:rPr>
          <w:color w:val="auto"/>
        </w:rPr>
      </w:pPr>
      <w:r>
        <w:rPr>
          <w:color w:val="auto"/>
        </w:rPr>
        <w:t>3.4.3</w:t>
        <w:tab/>
        <w:t>Maximum Likelihood</w:t>
      </w:r>
    </w:p>
    <w:p>
      <w:pPr>
        <w:pStyle w:val="Normal"/>
        <w:rPr>
          <w:color w:val="auto"/>
        </w:rPr>
      </w:pPr>
      <w:r>
        <w:rPr>
          <w:color w:val="auto"/>
        </w:rPr>
      </w:r>
    </w:p>
    <w:p>
      <w:pPr>
        <w:pStyle w:val="Normal"/>
        <w:rPr/>
      </w:pPr>
      <w:r>
        <w:rPr>
          <w:color w:val="auto"/>
        </w:rPr>
        <w:t xml:space="preserve">Recall from section 2.11 that maximum likelihood is a powerful and general estimation method.  In this section we apply the method to volatility estimation and start by explaining the principle with an example.  Starting with the pure diffusion process, and to emphasize that the right-hand side of the equation is a normally distributed random number with a mean of zero and </w:t>
      </w:r>
      <w:r>
        <w:rPr>
          <w:rFonts w:eastAsia="Symbol" w:cs="Symbol" w:ascii="Symbol" w:hAnsi="Symbol"/>
          <w:color w:val="auto"/>
        </w:rPr>
        <w:sym w:font="Symbol" w:char="f073"/>
      </w:r>
      <w:r>
        <w:rPr>
          <w:color w:val="auto"/>
          <w:vertAlign w:val="superscript"/>
        </w:rPr>
        <w:t>2</w:t>
      </w:r>
      <w:r>
        <w:rPr>
          <w:color w:val="auto"/>
        </w:rPr>
        <w:t xml:space="preserve"> variance we recast equation (3.13)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oMath>
      <w:r>
        <w:rPr>
          <w:color w:val="auto"/>
        </w:rPr>
        <w:tab/>
        <w:t>(3.31)</w:t>
      </w:r>
    </w:p>
    <w:p>
      <w:pPr>
        <w:pStyle w:val="Normal"/>
        <w:rPr>
          <w:color w:val="auto"/>
        </w:rPr>
      </w:pPr>
      <w:r>
        <w:rPr>
          <w:color w:val="auto"/>
        </w:rPr>
      </w:r>
    </w:p>
    <w:p>
      <w:pPr>
        <w:pStyle w:val="Normal"/>
        <w:rPr/>
      </w:pPr>
      <w:r>
        <w:rPr>
          <w:color w:val="auto"/>
        </w:rPr>
        <w:t xml:space="preserve">The density function for each innovation </w:t>
      </w:r>
      <w:r>
        <w:rPr>
          <w:rFonts w:eastAsia="Symbol" w:cs="Symbol" w:ascii="Symbol" w:hAnsi="Symbol"/>
          <w:color w:val="auto"/>
        </w:rPr>
        <w:sym w:font="Symbol" w:char="f073"/>
        <w:sym w:font="Symbol" w:char="f065"/>
      </w:r>
      <w:r>
        <w:rPr>
          <w:i/>
          <w:color w:val="auto"/>
          <w:vertAlign w:val="subscript"/>
        </w:rPr>
        <w:t>t</w:t>
      </w:r>
      <w:r>
        <w:rPr>
          <w:color w:val="auto"/>
        </w:rPr>
        <w:t xml:space="preserve"> is then,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p</m:t>
        </m:r>
        <m:d>
          <m:dPr>
            <m:begChr m:val="("/>
            <m:endChr m:val=")"/>
          </m:dPr>
          <m:e>
            <m:sSub>
              <m:e>
                <m:r>
                  <m:t xml:space="preserve">y</m:t>
                </m:r>
              </m:e>
              <m:sub>
                <m:r>
                  <m:t xml:space="preserve">t</m:t>
                </m:r>
              </m:sub>
            </m:sSub>
            <m:r>
              <m:t xml:space="preserve">;</m:t>
            </m:r>
            <m:r>
              <m:t xml:space="preserve">κ</m:t>
            </m:r>
            <m:r>
              <m:t xml:space="preserve">,</m:t>
            </m:r>
            <m:r>
              <m:t xml:space="preserve">σ</m:t>
            </m:r>
          </m:e>
        </m:d>
        <m:r>
          <m:t xml:space="preserve">=</m:t>
        </m:r>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oMath>
      <w:r>
        <w:rPr>
          <w:color w:val="auto"/>
        </w:rPr>
        <w:tab/>
        <w:t>(3.32)</w:t>
      </w:r>
    </w:p>
    <w:p>
      <w:pPr>
        <w:pStyle w:val="Normal"/>
        <w:rPr>
          <w:color w:val="auto"/>
        </w:rPr>
      </w:pPr>
      <w:r>
        <w:rPr>
          <w:color w:val="auto"/>
        </w:rPr>
      </w:r>
    </w:p>
    <w:p>
      <w:pPr>
        <w:pStyle w:val="Normal"/>
        <w:rPr/>
      </w:pPr>
      <w:r>
        <w:rPr>
          <w:color w:val="auto"/>
        </w:rPr>
        <w:t xml:space="preserve">Because they are independent, the joint distribution for this set of </w:t>
      </w:r>
      <w:r>
        <w:rPr>
          <w:i/>
          <w:color w:val="auto"/>
        </w:rPr>
        <w:t>N</w:t>
      </w:r>
      <w:r>
        <w:rPr>
          <w:color w:val="auto"/>
        </w:rPr>
        <w:t xml:space="preserve"> numbers is </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p</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nary>
          <m:naryPr>
            <m:chr m:val="∏"/>
          </m:naryPr>
          <m:sub>
            <m:r>
              <m:t xml:space="preserve">t</m:t>
            </m:r>
            <m:r>
              <m:t xml:space="preserve">=</m:t>
            </m:r>
            <m:r>
              <m:t xml:space="preserve">1</m:t>
            </m:r>
          </m:sub>
          <m:sup>
            <m:r>
              <m:t xml:space="preserve">N</m:t>
            </m:r>
          </m:sup>
          <m:e>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e>
        </m:nary>
      </m:oMath>
      <w:r>
        <w:rPr>
          <w:color w:val="auto"/>
        </w:rPr>
        <w:tab/>
        <w:t>(3.33)</w:t>
      </w:r>
    </w:p>
    <w:p>
      <w:pPr>
        <w:pStyle w:val="Normal"/>
        <w:rPr>
          <w:color w:val="auto"/>
        </w:rPr>
      </w:pPr>
      <w:r>
        <w:rPr>
          <w:color w:val="auto"/>
        </w:rPr>
      </w:r>
    </w:p>
    <w:p>
      <w:pPr>
        <w:pStyle w:val="Normal"/>
        <w:rPr>
          <w:color w:val="auto"/>
        </w:rPr>
      </w:pPr>
      <w:r>
        <w:rPr>
          <w:color w:val="auto"/>
        </w:rPr>
        <w:t>This function represents the probability or likelihood that we would draw exactly this set of numbers.  For this reason, the joint density is typically called the likelihood function and is written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L</m:t>
        </m:r>
        <m:d>
          <m:dPr>
            <m:begChr m:val="("/>
            <m:endChr m:val=")"/>
          </m:dPr>
          <m:e>
            <m:d>
              <m:dPr>
                <m:begChr m:val="{"/>
                <m:endChr m:val="}"/>
              </m:dPr>
              <m:e>
                <m:sSub>
                  <m:e>
                    <m:r>
                      <m:t xml:space="preserve">y</m:t>
                    </m:r>
                  </m:e>
                  <m:sub>
                    <m:r>
                      <m:t xml:space="preserve">t</m:t>
                    </m:r>
                  </m:sub>
                </m:sSub>
              </m:e>
            </m:d>
            <m:r>
              <m:t xml:space="preserve">;</m:t>
            </m:r>
            <m:r>
              <m:t xml:space="preserve">Θ</m:t>
            </m:r>
          </m:e>
        </m:d>
        <m:r>
          <m:t xml:space="preserve">=</m:t>
        </m:r>
        <m:r>
          <m:t xml:space="preserve">p</m:t>
        </m:r>
        <m:d>
          <m:dPr>
            <m:begChr m:val="("/>
            <m:endChr m:val=")"/>
          </m:dPr>
          <m:e>
            <m:d>
              <m:dPr>
                <m:begChr m:val="{"/>
                <m:endChr m:val="}"/>
              </m:dPr>
              <m:e>
                <m:sSub>
                  <m:e>
                    <m:r>
                      <m:t xml:space="preserve">y</m:t>
                    </m:r>
                  </m:e>
                  <m:sub>
                    <m:r>
                      <m:t xml:space="preserve">t</m:t>
                    </m:r>
                  </m:sub>
                </m:sSub>
              </m:e>
            </m:d>
            <m:r>
              <m:t xml:space="preserve">;</m:t>
            </m:r>
            <m:r>
              <m:t xml:space="preserve">Θ</m:t>
            </m:r>
          </m:e>
        </m:d>
      </m:oMath>
      <w:r>
        <w:rPr>
          <w:color w:val="auto"/>
        </w:rPr>
        <w:tab/>
        <w:t>(3.34)</w:t>
      </w:r>
    </w:p>
    <w:p>
      <w:pPr>
        <w:pStyle w:val="Normal"/>
        <w:rPr>
          <w:color w:val="auto"/>
        </w:rPr>
      </w:pPr>
      <w:r>
        <w:rPr>
          <w:color w:val="auto"/>
        </w:rPr>
      </w:r>
    </w:p>
    <w:p>
      <w:pPr>
        <w:pStyle w:val="Normal"/>
        <w:rPr/>
      </w:pPr>
      <w:r>
        <w:rPr>
          <w:color w:val="auto"/>
        </w:rPr>
        <w:t>to emphasize that its value, given a set {y</w:t>
      </w:r>
      <w:r>
        <w:rPr>
          <w:i/>
          <w:color w:val="auto"/>
          <w:vertAlign w:val="subscript"/>
        </w:rPr>
        <w:t>t</w:t>
      </w:r>
      <w:r>
        <w:rPr>
          <w:color w:val="auto"/>
        </w:rPr>
        <w:t xml:space="preserve">} of observations, depends on the distribution’s parameters </w:t>
      </w:r>
      <w:r>
        <w:rPr>
          <w:rFonts w:eastAsia="Symbol" w:cs="Symbol" w:ascii="Symbol" w:hAnsi="Symbol"/>
          <w:color w:val="auto"/>
        </w:rPr>
        <w:sym w:font="Symbol" w:char="f051"/>
      </w:r>
      <w:r>
        <w:rPr>
          <w:color w:val="auto"/>
        </w:rPr>
        <w:t xml:space="preserve">.  With this definition, we can now turn the process around.  We now hypothesize that this set of numbers is drawn from a normal distribution of unknown mean and variance and ask the following question.  From what distribution is it most likely that these numbers were drawn, or, put another way, which values of </w:t>
      </w:r>
      <w:r>
        <w:rPr>
          <w:rFonts w:eastAsia="Symbol" w:cs="Symbol" w:ascii="Symbol" w:hAnsi="Symbol"/>
          <w:color w:val="auto"/>
        </w:rPr>
        <w:sym w:font="Symbol" w:char="f06d"/>
      </w:r>
      <w:r>
        <w:rPr>
          <w:color w:val="auto"/>
        </w:rPr>
        <w:t xml:space="preserve"> </w:t>
      </w:r>
      <w:r>
        <w:rPr>
          <w:color w:val="FF00FF"/>
        </w:rPr>
        <w:t>(?)</w:t>
      </w:r>
      <w:r>
        <w:rPr>
          <w:color w:val="auto"/>
        </w:rPr>
        <w:t xml:space="preserve"> and </w:t>
      </w:r>
      <w:r>
        <w:rPr>
          <w:rFonts w:eastAsia="Symbol" w:cs="Symbol" w:ascii="Symbol" w:hAnsi="Symbol"/>
          <w:color w:val="auto"/>
        </w:rPr>
        <w:sym w:font="Symbol" w:char="f073"/>
      </w:r>
      <w:r>
        <w:rPr>
          <w:color w:val="auto"/>
          <w:vertAlign w:val="superscript"/>
        </w:rPr>
        <w:t>2</w:t>
      </w:r>
      <w:r>
        <w:rPr>
          <w:color w:val="auto"/>
        </w:rPr>
        <w:t xml:space="preserve"> define the distribution that has the maximum likelihood of producing this set of numbers?  The answer is found by maximizing the likelihood function with respect to the model parameters.  As before, this is accomplished by setting the gradient with respect to the regression parameters equal to zero and solving for the parameter value.  For example, </w:t>
      </w:r>
    </w:p>
    <w:p>
      <w:pPr>
        <w:pStyle w:val="Normal"/>
        <w:rPr>
          <w:color w:val="auto"/>
        </w:rPr>
      </w:pPr>
      <w:r>
        <w:rPr>
          <w:color w:val="auto"/>
        </w:rPr>
      </w:r>
      <w:bookmarkStart w:id="22" w:name="_Ref486090586"/>
      <w:bookmarkStart w:id="23" w:name="_Ref486090586"/>
      <w:bookmarkEnd w:id="23"/>
    </w:p>
    <w:p>
      <w:pPr>
        <w:pStyle w:val="Equation"/>
        <w:rPr/>
      </w:pPr>
      <w:r>
        <w:rPr/>
        <w:tab/>
      </w:r>
      <w:r>
        <w:rPr/>
      </w:r>
      <m:oMath xmlns:m="http://schemas.openxmlformats.org/officeDocument/2006/math">
        <m:r>
          <m:rPr>
            <m:lit/>
            <m:nor/>
          </m:rPr>
          <m:t xml:space="preserve">ln</m:t>
        </m:r>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r>
          <m:t xml:space="preserve">−</m:t>
        </m:r>
        <m:f>
          <m:num>
            <m:r>
              <m:t xml:space="preserve">N</m:t>
            </m:r>
          </m:num>
          <m:den>
            <m:r>
              <m:t xml:space="preserve">2</m:t>
            </m:r>
          </m:den>
        </m:f>
        <m:r>
          <m:rPr>
            <m:lit/>
            <m:nor/>
          </m:rPr>
          <m:t xml:space="preserve">ln</m:t>
        </m:r>
        <m:r>
          <m:t xml:space="preserve">(</m:t>
        </m:r>
        <m:r>
          <m:t xml:space="preserve">2</m:t>
        </m:r>
        <m:r>
          <m:t xml:space="preserve">π</m:t>
        </m:r>
        <m:r>
          <m:t xml:space="preserve">)</m:t>
        </m:r>
        <m:r>
          <m:t xml:space="preserve">−</m:t>
        </m:r>
        <m:f>
          <m:num>
            <m:r>
              <m:t xml:space="preserve">N</m:t>
            </m:r>
          </m:num>
          <m:den>
            <m:r>
              <m:t xml:space="preserve">2</m:t>
            </m:r>
          </m:den>
        </m:f>
        <m:r>
          <m:rPr>
            <m:lit/>
            <m:nor/>
          </m:rPr>
          <m:t xml:space="preserve">ln</m:t>
        </m:r>
        <m:sSup>
          <m:e>
            <m:r>
              <m:t xml:space="preserve">σ</m:t>
            </m:r>
          </m:e>
          <m:sup>
            <m:r>
              <m:t xml:space="preserve">2</m:t>
            </m:r>
          </m:sup>
        </m:sSup>
        <m:r>
          <m:t xml:space="preserve">−</m:t>
        </m:r>
        <m:f>
          <m:num>
            <m:r>
              <m:t xml:space="preserve">1</m:t>
            </m:r>
          </m:num>
          <m:den>
            <m:r>
              <m:t xml:space="preserve">2</m:t>
            </m:r>
          </m:den>
        </m:f>
        <m:nary>
          <m:naryPr>
            <m:chr m:val="∑"/>
          </m:naryPr>
          <m:sub>
            <m:r>
              <m:t xml:space="preserve">t</m:t>
            </m:r>
            <m:r>
              <m:t xml:space="preserve">=</m:t>
            </m:r>
            <m:r>
              <m:t xml:space="preserve">1</m:t>
            </m:r>
          </m:sub>
          <m:sup>
            <m:r>
              <m:t xml:space="preserve">N</m:t>
            </m:r>
          </m:sup>
          <m:e>
            <m:d>
              <m:dPr>
                <m:begChr m:val="["/>
                <m:endChr m:val="]"/>
              </m:dPr>
              <m:e>
                <m:f>
                  <m:num>
                    <m:sSup>
                      <m:e>
                        <m:d>
                          <m:dPr>
                            <m:begChr m:val="("/>
                            <m:endChr m:val=")"/>
                          </m:dPr>
                          <m:e>
                            <m:sSub>
                              <m:e>
                                <m:r>
                                  <m:t xml:space="preserve">y</m:t>
                                </m:r>
                              </m:e>
                              <m:sub>
                                <m:r>
                                  <m:t xml:space="preserve">t</m:t>
                                </m:r>
                              </m:sub>
                            </m:sSub>
                            <m:r>
                              <m:t xml:space="preserve">−</m:t>
                            </m:r>
                            <m:r>
                              <m:t xml:space="preserve">κ</m:t>
                            </m:r>
                          </m:e>
                        </m:d>
                      </m:e>
                      <m:sup>
                        <m:r>
                          <m:t xml:space="preserve">2</m:t>
                        </m:r>
                      </m:sup>
                    </m:sSup>
                  </m:num>
                  <m:den>
                    <m:sSup>
                      <m:e>
                        <m:r>
                          <m:t xml:space="preserve">σ</m:t>
                        </m:r>
                      </m:e>
                      <m:sup>
                        <m:r>
                          <m:t xml:space="preserve">2</m:t>
                        </m:r>
                      </m:sup>
                    </m:sSup>
                  </m:den>
                </m:f>
              </m:e>
            </m:d>
          </m:e>
        </m:nary>
      </m:oMath>
      <w:r>
        <w:rPr/>
        <w:tab/>
        <w:t>(3.35a)</w:t>
      </w:r>
    </w:p>
    <w:p>
      <w:pPr>
        <w:pStyle w:val="Equation"/>
        <w:rPr>
          <w:color w:val="auto"/>
        </w:rPr>
      </w:pPr>
      <w:r>
        <w:rPr/>
        <w:tab/>
      </w:r>
      <w:r>
        <w:rPr/>
      </w:r>
      <m:oMath xmlns:m="http://schemas.openxmlformats.org/officeDocument/2006/math">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κ</m:t>
            </m:r>
          </m:den>
        </m:f>
        <m:r>
          <m:t xml:space="preserve">=</m:t>
        </m:r>
        <m:f>
          <m:num>
            <m:r>
              <m:t xml:space="preserve">1</m:t>
            </m:r>
          </m:num>
          <m:den>
            <m:sSup>
              <m:e>
                <m:r>
                  <m:t xml:space="preserve">σ</m:t>
                </m:r>
              </m:e>
              <m:sup>
                <m:r>
                  <m:t xml:space="preserve">2</m:t>
                </m:r>
              </m:sup>
            </m:sSup>
          </m:den>
        </m:f>
        <m:nary>
          <m:naryPr>
            <m:chr m:val="∑"/>
          </m:naryPr>
          <m:sub>
            <m:r>
              <m:t xml:space="preserve">t</m:t>
            </m:r>
            <m:r>
              <m:t xml:space="preserve">=</m:t>
            </m:r>
            <m:r>
              <m:t xml:space="preserve">1</m:t>
            </m:r>
          </m:sub>
          <m:sup>
            <m:r>
              <m:t xml:space="preserve">N</m:t>
            </m:r>
          </m:sup>
          <m:e>
            <m:d>
              <m:dPr>
                <m:begChr m:val="("/>
                <m:endChr m:val=")"/>
              </m:dPr>
              <m:e>
                <m:sSub>
                  <m:e>
                    <m:r>
                      <m:t xml:space="preserve">y</m:t>
                    </m:r>
                  </m:e>
                  <m:sub>
                    <m:r>
                      <m:t xml:space="preserve">t</m:t>
                    </m:r>
                  </m:sub>
                </m:sSub>
                <m:r>
                  <m:t xml:space="preserve">−</m:t>
                </m:r>
                <m:r>
                  <m:t xml:space="preserve">κ</m:t>
                </m:r>
              </m:e>
            </m:d>
          </m:e>
        </m:nary>
        <m:r>
          <m:t xml:space="preserve">=</m:t>
        </m:r>
        <m:r>
          <m:t xml:space="preserve">0</m:t>
        </m:r>
      </m:oMath>
      <w:r>
        <w:rPr/>
        <w:tab/>
        <w:t>(3.35b)</w:t>
      </w:r>
    </w:p>
    <w:p>
      <w:pPr>
        <w:pStyle w:val="Equation"/>
        <w:rPr/>
      </w:pPr>
      <w:bookmarkStart w:id="24" w:name="_Ref486090586"/>
      <w:bookmarkEnd w:id="24"/>
      <w:r>
        <w:rPr>
          <w:i/>
          <w:color w:val="auto"/>
        </w:rPr>
        <w:tab/>
      </w:r>
      <w:r>
        <w:rPr>
          <w:color w:val="auto"/>
        </w:rPr>
      </w:r>
      <m:oMath xmlns:m="http://schemas.openxmlformats.org/officeDocument/2006/math">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oMath>
      <w:r>
        <w:rPr>
          <w:color w:val="auto"/>
        </w:rPr>
        <w:tab/>
        <w:t>(3.35c)</w:t>
      </w:r>
    </w:p>
    <w:p>
      <w:pPr>
        <w:pStyle w:val="Normal"/>
        <w:rPr>
          <w:color w:val="auto"/>
        </w:rPr>
      </w:pPr>
      <w:r>
        <w:rPr>
          <w:color w:val="auto"/>
        </w:rPr>
      </w:r>
    </w:p>
    <w:p>
      <w:pPr>
        <w:pStyle w:val="Normal"/>
        <w:rPr/>
      </w:pPr>
      <w:r>
        <w:rPr>
          <w:color w:val="auto"/>
        </w:rPr>
        <w:t>Note the use of the log likelihood function ln</w:t>
      </w:r>
      <w:r>
        <w:rPr/>
      </w:r>
      <m:oMath xmlns:m="http://schemas.openxmlformats.org/officeDocument/2006/math">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oMath>
      <w:r>
        <w:rPr>
          <w:color w:val="auto"/>
        </w:rPr>
        <w:t>.  This is a common practice because the natural log is typically easier to treat mathematically and computationally, and parameters that maximize the log likelihood are guaranteed to maximize the likelihood function as well.</w:t>
      </w:r>
    </w:p>
    <w:p>
      <w:pPr>
        <w:pStyle w:val="Normal"/>
        <w:rPr>
          <w:color w:val="auto"/>
        </w:rPr>
      </w:pPr>
      <w:r>
        <w:rPr>
          <w:color w:val="auto"/>
        </w:rPr>
      </w:r>
    </w:p>
    <w:p>
      <w:pPr>
        <w:pStyle w:val="Normal"/>
        <w:rPr>
          <w:color w:val="auto"/>
        </w:rPr>
      </w:pPr>
      <w:r>
        <w:rPr>
          <w:color w:val="auto"/>
        </w:rPr>
        <w:t>Equations (3.34) and (3.35c) are referred to as the Maximum Likelihood Estimators or MLEs, and the derived parameters are ML estimates of the true distribution parameters.  An obvious question is whether or not MLEs provide “best guesses” of the true parameters.  We state without proof that, assuming the likelihood function obeys some specific regularity conditions, MLEs are consistent, asymptotically normal, and asymptotically efficient.  In fact, MLEs are at least as asymptotically efficient as any consistent estimator.</w:t>
      </w:r>
    </w:p>
    <w:p>
      <w:pPr>
        <w:pStyle w:val="Normal"/>
        <w:rPr>
          <w:color w:val="auto"/>
        </w:rPr>
      </w:pPr>
      <w:r>
        <w:rPr>
          <w:color w:val="auto"/>
        </w:rPr>
      </w:r>
    </w:p>
    <w:p>
      <w:pPr>
        <w:pStyle w:val="Normal"/>
        <w:rPr>
          <w:color w:val="auto"/>
        </w:rPr>
      </w:pPr>
      <w:r>
        <w:rPr>
          <w:color w:val="auto"/>
        </w:rPr>
        <w:t>It is interesting to note that although ML estimation is consistent, it is not unbiased in general.  For example, the ML estimate for the variance derived from equation (3.35c) is found to be;</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e>
          <m:e>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f>
              <m:num>
                <m:r>
                  <m:t xml:space="preserve">N</m:t>
                </m:r>
              </m:num>
              <m:den>
                <m:r>
                  <m:t xml:space="preserve">2</m:t>
                </m:r>
                <m:sSup>
                  <m:e>
                    <m:r>
                      <m:t xml:space="preserve">σ</m:t>
                    </m:r>
                  </m:e>
                  <m:sup>
                    <m:r>
                      <m:t xml:space="preserve">2</m:t>
                    </m:r>
                  </m:sup>
                </m:sSup>
              </m:den>
            </m:f>
          </m:e>
          <m:e>
            <m:sSup>
              <m:e>
                <m:r>
                  <m:t xml:space="preserve">σ</m:t>
                </m:r>
              </m:e>
              <m:sup>
                <m:r>
                  <m:t xml:space="preserve">2</m:t>
                </m:r>
              </m:sup>
            </m:sSup>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e>
        </m:eqArr>
      </m:oMath>
      <w:r>
        <w:rPr>
          <w:color w:val="auto"/>
        </w:rPr>
        <w:tab/>
        <w:t>(3.36)</w:t>
      </w:r>
    </w:p>
    <w:p>
      <w:pPr>
        <w:pStyle w:val="Normal"/>
        <w:rPr>
          <w:color w:val="auto"/>
        </w:rPr>
      </w:pPr>
      <w:r>
        <w:rPr>
          <w:color w:val="auto"/>
        </w:rPr>
      </w:r>
    </w:p>
    <w:p>
      <w:pPr>
        <w:pStyle w:val="Normal"/>
        <w:rPr/>
      </w:pPr>
      <w:r>
        <w:rPr>
          <w:color w:val="auto"/>
        </w:rPr>
        <w:t xml:space="preserve">which is not the same as the OLS unbiased estimate </w:t>
      </w:r>
      <w:r>
        <w:rPr>
          <w:color w:val="auto"/>
        </w:rPr>
      </w:r>
      <m:oMath xmlns:m="http://schemas.openxmlformats.org/officeDocument/2006/math">
        <m:sSup>
          <m:e>
            <m:r>
              <m:t xml:space="preserve">σ</m:t>
            </m:r>
          </m:e>
          <m:sup>
            <m:r>
              <m:t xml:space="preserve">2</m:t>
            </m:r>
          </m:sup>
        </m:sSup>
        <m:r>
          <m:t xml:space="preserve">=</m:t>
        </m:r>
        <m:f>
          <m:num>
            <m:r>
              <m:t xml:space="preserve">1</m:t>
            </m:r>
          </m:num>
          <m:den>
            <m:r>
              <m:t xml:space="preserve">N</m:t>
            </m:r>
            <m:r>
              <m:t xml:space="preserve">−</m:t>
            </m:r>
            <m:r>
              <m:t xml:space="preserve">1</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oMath>
      <w:r>
        <w:rPr>
          <w:color w:val="auto"/>
        </w:rPr>
        <w:t>.  As we mentioned before however, the ML estimate is more efficient than OLS and, in cases of small numbers of observations, may be a better estimate in the sense of having the minimum mean squared error.</w:t>
      </w:r>
    </w:p>
    <w:p>
      <w:pPr>
        <w:pStyle w:val="Normal"/>
        <w:rPr>
          <w:color w:val="auto"/>
        </w:rPr>
      </w:pPr>
      <w:r>
        <w:rPr>
          <w:color w:val="auto"/>
        </w:rPr>
      </w:r>
    </w:p>
    <w:p>
      <w:pPr>
        <w:pStyle w:val="Heading3"/>
        <w:ind w:hanging="0" w:start="0"/>
        <w:rPr>
          <w:color w:val="auto"/>
        </w:rPr>
      </w:pPr>
      <w:r>
        <w:rPr>
          <w:color w:val="auto"/>
        </w:rPr>
        <w:t>3.4.4</w:t>
        <w:tab/>
        <w:t>Testing</w:t>
      </w:r>
    </w:p>
    <w:p>
      <w:pPr>
        <w:pStyle w:val="Normal"/>
        <w:rPr>
          <w:color w:val="auto"/>
        </w:rPr>
      </w:pPr>
      <w:r>
        <w:rPr>
          <w:color w:val="auto"/>
        </w:rPr>
      </w:r>
    </w:p>
    <w:p>
      <w:pPr>
        <w:pStyle w:val="Normal"/>
        <w:rPr>
          <w:color w:val="auto"/>
        </w:rPr>
      </w:pPr>
      <w:r>
        <w:rPr>
          <w:color w:val="auto"/>
        </w:rPr>
        <w:t>Having decided on a hypothesis for the price process under study and estimated the model’s parameters, it is essential to test the validity of that hypothesis.  Unfortunately, the importance of this step is sometimes ignored in the rush to produce results.  For example, the ubiquity of Black-Scholes-Merton option pricing in equity markets means that it is very common to assume that pure diffusion also describes energy commodity prices.  Figure 3.4 shows average daily prices for NSW electricity for the calendar year 1999.</w:t>
      </w:r>
    </w:p>
    <w:p>
      <w:pPr>
        <w:pStyle w:val="Normal"/>
        <w:rPr>
          <w:color w:val="auto"/>
        </w:rPr>
      </w:pPr>
      <w:r>
        <w:rPr>
          <w:color w:val="auto"/>
        </w:rPr>
      </w:r>
    </w:p>
    <w:p>
      <w:pPr>
        <w:pStyle w:val="Heading4"/>
        <w:jc w:val="center"/>
        <w:rPr/>
      </w:pPr>
      <w:bookmarkStart w:id="25" w:name="_Ref486250657"/>
      <w:r>
        <w:rPr>
          <w:color w:val="auto"/>
        </w:rPr>
        <w:t xml:space="preserve">Figure 3.4 </w:t>
      </w:r>
      <w:bookmarkEnd w:id="25"/>
      <w:r>
        <w:rPr>
          <w:color w:val="auto"/>
          <w:lang w:val="en-CA"/>
        </w:rPr>
        <w:t>Daily Average NSW Power Prices</w:t>
      </w:r>
    </w:p>
    <w:p>
      <w:pPr>
        <w:pStyle w:val="Heading4"/>
        <w:jc w:val="center"/>
        <w:rPr>
          <w:color w:val="auto"/>
          <w:lang w:val="en-CA"/>
        </w:rPr>
      </w:pPr>
      <w:r>
        <w:rPr>
          <w:color w:val="auto"/>
          <w:lang w:val="en-CA"/>
        </w:rPr>
        <w:t>(Jan. 1, 1999 - Dec. 31, 1999)</w:t>
      </w:r>
    </w:p>
    <w:p>
      <w:pPr>
        <w:pStyle w:val="Normal"/>
        <w:jc w:val="center"/>
        <w:rPr>
          <w:color w:val="auto"/>
        </w:rPr>
      </w:pPr>
      <w:bookmarkStart w:id="26" w:name="_1023121494"/>
      <w:bookmarkEnd w:id="26"/>
      <w:r>
        <w:rPr>
          <w:color w:val="auto"/>
        </w:rPr>
        <w:object w:dxaOrig="15360" w:dyaOrig="1177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85.3pt;height:294.7pt" filled="f" o:ole="">
            <v:imagedata r:id="rId9" o:title=""/>
          </v:shape>
          <o:OLEObject Type="Embed" ProgID="Excel.Sheet.12" ShapeID="ole_rId8" DrawAspect="Content" ObjectID="_1944832773" r:id="rId8"/>
        </w:object>
      </w:r>
    </w:p>
    <w:p>
      <w:pPr>
        <w:pStyle w:val="Normal"/>
        <w:rPr>
          <w:color w:val="auto"/>
        </w:rPr>
      </w:pPr>
      <w:r>
        <w:rPr>
          <w:color w:val="auto"/>
        </w:rPr>
      </w:r>
      <w:bookmarkStart w:id="27" w:name="_Ref486251111"/>
      <w:bookmarkStart w:id="28" w:name="_Ref486251111"/>
    </w:p>
    <w:p>
      <w:pPr>
        <w:pStyle w:val="Normal"/>
        <w:rPr>
          <w:color w:val="auto"/>
        </w:rPr>
      </w:pPr>
      <w:r>
        <w:rPr>
          <w:color w:val="auto"/>
        </w:rPr>
        <w:t>The standard diffusion variance estimate described earlier in this chapter yields a daily volatility of 21.4%.  Without other test statistics, it is impossible to judge how meaningful this number is and how well the diffusion process explains the price behaviour.  We can make qualitative judgements by graphing the frequency of daily returns and overlaying a Gaussian curve with zero mean and standard deviation equal to the derived volatility as shown in figure 3.5.</w:t>
      </w:r>
    </w:p>
    <w:p>
      <w:pPr>
        <w:pStyle w:val="Normal"/>
        <w:rPr>
          <w:color w:val="auto"/>
        </w:rPr>
      </w:pPr>
      <w:r>
        <w:rPr>
          <w:color w:val="auto"/>
        </w:rPr>
      </w:r>
    </w:p>
    <w:p>
      <w:pPr>
        <w:pStyle w:val="Heading4"/>
        <w:jc w:val="center"/>
        <w:rPr/>
      </w:pPr>
      <w:bookmarkStart w:id="29" w:name="_Ref486251111"/>
      <w:r>
        <w:rPr>
          <w:color w:val="auto"/>
        </w:rPr>
        <w:t xml:space="preserve">Figure 3.5 </w:t>
      </w:r>
      <w:bookmarkEnd w:id="29"/>
      <w:r>
        <w:rPr>
          <w:color w:val="auto"/>
          <w:lang w:val="en-CA"/>
        </w:rPr>
        <w:t>Daily Average NSW Power Prices Log Returns</w:t>
      </w:r>
    </w:p>
    <w:p>
      <w:pPr>
        <w:pStyle w:val="Heading4"/>
        <w:jc w:val="center"/>
        <w:rPr>
          <w:color w:val="auto"/>
          <w:lang w:val="en-CA"/>
        </w:rPr>
      </w:pPr>
      <w:r>
        <w:rPr>
          <w:color w:val="auto"/>
          <w:lang w:val="en-CA"/>
        </w:rPr>
        <w:t>(Jan. 1, 1999 - Dec. 31, 1999)</w:t>
      </w:r>
    </w:p>
    <w:p>
      <w:pPr>
        <w:pStyle w:val="Normal"/>
        <w:jc w:val="center"/>
        <w:rPr>
          <w:color w:val="auto"/>
        </w:rPr>
      </w:pPr>
      <w:bookmarkStart w:id="30" w:name="_1023121747"/>
      <w:bookmarkStart w:id="31" w:name="_1023121675"/>
      <w:bookmarkEnd w:id="30"/>
      <w:bookmarkEnd w:id="31"/>
      <w:r>
        <w:rPr>
          <w:color w:val="auto"/>
        </w:rPr>
        <w:object w:dxaOrig="15360" w:dyaOrig="1177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06.55pt;height:277.6pt" filled="f" o:ole="">
            <v:imagedata r:id="rId11" o:title=""/>
          </v:shape>
          <o:OLEObject Type="Embed" ProgID="Excel.Sheet.12" ShapeID="ole_rId10" DrawAspect="Content" ObjectID="_535230669" r:id="rId10"/>
        </w:object>
      </w:r>
    </w:p>
    <w:p>
      <w:pPr>
        <w:pStyle w:val="Normal"/>
        <w:rPr>
          <w:color w:val="auto"/>
        </w:rPr>
      </w:pPr>
      <w:r>
        <w:rPr>
          <w:color w:val="auto"/>
        </w:rPr>
      </w:r>
    </w:p>
    <w:p>
      <w:pPr>
        <w:pStyle w:val="Normal"/>
        <w:rPr/>
      </w:pPr>
      <w:r>
        <w:rPr>
          <w:color w:val="auto"/>
        </w:rPr>
        <w:t xml:space="preserve">This figure amply demonstrates the poor quality of the fit.  The standard deviation seems to be overly influenced by a few large valued returns at the expense of a larger number of small valued returns.  Indeed, fitting "by-eye", as suggested by the dashed normal distribution in the figure, might lead us to estimate a rather lower volatility.  Calculating the skew and kurtosis (third and fourth moments) of the returns distribution provides a more quantitative test of normality.  If the return distribution is normally distributed </w:t>
      </w:r>
      <w:r>
        <w:rPr>
          <w:color w:val="FF00FF"/>
        </w:rPr>
        <w:t>(?)</w:t>
      </w:r>
      <w:r>
        <w:rPr>
          <w:color w:val="auto"/>
        </w:rPr>
        <w:t xml:space="preserve">, then the two statistics </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
          <m:e>
            <m:r>
              <m:t xml:space="preserve">T</m:t>
            </m:r>
          </m:e>
          <m:sub>
            <m:r>
              <m:rPr>
                <m:lit/>
                <m:nor/>
              </m:rPr>
              <m:t xml:space="preserve">skew</m:t>
            </m:r>
          </m:sub>
        </m:sSub>
        <m:r>
          <m:t xml:space="preserve">=</m:t>
        </m:r>
        <m:f>
          <m:num>
            <m:r>
              <m:t xml:space="preserve">1</m:t>
            </m:r>
          </m:num>
          <m:den>
            <m:rad>
              <m:radPr>
                <m:degHide m:val="1"/>
              </m:radPr>
              <m:deg/>
              <m:e>
                <m:r>
                  <m:t xml:space="preserve">6</m:t>
                </m:r>
                <m:r>
                  <m:t xml:space="preserve">N</m:t>
                </m:r>
              </m:e>
            </m:rad>
          </m:den>
        </m:f>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oMath>
      <w:r>
        <w:rPr>
          <w:color w:val="auto"/>
        </w:rPr>
        <w:tab/>
        <w:t>(3.37)</w:t>
      </w:r>
    </w:p>
    <w:p>
      <w:pPr>
        <w:pStyle w:val="Normal"/>
        <w:rPr>
          <w:color w:val="auto"/>
        </w:rPr>
      </w:pPr>
      <w:r>
        <w:rPr>
          <w:color w:val="auto"/>
        </w:rPr>
      </w:r>
    </w:p>
    <w:p>
      <w:pPr>
        <w:pStyle w:val="Normal"/>
        <w:rPr>
          <w:color w:val="auto"/>
        </w:rPr>
      </w:pPr>
      <w:r>
        <w:rPr>
          <w:color w:val="auto"/>
        </w:rPr>
        <w:t>and</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
          <m:e>
            <m:r>
              <m:t xml:space="preserve">T</m:t>
            </m:r>
          </m:e>
          <m:sub>
            <m:r>
              <m:rPr>
                <m:lit/>
                <m:nor/>
              </m:rPr>
              <m:t xml:space="preserve">kurt</m:t>
            </m:r>
          </m:sub>
        </m:sSub>
        <m:r>
          <m:t xml:space="preserve">=</m:t>
        </m:r>
        <m:f>
          <m:num>
            <m:r>
              <m:t xml:space="preserve">1</m:t>
            </m:r>
          </m:num>
          <m:den>
            <m:rad>
              <m:radPr>
                <m:degHide m:val="1"/>
              </m:radPr>
              <m:deg/>
              <m:e>
                <m:r>
                  <m:rPr>
                    <m:lit/>
                    <m:nor/>
                  </m:rPr>
                  <m:t xml:space="preserve">24</m:t>
                </m:r>
                <m:r>
                  <m:t xml:space="preserve">N</m:t>
                </m:r>
              </m:e>
            </m:rad>
          </m:den>
        </m:f>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oMath>
      <w:r>
        <w:rPr>
          <w:color w:val="auto"/>
        </w:rPr>
        <w:tab/>
        <w:t>(3.38)</w:t>
      </w:r>
    </w:p>
    <w:p>
      <w:pPr>
        <w:pStyle w:val="Normal"/>
        <w:rPr>
          <w:color w:val="auto"/>
        </w:rPr>
      </w:pPr>
      <w:r>
        <w:rPr>
          <w:color w:val="auto"/>
        </w:rPr>
      </w:r>
    </w:p>
    <w:p>
      <w:pPr>
        <w:pStyle w:val="Normal"/>
        <w:rPr/>
      </w:pPr>
      <w:r>
        <w:rPr>
          <w:color w:val="auto"/>
        </w:rPr>
        <w:t xml:space="preserve">are, in the limit of large </w:t>
      </w:r>
      <w:r>
        <w:rPr>
          <w:i/>
          <w:color w:val="auto"/>
        </w:rPr>
        <w:t>N</w:t>
      </w:r>
      <w:r>
        <w:rPr>
          <w:color w:val="auto"/>
        </w:rPr>
        <w:t xml:space="preserve">, distributed as </w:t>
      </w:r>
      <w:r>
        <w:rPr>
          <w:i/>
          <w:color w:val="auto"/>
        </w:rPr>
        <w:t>N</w:t>
      </w:r>
      <w:r>
        <w:rPr>
          <w:color w:val="auto"/>
        </w:rPr>
        <w:t xml:space="preserve">(0,1).  Jarque and Bera (1980) suggested a related statistic by combining equations (3.37) and (3.38) to form </w:t>
      </w:r>
    </w:p>
    <w:p>
      <w:pPr>
        <w:pStyle w:val="Normal"/>
        <w:rPr>
          <w:color w:val="auto"/>
        </w:rPr>
      </w:pPr>
      <w:r>
        <w:rPr>
          <w:color w:val="auto"/>
        </w:rPr>
      </w:r>
      <w:bookmarkStart w:id="32" w:name="_Ref486667159"/>
      <w:bookmarkStart w:id="33" w:name="_Ref486667159"/>
      <w:bookmarkEnd w:id="33"/>
    </w:p>
    <w:p>
      <w:pPr>
        <w:pStyle w:val="Equation"/>
        <w:rPr/>
      </w:pPr>
      <w:bookmarkStart w:id="34" w:name="_Ref486667159"/>
      <w:bookmarkEnd w:id="34"/>
      <w:r>
        <w:rPr>
          <w:i/>
          <w:color w:val="auto"/>
        </w:rPr>
        <w:tab/>
      </w:r>
      <w:r>
        <w:rPr>
          <w:color w:val="auto"/>
        </w:rPr>
      </w:r>
      <m:oMath xmlns:m="http://schemas.openxmlformats.org/officeDocument/2006/math">
        <m:sSub>
          <m:e>
            <m:r>
              <m:t xml:space="preserve">T</m:t>
            </m:r>
          </m:e>
          <m:sub>
            <m:r>
              <m:rPr>
                <m:lit/>
                <m:nor/>
              </m:rPr>
              <m:t xml:space="preserve">JB</m:t>
            </m:r>
          </m:sub>
        </m:sSub>
        <m:r>
          <m:t xml:space="preserve">=</m:t>
        </m:r>
        <m:r>
          <m:t xml:space="preserve">N</m:t>
        </m:r>
        <m:d>
          <m:dPr>
            <m:begChr m:val="["/>
            <m:endChr m:val="]"/>
          </m:dPr>
          <m:e>
            <m:f>
              <m:num>
                <m:sSup>
                  <m:e>
                    <m:r>
                      <m:rPr>
                        <m:lit/>
                        <m:nor/>
                      </m:rPr>
                      <m:t xml:space="preserve">Skew</m:t>
                    </m:r>
                  </m:e>
                  <m:sup>
                    <m:r>
                      <m:t xml:space="preserve">2</m:t>
                    </m:r>
                  </m:sup>
                </m:sSup>
              </m:num>
              <m:den>
                <m:r>
                  <m:t xml:space="preserve">6</m:t>
                </m:r>
              </m:den>
            </m:f>
            <m:r>
              <m:t xml:space="preserve">+</m:t>
            </m:r>
            <m:f>
              <m:num>
                <m:sSup>
                  <m:e>
                    <m:r>
                      <m:rPr>
                        <m:lit/>
                        <m:nor/>
                      </m:rPr>
                      <m:t xml:space="preserve">Kurtosis</m:t>
                    </m:r>
                  </m:e>
                  <m:sup>
                    <m:r>
                      <m:t xml:space="preserve">2</m:t>
                    </m:r>
                  </m:sup>
                </m:sSup>
              </m:num>
              <m:den>
                <m:r>
                  <m:rPr>
                    <m:lit/>
                    <m:nor/>
                  </m:rPr>
                  <m:t xml:space="preserve">24</m:t>
                </m:r>
              </m:den>
            </m:f>
          </m:e>
        </m:d>
      </m:oMath>
      <w:r>
        <w:rPr>
          <w:color w:val="auto"/>
        </w:rPr>
        <w:tab/>
        <w:t>(3.39)</w:t>
      </w:r>
    </w:p>
    <w:p>
      <w:pPr>
        <w:pStyle w:val="Normal"/>
        <w:rPr>
          <w:color w:val="auto"/>
        </w:rPr>
      </w:pPr>
      <w:r>
        <w:rPr>
          <w:color w:val="auto"/>
        </w:rPr>
      </w:r>
    </w:p>
    <w:p>
      <w:pPr>
        <w:pStyle w:val="Normal"/>
        <w:rPr/>
      </w:pPr>
      <w:r>
        <w:rPr>
          <w:color w:val="auto"/>
        </w:rPr>
        <w:t xml:space="preserve">which, in the limit of large </w:t>
      </w:r>
      <w:r>
        <w:rPr>
          <w:i/>
          <w:color w:val="auto"/>
        </w:rPr>
        <w:t>N</w:t>
      </w:r>
      <w:r>
        <w:rPr>
          <w:color w:val="auto"/>
        </w:rPr>
        <w:t xml:space="preserve">, is equal to </w:t>
      </w:r>
    </w:p>
    <w:p>
      <w:pPr>
        <w:pStyle w:val="Equation"/>
        <w:rPr>
          <w:i/>
          <w:i/>
          <w:color w:val="auto"/>
        </w:rPr>
      </w:pPr>
      <w:r>
        <w:rPr>
          <w:i/>
          <w:color w:val="auto"/>
        </w:rPr>
      </w:r>
    </w:p>
    <w:p>
      <w:pPr>
        <w:pStyle w:val="Equation"/>
        <w:rPr/>
      </w:pPr>
      <w:r>
        <w:rPr>
          <w:i/>
          <w:color w:val="auto"/>
        </w:rPr>
        <w:tab/>
      </w:r>
      <w:r>
        <w:rPr>
          <w:color w:val="auto"/>
        </w:rPr>
      </w:r>
      <m:oMath xmlns:m="http://schemas.openxmlformats.org/officeDocument/2006/math">
        <m:f>
          <m:num>
            <m:r>
              <m:t xml:space="preserve">1</m:t>
            </m:r>
          </m:num>
          <m:den>
            <m:r>
              <m:t xml:space="preserve">6</m:t>
            </m:r>
          </m:den>
        </m:f>
        <m:sSup>
          <m:e>
            <m:d>
              <m:dPr>
                <m:begChr m:val="("/>
                <m:endChr m:val=")"/>
              </m:dPr>
              <m:e>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e>
            </m:d>
          </m:e>
          <m:sup>
            <m:r>
              <m:t xml:space="preserve">2</m:t>
            </m:r>
          </m:sup>
        </m:sSup>
        <m:r>
          <m:t xml:space="preserve">+</m:t>
        </m:r>
        <m:f>
          <m:num>
            <m:r>
              <m:t xml:space="preserve">1</m:t>
            </m:r>
          </m:num>
          <m:den>
            <m:r>
              <m:rPr>
                <m:lit/>
                <m:nor/>
              </m:rPr>
              <m:t xml:space="preserve">24</m:t>
            </m:r>
          </m:den>
        </m:f>
        <m:sSup>
          <m:e>
            <m:d>
              <m:dPr>
                <m:begChr m:val="("/>
                <m:endChr m:val=")"/>
              </m:dPr>
              <m:e>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e>
            </m:d>
          </m:e>
          <m:sup>
            <m:r>
              <m:t xml:space="preserve">2</m:t>
            </m:r>
          </m:sup>
        </m:sSup>
      </m:oMath>
      <w:r>
        <w:rPr>
          <w:color w:val="auto"/>
        </w:rPr>
        <w:tab/>
        <w:t>(3.40)</w:t>
      </w:r>
    </w:p>
    <w:p>
      <w:pPr>
        <w:pStyle w:val="Normal"/>
        <w:rPr>
          <w:color w:val="auto"/>
        </w:rPr>
      </w:pPr>
      <w:r>
        <w:rPr>
          <w:color w:val="auto"/>
        </w:rPr>
      </w:r>
    </w:p>
    <w:p>
      <w:pPr>
        <w:pStyle w:val="Normal"/>
        <w:rPr/>
      </w:pPr>
      <w:r>
        <w:rPr>
          <w:color w:val="auto"/>
        </w:rPr>
        <w:t xml:space="preserve">The Jarque-Bera statistic is distributed as </w:t>
      </w:r>
      <w:r>
        <w:rPr>
          <w:rFonts w:eastAsia="Symbol" w:cs="Symbol" w:ascii="Symbol" w:hAnsi="Symbol"/>
          <w:color w:val="auto"/>
        </w:rPr>
        <w:sym w:font="Symbol" w:char="f063"/>
      </w:r>
      <w:r>
        <w:rPr>
          <w:color w:val="auto"/>
          <w:vertAlign w:val="superscript"/>
        </w:rPr>
        <w:t>2</w:t>
      </w:r>
      <w:r>
        <w:rPr>
          <w:color w:val="auto"/>
        </w:rPr>
        <w:t xml:space="preserve"> of degree 2.</w:t>
      </w:r>
    </w:p>
    <w:p>
      <w:pPr>
        <w:pStyle w:val="Normal"/>
        <w:rPr>
          <w:color w:val="auto"/>
        </w:rPr>
      </w:pPr>
      <w:r>
        <w:rPr>
          <w:color w:val="auto"/>
        </w:rPr>
      </w:r>
    </w:p>
    <w:p>
      <w:pPr>
        <w:pStyle w:val="Normal"/>
        <w:rPr/>
      </w:pPr>
      <w:r>
        <w:rPr>
          <w:color w:val="auto"/>
        </w:rPr>
        <w:t xml:space="preserve">Returning to the NSW daily price data, we find for the 364 observations the skew and kurtosis to be 0.177 and 6.22 respectively.  The statistic </w:t>
      </w:r>
      <w:r>
        <w:rPr>
          <w:i/>
          <w:color w:val="auto"/>
        </w:rPr>
        <w:t>T</w:t>
      </w:r>
      <w:r>
        <w:rPr>
          <w:i/>
          <w:color w:val="auto"/>
          <w:vertAlign w:val="subscript"/>
        </w:rPr>
        <w:t>JB</w:t>
      </w:r>
      <w:r>
        <w:rPr>
          <w:color w:val="auto"/>
        </w:rPr>
        <w:t xml:space="preserve"> is then about 580 implying that we reject the hypothesis of normally distributed log price returns at a level of order 10</w:t>
      </w:r>
      <w:r>
        <w:rPr>
          <w:color w:val="auto"/>
          <w:vertAlign w:val="superscript"/>
        </w:rPr>
        <w:t>-128</w:t>
      </w:r>
      <w:r>
        <w:rPr>
          <w:color w:val="auto"/>
        </w:rPr>
        <w:t>.</w:t>
      </w:r>
    </w:p>
    <w:p>
      <w:pPr>
        <w:pStyle w:val="Normal"/>
        <w:rPr>
          <w:color w:val="auto"/>
        </w:rPr>
      </w:pPr>
      <w:r>
        <w:rPr>
          <w:color w:val="auto"/>
        </w:rPr>
      </w:r>
    </w:p>
    <w:p>
      <w:pPr>
        <w:pStyle w:val="Normal"/>
        <w:rPr>
          <w:color w:val="auto"/>
        </w:rPr>
      </w:pPr>
      <w:r>
        <w:rPr>
          <w:color w:val="auto"/>
        </w:rPr>
        <w:t>Tests for the presence of heteroskedasticity rely on the fact that the residuals from an OLS regression will retain any non-stationary behaviour inherent in the underlying process.  Thus, tests sensitive to changing variance can be performed on the regression residuals to detect heteroskedasticity.  Two standard tests are White’s test and the Goldfeld—Quandt test.  White’s test consists of regressing the following model,</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u</m:t>
            </m:r>
          </m:e>
          <m:sub>
            <m:r>
              <m:t xml:space="preserve">t</m:t>
            </m:r>
          </m:sub>
          <m:sup>
            <m:r>
              <m:t xml:space="preserve">2</m:t>
            </m:r>
          </m:sup>
        </m:sSubSup>
        <m:r>
          <m:t xml:space="preserve">=</m:t>
        </m:r>
        <m:r>
          <m:t xml:space="preserve">α</m:t>
        </m:r>
        <m:r>
          <m:t xml:space="preserve">+</m:t>
        </m:r>
        <m:r>
          <m:t xml:space="preserve">Zc</m:t>
        </m:r>
      </m:oMath>
      <w:r>
        <w:rPr>
          <w:color w:val="auto"/>
        </w:rPr>
        <w:tab/>
        <w:t>(3.41)</w:t>
      </w:r>
    </w:p>
    <w:p>
      <w:pPr>
        <w:pStyle w:val="Normal"/>
        <w:rPr>
          <w:color w:val="auto"/>
        </w:rPr>
      </w:pPr>
      <w:r>
        <w:rPr>
          <w:color w:val="auto"/>
        </w:rPr>
      </w:r>
    </w:p>
    <w:p>
      <w:pPr>
        <w:pStyle w:val="Normal"/>
        <w:rPr/>
      </w:pPr>
      <w:r>
        <w:rPr>
          <w:color w:val="auto"/>
        </w:rPr>
        <w:t xml:space="preserve">where </w:t>
      </w:r>
      <w:r>
        <w:rPr>
          <w:rFonts w:eastAsia="Symbol" w:cs="Symbol" w:ascii="Symbol" w:hAnsi="Symbol"/>
          <w:color w:val="auto"/>
        </w:rPr>
        <w:sym w:font="Symbol" w:char="f061"/>
      </w:r>
      <w:r>
        <w:rPr>
          <w:color w:val="auto"/>
        </w:rPr>
        <w:t xml:space="preserve"> and </w:t>
      </w:r>
      <w:r>
        <w:rPr>
          <w:i/>
          <w:color w:val="auto"/>
        </w:rPr>
        <w:t>c</w:t>
      </w:r>
      <w:r>
        <w:rPr>
          <w:color w:val="auto"/>
        </w:rPr>
        <w:t xml:space="preserve"> are constants, and </w:t>
      </w:r>
      <w:r>
        <w:rPr>
          <w:b/>
          <w:color w:val="auto"/>
        </w:rPr>
        <w:t>Z</w:t>
      </w:r>
      <w:r>
        <w:rPr>
          <w:color w:val="auto"/>
        </w:rPr>
        <w:t xml:space="preserve"> is the set of all squares and cross products derivable from the variables used in the original OLS regression.  The statistic </w:t>
      </w:r>
      <w:r>
        <w:rPr>
          <w:i/>
          <w:color w:val="auto"/>
        </w:rPr>
        <w:t>NR</w:t>
      </w:r>
      <w:r>
        <w:rPr>
          <w:color w:val="auto"/>
          <w:vertAlign w:val="superscript"/>
        </w:rPr>
        <w:t>2</w:t>
      </w:r>
      <w:r>
        <w:rPr>
          <w:color w:val="auto"/>
        </w:rPr>
        <w:t xml:space="preserve">, where </w:t>
      </w:r>
      <w:r>
        <w:rPr>
          <w:i/>
          <w:color w:val="auto"/>
        </w:rPr>
        <w:t>N</w:t>
      </w:r>
      <w:r>
        <w:rPr>
          <w:color w:val="auto"/>
        </w:rPr>
        <w:t xml:space="preserve"> is the number of observations and </w:t>
      </w:r>
      <w:r>
        <w:rPr>
          <w:i/>
          <w:color w:val="auto"/>
        </w:rPr>
        <w:t>R</w:t>
      </w:r>
      <w:r>
        <w:rPr>
          <w:color w:val="auto"/>
          <w:vertAlign w:val="superscript"/>
        </w:rPr>
        <w:t>2</w:t>
      </w:r>
      <w:r>
        <w:rPr>
          <w:color w:val="auto"/>
        </w:rPr>
        <w:t xml:space="preserve"> is the usual regression statistic, is distributed as </w:t>
      </w:r>
      <w:r>
        <w:rPr>
          <w:rFonts w:eastAsia="Symbol" w:cs="Symbol" w:ascii="Symbol" w:hAnsi="Symbol"/>
          <w:color w:val="auto"/>
        </w:rPr>
        <w:sym w:font="Symbol" w:char="f063"/>
      </w:r>
      <w:r>
        <w:rPr>
          <w:color w:val="auto"/>
          <w:vertAlign w:val="superscript"/>
        </w:rPr>
        <w:t>2</w:t>
      </w:r>
      <w:r>
        <w:rPr>
          <w:color w:val="auto"/>
        </w:rPr>
        <w:t xml:space="preserve"> with </w:t>
      </w:r>
      <w:r>
        <w:rPr>
          <w:i/>
          <w:color w:val="auto"/>
        </w:rPr>
        <w:t>p</w:t>
      </w:r>
      <w:r>
        <w:rPr>
          <w:color w:val="auto"/>
        </w:rPr>
        <w:t xml:space="preserve"> degrees of freedom where </w:t>
      </w:r>
      <w:r>
        <w:rPr>
          <w:i/>
          <w:color w:val="auto"/>
        </w:rPr>
        <w:t>p</w:t>
      </w:r>
      <w:r>
        <w:rPr>
          <w:color w:val="auto"/>
        </w:rPr>
        <w:t xml:space="preserve"> is the number of regressors in Z.</w:t>
      </w:r>
    </w:p>
    <w:p>
      <w:pPr>
        <w:pStyle w:val="Normal"/>
        <w:rPr>
          <w:color w:val="auto"/>
        </w:rPr>
      </w:pPr>
      <w:r>
        <w:rPr>
          <w:color w:val="auto"/>
        </w:rPr>
      </w:r>
    </w:p>
    <w:p>
      <w:pPr>
        <w:pStyle w:val="Normal"/>
        <w:rPr>
          <w:color w:val="auto"/>
        </w:rPr>
      </w:pPr>
      <w:r>
        <w:rPr>
          <w:color w:val="auto"/>
        </w:rPr>
        <w:t>The Goldfeld - Quandt test assumes that there exists a variable that is related to a model’s variance.  Using this variable, we sort the data into subsets of high and low expected variance.  We then perform an OLS regression on the two data sets and form the statistic,</w:t>
      </w:r>
    </w:p>
    <w:p>
      <w:pPr>
        <w:pStyle w:val="Normal"/>
        <w:rPr>
          <w:color w:val="auto"/>
        </w:rPr>
      </w:pPr>
      <w:r>
        <w:rPr>
          <w:color w:val="auto"/>
        </w:rPr>
      </w:r>
    </w:p>
    <w:p>
      <w:pPr>
        <w:pStyle w:val="Equation"/>
        <w:rPr/>
      </w:pPr>
      <w:r>
        <w:rPr>
          <w:i/>
          <w:color w:val="auto"/>
        </w:rPr>
        <w:tab/>
      </w:r>
      <w:r>
        <w:rPr>
          <w:color w:val="auto"/>
        </w:rPr>
        <w:object w:dxaOrig="3200" w:dyaOrig="11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60pt;height:57pt" filled="f" o:ole="">
            <v:imagedata r:id="rId13" o:title=""/>
          </v:shape>
          <o:OLEObject Type="Embed" ProgID="" ShapeID="ole_rId12" DrawAspect="Content" ObjectID="_2091879431" r:id="rId12"/>
        </w:object>
      </w:r>
      <w:r>
        <w:rPr>
          <w:color w:val="auto"/>
        </w:rPr>
        <w:tab/>
        <w:t>(3.42)</w:t>
      </w:r>
    </w:p>
    <w:p>
      <w:pPr>
        <w:pStyle w:val="Normal"/>
        <w:rPr>
          <w:color w:val="auto"/>
        </w:rPr>
      </w:pPr>
      <w:r>
        <w:rPr>
          <w:color w:val="auto"/>
        </w:rPr>
      </w:r>
    </w:p>
    <w:p>
      <w:pPr>
        <w:pStyle w:val="Normal"/>
        <w:rPr/>
      </w:pPr>
      <w:r>
        <w:rPr>
          <w:color w:val="auto"/>
        </w:rPr>
        <w:t xml:space="preserve">Where </w:t>
      </w:r>
      <w:r>
        <w:rPr>
          <w:i/>
          <w:color w:val="auto"/>
        </w:rPr>
        <w:t>SSR</w:t>
      </w:r>
      <w:r>
        <w:rPr>
          <w:color w:val="auto"/>
        </w:rPr>
        <w:t xml:space="preserve"> stands for Sum of Squared Residuals, </w:t>
      </w:r>
      <w:r>
        <w:rPr>
          <w:i/>
          <w:color w:val="auto"/>
        </w:rPr>
        <w:t>n</w:t>
      </w:r>
      <w:r>
        <w:rPr>
          <w:i/>
          <w:color w:val="auto"/>
          <w:vertAlign w:val="subscript"/>
        </w:rPr>
        <w:t>1</w:t>
      </w:r>
      <w:r>
        <w:rPr>
          <w:color w:val="auto"/>
        </w:rPr>
        <w:t xml:space="preserve"> and </w:t>
      </w:r>
      <w:r>
        <w:rPr>
          <w:i/>
          <w:color w:val="auto"/>
        </w:rPr>
        <w:t>n</w:t>
      </w:r>
      <w:r>
        <w:rPr>
          <w:i/>
          <w:color w:val="auto"/>
          <w:vertAlign w:val="subscript"/>
        </w:rPr>
        <w:t>3</w:t>
      </w:r>
      <w:r>
        <w:rPr>
          <w:color w:val="auto"/>
        </w:rPr>
        <w:t xml:space="preserve"> are the number of observations in the high and low data sets respectively and </w:t>
      </w:r>
      <w:r>
        <w:rPr>
          <w:i/>
          <w:color w:val="auto"/>
        </w:rPr>
        <w:t>K</w:t>
      </w:r>
      <w:r>
        <w:rPr>
          <w:color w:val="auto"/>
        </w:rPr>
        <w:t xml:space="preserve"> is the number of parameters in the regression.  Under the null hypothesis of homoskedacity, this statistic is distributed as </w:t>
      </w:r>
      <w:r>
        <w:rPr>
          <w:i/>
          <w:color w:val="auto"/>
        </w:rPr>
        <w:t>F</w:t>
      </w:r>
      <w:r>
        <w:rPr>
          <w:color w:val="auto"/>
        </w:rPr>
        <w:t>[</w:t>
      </w:r>
      <w:r>
        <w:rPr>
          <w:i/>
          <w:color w:val="auto"/>
        </w:rPr>
        <w:t>n</w:t>
      </w:r>
      <w:r>
        <w:rPr>
          <w:color w:val="auto"/>
          <w:vertAlign w:val="subscript"/>
        </w:rPr>
        <w:t>1</w:t>
      </w:r>
      <w:r>
        <w:rPr>
          <w:color w:val="auto"/>
        </w:rPr>
        <w:t>-</w:t>
      </w:r>
      <w:r>
        <w:rPr>
          <w:i/>
          <w:color w:val="auto"/>
        </w:rPr>
        <w:t>K</w:t>
      </w:r>
      <w:r>
        <w:rPr>
          <w:color w:val="auto"/>
        </w:rPr>
        <w:t xml:space="preserve">, </w:t>
      </w:r>
      <w:r>
        <w:rPr>
          <w:i/>
          <w:color w:val="auto"/>
        </w:rPr>
        <w:t>n</w:t>
      </w:r>
      <w:r>
        <w:rPr>
          <w:color w:val="auto"/>
          <w:vertAlign w:val="subscript"/>
        </w:rPr>
        <w:t>3</w:t>
      </w:r>
      <w:r>
        <w:rPr>
          <w:color w:val="auto"/>
        </w:rPr>
        <w:t>-</w:t>
      </w:r>
      <w:r>
        <w:rPr>
          <w:i/>
          <w:color w:val="auto"/>
        </w:rPr>
        <w:t>K</w:t>
      </w:r>
      <w:r>
        <w:rPr>
          <w:color w:val="auto"/>
        </w:rPr>
        <w:t>].</w:t>
      </w:r>
    </w:p>
    <w:p>
      <w:pPr>
        <w:pStyle w:val="Normal"/>
        <w:rPr>
          <w:color w:val="auto"/>
        </w:rPr>
      </w:pPr>
      <w:r>
        <w:rPr>
          <w:color w:val="auto"/>
        </w:rPr>
      </w:r>
    </w:p>
    <w:p>
      <w:pPr>
        <w:pStyle w:val="Normal"/>
        <w:rPr>
          <w:color w:val="auto"/>
        </w:rPr>
      </w:pPr>
      <w:r>
        <w:rPr>
          <w:color w:val="auto"/>
        </w:rPr>
        <w:t>To test specifically for ARCH and GARCH behaviour, Engle (1982) and Bollerslev (1986) suggest variations on the Breusch—Pagan/Godfrey test.  This is a Lagrange Multiplier (LM) type test, the details of which are beyond the scope of this chapter.  Like the tests described above, it relies on statistics derived from regressions performed on the residuals.  In this case however, the regressors are derived from the particular variance model.</w:t>
      </w:r>
    </w:p>
    <w:p>
      <w:pPr>
        <w:pStyle w:val="Normal"/>
        <w:rPr>
          <w:color w:val="auto"/>
        </w:rPr>
      </w:pPr>
      <w:r>
        <w:rPr>
          <w:color w:val="auto"/>
        </w:rPr>
      </w:r>
    </w:p>
    <w:p>
      <w:pPr>
        <w:pStyle w:val="Normal"/>
        <w:rPr/>
      </w:pPr>
      <w:r>
        <w:rPr>
          <w:color w:val="auto"/>
        </w:rPr>
        <w:t xml:space="preserve">One can also test how successfully an ARCH or GARCH model explains the autoregressiveness of the volatility.  If a model is successful, then the set </w:t>
      </w:r>
      <w:r>
        <w:rPr>
          <w:color w:val="auto"/>
        </w:rPr>
      </w:r>
      <m:oMath xmlns:m="http://schemas.openxmlformats.org/officeDocument/2006/math">
        <m:d>
          <m:dPr>
            <m:begChr m:val="{"/>
            <m:endChr m:val="}"/>
          </m:dPr>
          <m:e>
            <m:f>
              <m:fPr>
                <m:type m:val="lin"/>
              </m:fPr>
              <m:num>
                <m:sSub>
                  <m:e>
                    <m:r>
                      <m:t xml:space="preserve">y</m:t>
                    </m:r>
                  </m:e>
                  <m:sub>
                    <m:r>
                      <m:t xml:space="preserve">i</m:t>
                    </m:r>
                  </m:sub>
                </m:sSub>
              </m:num>
              <m:den>
                <m:sSub>
                  <m:e>
                    <m:r>
                      <m:t xml:space="preserve">σ</m:t>
                    </m:r>
                  </m:e>
                  <m:sub>
                    <m:r>
                      <m:t xml:space="preserve">i</m:t>
                    </m:r>
                  </m:sub>
                </m:sSub>
              </m:den>
            </m:f>
          </m:e>
        </m:d>
      </m:oMath>
      <w:r>
        <w:rPr>
          <w:color w:val="auto"/>
        </w:rPr>
        <w:t xml:space="preserve"> should exhibit no autocorrelation.  Here, </w:t>
      </w:r>
      <w:r>
        <w:rPr>
          <w:color w:val="auto"/>
        </w:rPr>
      </w:r>
      <m:oMath xmlns:m="http://schemas.openxmlformats.org/officeDocument/2006/math">
        <m:sSub>
          <m:e>
            <m:r>
              <m:t xml:space="preserve">y</m:t>
            </m:r>
          </m:e>
          <m:sub>
            <m:r>
              <m:t xml:space="preserve">i</m:t>
            </m:r>
          </m:sub>
        </m:sSub>
      </m:oMath>
      <w:r>
        <w:rPr>
          <w:color w:val="auto"/>
        </w:rPr>
        <w:t xml:space="preserve"> are the log returns and </w:t>
      </w:r>
      <w:r>
        <w:rPr>
          <w:color w:val="auto"/>
        </w:rPr>
      </w:r>
      <m:oMath xmlns:m="http://schemas.openxmlformats.org/officeDocument/2006/math">
        <m:sSub>
          <m:e>
            <m:r>
              <m:t xml:space="preserve">σ</m:t>
            </m:r>
          </m:e>
          <m:sub>
            <m:r>
              <m:t xml:space="preserve">i</m:t>
            </m:r>
          </m:sub>
        </m:sSub>
      </m:oMath>
      <w:r>
        <w:rPr>
          <w:color w:val="auto"/>
        </w:rPr>
        <w:t xml:space="preserve"> are the volatilities derived from the ARCH or GARCH model under examination.  Hull (1999) suggests using the Ljung-Box statistic to test this series for autocorrelation.</w:t>
      </w:r>
    </w:p>
    <w:p>
      <w:pPr>
        <w:pStyle w:val="Normal"/>
        <w:rPr>
          <w:color w:val="auto"/>
        </w:rPr>
      </w:pPr>
      <w:r>
        <w:rPr>
          <w:color w:val="auto"/>
        </w:rPr>
      </w:r>
    </w:p>
    <w:p>
      <w:pPr>
        <w:pStyle w:val="Heading3"/>
        <w:ind w:hanging="0" w:start="0"/>
        <w:rPr>
          <w:color w:val="auto"/>
        </w:rPr>
      </w:pPr>
      <w:r>
        <w:rPr>
          <w:color w:val="auto"/>
        </w:rPr>
        <w:t>3.4.5</w:t>
        <w:tab/>
        <w:t>Examples From the Energy Commodity Markets</w:t>
      </w:r>
    </w:p>
    <w:p>
      <w:pPr>
        <w:pStyle w:val="Normal"/>
        <w:rPr>
          <w:color w:val="auto"/>
        </w:rPr>
      </w:pPr>
      <w:r>
        <w:rPr>
          <w:color w:val="auto"/>
        </w:rPr>
      </w:r>
    </w:p>
    <w:p>
      <w:pPr>
        <w:pStyle w:val="Normal"/>
        <w:rPr>
          <w:color w:val="auto"/>
        </w:rPr>
      </w:pPr>
      <w:r>
        <w:rPr>
          <w:color w:val="auto"/>
        </w:rPr>
        <w:t>We conclude this chapter by examining different volatility models for selected energy markets.  In particular we examine the behaviour of California PX NP15 day-ahead peak electricity prices (NP15) and the NYMEX prompt month gas (Gas) and WTI crude oil (Crude) contract prices.  The data sets are weekday log price returns covering the period from January 15, 1999 to March 29, 2000 yielding approximately 310 observations. Estimations were performed using maximum likelihood methods.  In general, the regression technique employed was the so-called BHHH, which is explained in detail in any advanced statistics treatise, such as Davidson and MacKinnon (1993). In certain cases, this method failed to converge, so a standard Simplex search of the parameter space was first performed to determine the location of the global maximum. The results of the simplex search were then used as starting points for the BHHH algorithm.  Table 3.3 shows the skew, kurtosis, and maximum likelihood values for each energy and for several volatility models.</w:t>
      </w:r>
    </w:p>
    <w:p>
      <w:pPr>
        <w:pStyle w:val="Normal"/>
        <w:rPr>
          <w:color w:val="auto"/>
        </w:rPr>
      </w:pPr>
      <w:r>
        <w:rPr>
          <w:color w:val="auto"/>
        </w:rPr>
      </w:r>
    </w:p>
    <w:p>
      <w:pPr>
        <w:pStyle w:val="Normal"/>
        <w:rPr>
          <w:color w:val="auto"/>
        </w:rPr>
      </w:pPr>
      <w:r>
        <w:rPr>
          <w:color w:val="auto"/>
        </w:rPr>
        <w:t xml:space="preserve">The number in italics to the right of the ML statistic is the so-called Schwartz criterion (SC) (Schwartz (1978)), which is defined as </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SC</m:t>
        </m:r>
        <m:r>
          <m:t xml:space="preserve">=</m:t>
        </m:r>
        <m:r>
          <m:t xml:space="preserve">−</m:t>
        </m:r>
        <m:r>
          <m:t xml:space="preserve">2</m:t>
        </m:r>
        <m:r>
          <m:rPr>
            <m:lit/>
            <m:nor/>
          </m:rPr>
          <m:t xml:space="preserve">ln</m:t>
        </m:r>
        <m:r>
          <m:t xml:space="preserve">L</m:t>
        </m:r>
        <m:r>
          <m:t xml:space="preserve">(</m:t>
        </m:r>
        <m:r>
          <m:t xml:space="preserve">Θ</m:t>
        </m:r>
        <m:r>
          <m:t xml:space="preserve">|</m:t>
        </m:r>
        <m:r>
          <m:t xml:space="preserve">x</m:t>
        </m:r>
        <m:r>
          <m:t xml:space="preserve">)</m:t>
        </m:r>
        <m:r>
          <m:t xml:space="preserve">+</m:t>
        </m:r>
        <m:r>
          <m:t xml:space="preserve">k</m:t>
        </m:r>
        <m:r>
          <m:rPr>
            <m:lit/>
            <m:nor/>
          </m:rPr>
          <m:t xml:space="preserve">ln</m:t>
        </m:r>
        <m:r>
          <m:t xml:space="preserve">N</m:t>
        </m:r>
      </m:oMath>
      <w:r>
        <w:rPr>
          <w:color w:val="auto"/>
        </w:rPr>
        <w:tab/>
        <w:t>(3.43)</w:t>
      </w:r>
    </w:p>
    <w:p>
      <w:pPr>
        <w:pStyle w:val="Normal"/>
        <w:rPr>
          <w:color w:val="auto"/>
        </w:rPr>
      </w:pPr>
      <w:r>
        <w:rPr>
          <w:color w:val="auto"/>
        </w:rPr>
      </w:r>
    </w:p>
    <w:p>
      <w:pPr>
        <w:pStyle w:val="Normal"/>
        <w:rPr/>
      </w:pPr>
      <w:r>
        <w:rPr>
          <w:color w:val="auto"/>
        </w:rPr>
        <w:t xml:space="preserve">where </w:t>
      </w:r>
      <w:r>
        <w:rPr>
          <w:i/>
          <w:color w:val="auto"/>
        </w:rPr>
        <w:t>N</w:t>
      </w:r>
      <w:r>
        <w:rPr>
          <w:color w:val="auto"/>
        </w:rPr>
        <w:t xml:space="preserve"> is the number of observations and </w:t>
      </w:r>
      <w:r>
        <w:rPr>
          <w:i/>
          <w:color w:val="auto"/>
        </w:rPr>
        <w:t>k</w:t>
      </w:r>
      <w:r>
        <w:rPr>
          <w:color w:val="auto"/>
        </w:rPr>
        <w:t xml:space="preserve"> is the number of estimated parameters.  The Schwartz criterion scores regressions by favouring large likelihood values while penalizing large numbers of parameters.  The regression with the smallest Schwartz criterion is considered the best fit, although this statement is only qualitative and is not statistically rigorous.  Another common statistic is the likelihood ratio test (</w:t>
      </w:r>
      <w:r>
        <w:rPr>
          <w:i/>
          <w:color w:val="auto"/>
        </w:rPr>
        <w:t>L</w:t>
      </w:r>
      <w:r>
        <w:rPr>
          <w:color w:val="auto"/>
        </w:rPr>
        <w:t>(</w:t>
      </w:r>
      <w:r>
        <w:rPr>
          <w:i/>
          <w:color w:val="auto"/>
        </w:rPr>
        <w:t>x</w:t>
      </w:r>
      <w:r>
        <w:rPr>
          <w:color w:val="auto"/>
        </w:rPr>
        <w:t>)), which only looks at the relative goodness of fit but does not consider the number of parameters.</w:t>
      </w:r>
    </w:p>
    <w:p>
      <w:pPr>
        <w:pStyle w:val="Normal"/>
        <w:rPr>
          <w:color w:val="auto"/>
        </w:rPr>
      </w:pPr>
      <w:r>
        <w:rPr>
          <w:color w:val="auto"/>
        </w:rPr>
      </w:r>
    </w:p>
    <w:p>
      <w:pPr>
        <w:pStyle w:val="Heading4"/>
        <w:jc w:val="center"/>
        <w:rPr>
          <w:color w:val="auto"/>
        </w:rPr>
      </w:pPr>
      <w:bookmarkStart w:id="35" w:name="_Ref485392517"/>
      <w:r>
        <w:rPr>
          <w:color w:val="auto"/>
        </w:rPr>
        <w:t>Table 3.3</w:t>
      </w:r>
      <w:bookmarkEnd w:id="35"/>
      <w:r>
        <w:rPr>
          <w:color w:val="auto"/>
        </w:rPr>
        <w:t xml:space="preserve"> Maximum Loglikelihood Values and Schwartz Criteria SC</w:t>
      </w:r>
    </w:p>
    <w:p>
      <w:pPr>
        <w:pStyle w:val="Heading4"/>
        <w:jc w:val="center"/>
        <w:rPr>
          <w:color w:val="auto"/>
        </w:rPr>
      </w:pPr>
      <w:r>
        <w:rPr>
          <w:color w:val="auto"/>
        </w:rPr>
        <w:t xml:space="preserve">for Various </w:t>
      </w:r>
      <w:r>
        <w:rPr>
          <w:color w:val="FF00FF"/>
        </w:rPr>
        <w:t>Energy Commodities</w:t>
      </w:r>
    </w:p>
    <w:p>
      <w:pPr>
        <w:pStyle w:val="Normal"/>
        <w:rPr>
          <w:color w:val="auto"/>
        </w:rPr>
      </w:pPr>
      <w:r>
        <w:rPr>
          <w:color w:val="auto"/>
        </w:rPr>
      </w:r>
    </w:p>
    <w:tbl>
      <w:tblPr>
        <w:tblW w:w="8372" w:type="dxa"/>
        <w:jc w:val="start"/>
        <w:tblInd w:w="108" w:type="dxa"/>
        <w:tblLayout w:type="fixed"/>
        <w:tblCellMar>
          <w:top w:w="0" w:type="dxa"/>
          <w:start w:w="108" w:type="dxa"/>
          <w:bottom w:w="0" w:type="dxa"/>
          <w:end w:w="108" w:type="dxa"/>
        </w:tblCellMar>
      </w:tblPr>
      <w:tblGrid>
        <w:gridCol w:w="3240"/>
        <w:gridCol w:w="855"/>
        <w:gridCol w:w="45"/>
        <w:gridCol w:w="810"/>
        <w:gridCol w:w="810"/>
        <w:gridCol w:w="840"/>
        <w:gridCol w:w="783"/>
        <w:gridCol w:w="989"/>
      </w:tblGrid>
      <w:tr>
        <w:trPr>
          <w:trHeight w:val="300" w:hRule="atLeast"/>
        </w:trPr>
        <w:tc>
          <w:tcPr>
            <w:tcW w:w="3240" w:type="dxa"/>
            <w:tcBorders>
              <w:top w:val="single" w:sz="12" w:space="0" w:color="000000"/>
              <w:bottom w:val="single" w:sz="6" w:space="0" w:color="000000"/>
            </w:tcBorders>
          </w:tcPr>
          <w:p>
            <w:pPr>
              <w:pStyle w:val="Normal"/>
              <w:snapToGrid w:val="false"/>
              <w:rPr>
                <w:i/>
                <w:i/>
                <w:color w:val="auto"/>
              </w:rPr>
            </w:pPr>
            <w:r>
              <w:rPr>
                <w:i/>
                <w:color w:val="auto"/>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NP15</w:t>
            </w:r>
          </w:p>
        </w:tc>
        <w:tc>
          <w:tcPr>
            <w:tcW w:w="1650" w:type="dxa"/>
            <w:gridSpan w:val="2"/>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Gas</w:t>
            </w:r>
          </w:p>
        </w:tc>
        <w:tc>
          <w:tcPr>
            <w:tcW w:w="1772" w:type="dxa"/>
            <w:gridSpan w:val="2"/>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Crude</w:t>
            </w:r>
          </w:p>
        </w:tc>
      </w:tr>
      <w:tr>
        <w:trPr>
          <w:trHeight w:val="300" w:hRule="atLeast"/>
        </w:trPr>
        <w:tc>
          <w:tcPr>
            <w:tcW w:w="3240" w:type="dxa"/>
            <w:tcBorders>
              <w:end w:val="single" w:sz="6" w:space="0" w:color="000000"/>
            </w:tcBorders>
          </w:tcPr>
          <w:p>
            <w:pPr>
              <w:pStyle w:val="Normal"/>
              <w:rPr>
                <w:color w:val="auto"/>
              </w:rPr>
            </w:pPr>
            <w:r>
              <w:rPr>
                <w:color w:val="auto"/>
              </w:rPr>
              <w:t>Skew</w:t>
            </w:r>
          </w:p>
        </w:tc>
        <w:tc>
          <w:tcPr>
            <w:tcW w:w="1710" w:type="dxa"/>
            <w:gridSpan w:val="3"/>
            <w:tcBorders/>
          </w:tcPr>
          <w:p>
            <w:pPr>
              <w:pStyle w:val="Normal"/>
              <w:rPr>
                <w:color w:val="auto"/>
              </w:rPr>
            </w:pPr>
            <w:r>
              <w:rPr>
                <w:color w:val="auto"/>
              </w:rPr>
              <w:t>0.49</w:t>
            </w:r>
          </w:p>
        </w:tc>
        <w:tc>
          <w:tcPr>
            <w:tcW w:w="1650" w:type="dxa"/>
            <w:gridSpan w:val="2"/>
            <w:tcBorders>
              <w:start w:val="single" w:sz="4" w:space="0" w:color="C0C0C0"/>
            </w:tcBorders>
          </w:tcPr>
          <w:p>
            <w:pPr>
              <w:pStyle w:val="Normal"/>
              <w:rPr>
                <w:color w:val="auto"/>
              </w:rPr>
            </w:pPr>
            <w:r>
              <w:rPr>
                <w:color w:val="auto"/>
              </w:rPr>
              <w:t>-0.07</w:t>
            </w:r>
          </w:p>
        </w:tc>
        <w:tc>
          <w:tcPr>
            <w:tcW w:w="1772" w:type="dxa"/>
            <w:gridSpan w:val="2"/>
            <w:tcBorders>
              <w:start w:val="single" w:sz="4" w:space="0" w:color="C0C0C0"/>
              <w:end w:val="single" w:sz="4" w:space="0" w:color="C0C0C0"/>
            </w:tcBorders>
          </w:tcPr>
          <w:p>
            <w:pPr>
              <w:pStyle w:val="Normal"/>
              <w:rPr>
                <w:color w:val="auto"/>
              </w:rPr>
            </w:pPr>
            <w:r>
              <w:rPr>
                <w:color w:val="auto"/>
              </w:rPr>
              <w:t>-0.51</w:t>
            </w:r>
          </w:p>
        </w:tc>
      </w:tr>
      <w:tr>
        <w:trPr>
          <w:trHeight w:val="300" w:hRule="atLeast"/>
        </w:trPr>
        <w:tc>
          <w:tcPr>
            <w:tcW w:w="3240" w:type="dxa"/>
            <w:tcBorders>
              <w:bottom w:val="single" w:sz="4" w:space="0" w:color="000000"/>
              <w:end w:val="single" w:sz="6" w:space="0" w:color="000000"/>
            </w:tcBorders>
          </w:tcPr>
          <w:p>
            <w:pPr>
              <w:pStyle w:val="Normal"/>
              <w:rPr>
                <w:color w:val="auto"/>
              </w:rPr>
            </w:pPr>
            <w:r>
              <w:rPr>
                <w:color w:val="auto"/>
              </w:rPr>
              <w:t>Kurtosis</w:t>
            </w:r>
          </w:p>
        </w:tc>
        <w:tc>
          <w:tcPr>
            <w:tcW w:w="1710" w:type="dxa"/>
            <w:gridSpan w:val="3"/>
            <w:tcBorders>
              <w:bottom w:val="single" w:sz="4" w:space="0" w:color="000000"/>
            </w:tcBorders>
          </w:tcPr>
          <w:p>
            <w:pPr>
              <w:pStyle w:val="Normal"/>
              <w:rPr>
                <w:color w:val="auto"/>
              </w:rPr>
            </w:pPr>
            <w:r>
              <w:rPr>
                <w:color w:val="auto"/>
              </w:rPr>
              <w:t>12.22</w:t>
            </w:r>
          </w:p>
        </w:tc>
        <w:tc>
          <w:tcPr>
            <w:tcW w:w="1650" w:type="dxa"/>
            <w:gridSpan w:val="2"/>
            <w:tcBorders>
              <w:start w:val="single" w:sz="4" w:space="0" w:color="C0C0C0"/>
              <w:bottom w:val="single" w:sz="4" w:space="0" w:color="000000"/>
            </w:tcBorders>
          </w:tcPr>
          <w:p>
            <w:pPr>
              <w:pStyle w:val="Normal"/>
              <w:rPr>
                <w:color w:val="auto"/>
              </w:rPr>
            </w:pPr>
            <w:r>
              <w:rPr>
                <w:color w:val="auto"/>
              </w:rPr>
              <w:t>2.00</w:t>
            </w:r>
          </w:p>
        </w:tc>
        <w:tc>
          <w:tcPr>
            <w:tcW w:w="1772" w:type="dxa"/>
            <w:gridSpan w:val="2"/>
            <w:tcBorders>
              <w:start w:val="single" w:sz="4" w:space="0" w:color="C0C0C0"/>
              <w:bottom w:val="single" w:sz="4" w:space="0" w:color="000000"/>
              <w:end w:val="single" w:sz="4" w:space="0" w:color="C0C0C0"/>
            </w:tcBorders>
          </w:tcPr>
          <w:p>
            <w:pPr>
              <w:pStyle w:val="Normal"/>
              <w:rPr>
                <w:color w:val="auto"/>
              </w:rPr>
            </w:pPr>
            <w:r>
              <w:rPr>
                <w:color w:val="auto"/>
              </w:rPr>
              <w:t>1.10</w:t>
            </w:r>
          </w:p>
        </w:tc>
      </w:tr>
      <w:tr>
        <w:trPr>
          <w:trHeight w:val="300" w:hRule="atLeast"/>
        </w:trPr>
        <w:tc>
          <w:tcPr>
            <w:tcW w:w="3240" w:type="dxa"/>
            <w:tcBorders>
              <w:bottom w:val="single" w:sz="4" w:space="0" w:color="000000"/>
              <w:end w:val="single" w:sz="6" w:space="0" w:color="000000"/>
            </w:tcBorders>
          </w:tcPr>
          <w:p>
            <w:pPr>
              <w:pStyle w:val="Normal"/>
              <w:snapToGrid w:val="false"/>
              <w:rPr>
                <w:color w:val="auto"/>
              </w:rPr>
            </w:pPr>
            <w:r>
              <w:rPr>
                <w:color w:val="auto"/>
              </w:rPr>
            </w:r>
          </w:p>
        </w:tc>
        <w:tc>
          <w:tcPr>
            <w:tcW w:w="855" w:type="dxa"/>
            <w:tcBorders>
              <w:bottom w:val="single" w:sz="4" w:space="0" w:color="000000"/>
            </w:tcBorders>
          </w:tcPr>
          <w:p>
            <w:pPr>
              <w:pStyle w:val="Normal"/>
              <w:rPr/>
            </w:pPr>
            <w:r>
              <w:rPr>
                <w:i/>
                <w:color w:val="auto"/>
              </w:rPr>
              <w:t>L</w:t>
            </w:r>
            <w:r>
              <w:rPr>
                <w:color w:val="auto"/>
              </w:rPr>
              <w:t>(</w:t>
            </w:r>
            <w:r>
              <w:rPr>
                <w:i/>
                <w:color w:val="auto"/>
              </w:rPr>
              <w:t>x</w:t>
            </w:r>
            <w:r>
              <w:rPr>
                <w:color w:val="auto"/>
              </w:rPr>
              <w:t>)</w:t>
            </w:r>
          </w:p>
        </w:tc>
        <w:tc>
          <w:tcPr>
            <w:tcW w:w="855" w:type="dxa"/>
            <w:gridSpan w:val="2"/>
            <w:tcBorders>
              <w:bottom w:val="single" w:sz="4" w:space="0" w:color="000000"/>
            </w:tcBorders>
          </w:tcPr>
          <w:p>
            <w:pPr>
              <w:pStyle w:val="Normal"/>
              <w:rPr>
                <w:i/>
                <w:i/>
                <w:color w:val="auto"/>
              </w:rPr>
            </w:pPr>
            <w:r>
              <w:rPr>
                <w:i/>
                <w:color w:val="auto"/>
              </w:rPr>
              <w:t>SC</w:t>
            </w:r>
          </w:p>
        </w:tc>
        <w:tc>
          <w:tcPr>
            <w:tcW w:w="810" w:type="dxa"/>
            <w:tcBorders>
              <w:start w:val="single" w:sz="4" w:space="0" w:color="C0C0C0"/>
              <w:bottom w:val="single" w:sz="4" w:space="0" w:color="000000"/>
            </w:tcBorders>
          </w:tcPr>
          <w:p>
            <w:pPr>
              <w:pStyle w:val="Normal"/>
              <w:rPr/>
            </w:pPr>
            <w:r>
              <w:rPr>
                <w:i/>
                <w:color w:val="auto"/>
              </w:rPr>
              <w:t>L</w:t>
            </w:r>
            <w:r>
              <w:rPr>
                <w:color w:val="auto"/>
              </w:rPr>
              <w:t>(</w:t>
            </w:r>
            <w:r>
              <w:rPr>
                <w:i/>
                <w:color w:val="auto"/>
              </w:rPr>
              <w:t>x</w:t>
            </w:r>
            <w:r>
              <w:rPr>
                <w:color w:val="auto"/>
              </w:rPr>
              <w:t>)</w:t>
            </w:r>
          </w:p>
        </w:tc>
        <w:tc>
          <w:tcPr>
            <w:tcW w:w="840" w:type="dxa"/>
            <w:tcBorders>
              <w:start w:val="single" w:sz="4" w:space="0" w:color="C0C0C0"/>
              <w:bottom w:val="single" w:sz="4" w:space="0" w:color="000000"/>
            </w:tcBorders>
          </w:tcPr>
          <w:p>
            <w:pPr>
              <w:pStyle w:val="Normal"/>
              <w:rPr>
                <w:i/>
                <w:i/>
                <w:color w:val="auto"/>
              </w:rPr>
            </w:pPr>
            <w:r>
              <w:rPr>
                <w:i/>
                <w:color w:val="auto"/>
              </w:rPr>
              <w:t>SC</w:t>
            </w:r>
          </w:p>
        </w:tc>
        <w:tc>
          <w:tcPr>
            <w:tcW w:w="783" w:type="dxa"/>
            <w:tcBorders>
              <w:start w:val="single" w:sz="4" w:space="0" w:color="C0C0C0"/>
              <w:bottom w:val="single" w:sz="4" w:space="0" w:color="000000"/>
              <w:end w:val="single" w:sz="4" w:space="0" w:color="C0C0C0"/>
            </w:tcBorders>
          </w:tcPr>
          <w:p>
            <w:pPr>
              <w:pStyle w:val="Normal"/>
              <w:rPr/>
            </w:pPr>
            <w:r>
              <w:rPr>
                <w:i/>
                <w:color w:val="auto"/>
              </w:rPr>
              <w:t>L</w:t>
            </w:r>
            <w:r>
              <w:rPr>
                <w:color w:val="auto"/>
              </w:rPr>
              <w:t>(</w:t>
            </w:r>
            <w:r>
              <w:rPr>
                <w:i/>
                <w:color w:val="auto"/>
              </w:rPr>
              <w:t>x</w:t>
            </w:r>
            <w:r>
              <w:rPr>
                <w:color w:val="auto"/>
              </w:rPr>
              <w:t>)</w:t>
            </w:r>
          </w:p>
        </w:tc>
        <w:tc>
          <w:tcPr>
            <w:tcW w:w="989" w:type="dxa"/>
            <w:tcBorders>
              <w:start w:val="single" w:sz="4" w:space="0" w:color="C0C0C0"/>
              <w:bottom w:val="single" w:sz="4" w:space="0" w:color="000000"/>
              <w:end w:val="single" w:sz="4" w:space="0" w:color="C0C0C0"/>
            </w:tcBorders>
          </w:tcPr>
          <w:p>
            <w:pPr>
              <w:pStyle w:val="Normal"/>
              <w:rPr>
                <w:i/>
                <w:i/>
                <w:color w:val="auto"/>
              </w:rPr>
            </w:pPr>
            <w:r>
              <w:rPr>
                <w:i/>
                <w:color w:val="auto"/>
              </w:rPr>
              <w:t>SC</w:t>
            </w:r>
          </w:p>
        </w:tc>
      </w:tr>
      <w:tr>
        <w:trPr>
          <w:trHeight w:val="300" w:hRule="atLeast"/>
        </w:trPr>
        <w:tc>
          <w:tcPr>
            <w:tcW w:w="3240" w:type="dxa"/>
            <w:tcBorders>
              <w:end w:val="single" w:sz="6" w:space="0" w:color="000000"/>
            </w:tcBorders>
          </w:tcPr>
          <w:p>
            <w:pPr>
              <w:pStyle w:val="Normal"/>
              <w:rPr>
                <w:color w:val="auto"/>
              </w:rPr>
            </w:pPr>
            <w:r>
              <w:rPr>
                <w:color w:val="auto"/>
              </w:rPr>
              <w:t>Pure Diffusion (PD)</w:t>
            </w:r>
          </w:p>
        </w:tc>
        <w:tc>
          <w:tcPr>
            <w:tcW w:w="900" w:type="dxa"/>
            <w:gridSpan w:val="2"/>
            <w:tcBorders>
              <w:end w:val="single" w:sz="4" w:space="0" w:color="C0C0C0"/>
            </w:tcBorders>
          </w:tcPr>
          <w:p>
            <w:pPr>
              <w:pStyle w:val="Normal"/>
              <w:rPr>
                <w:color w:val="auto"/>
              </w:rPr>
            </w:pPr>
            <w:r>
              <w:rPr>
                <w:color w:val="auto"/>
              </w:rPr>
              <w:t>60</w:t>
            </w:r>
          </w:p>
        </w:tc>
        <w:tc>
          <w:tcPr>
            <w:tcW w:w="810" w:type="dxa"/>
            <w:tcBorders/>
          </w:tcPr>
          <w:p>
            <w:pPr>
              <w:pStyle w:val="Normal"/>
              <w:rPr>
                <w:i/>
                <w:i/>
                <w:color w:val="auto"/>
              </w:rPr>
            </w:pPr>
            <w:r>
              <w:rPr>
                <w:i/>
                <w:color w:val="auto"/>
              </w:rPr>
              <w:t>-109</w:t>
            </w:r>
          </w:p>
        </w:tc>
        <w:tc>
          <w:tcPr>
            <w:tcW w:w="810" w:type="dxa"/>
            <w:tcBorders>
              <w:start w:val="single" w:sz="4" w:space="0" w:color="C0C0C0"/>
            </w:tcBorders>
          </w:tcPr>
          <w:p>
            <w:pPr>
              <w:pStyle w:val="Normal"/>
              <w:rPr>
                <w:color w:val="auto"/>
              </w:rPr>
            </w:pPr>
            <w:r>
              <w:rPr>
                <w:color w:val="auto"/>
              </w:rPr>
              <w:t>919</w:t>
            </w:r>
          </w:p>
        </w:tc>
        <w:tc>
          <w:tcPr>
            <w:tcW w:w="840" w:type="dxa"/>
            <w:tcBorders>
              <w:start w:val="single" w:sz="4" w:space="0" w:color="C0C0C0"/>
            </w:tcBorders>
          </w:tcPr>
          <w:p>
            <w:pPr>
              <w:pStyle w:val="Normal"/>
              <w:rPr>
                <w:i/>
                <w:i/>
                <w:color w:val="auto"/>
              </w:rPr>
            </w:pPr>
            <w:r>
              <w:rPr>
                <w:i/>
                <w:color w:val="auto"/>
              </w:rPr>
              <w:t>-1827</w:t>
            </w:r>
          </w:p>
        </w:tc>
        <w:tc>
          <w:tcPr>
            <w:tcW w:w="783" w:type="dxa"/>
            <w:tcBorders>
              <w:start w:val="single" w:sz="4" w:space="0" w:color="C0C0C0"/>
              <w:end w:val="single" w:sz="4" w:space="0" w:color="C0C0C0"/>
            </w:tcBorders>
          </w:tcPr>
          <w:p>
            <w:pPr>
              <w:pStyle w:val="Normal"/>
              <w:rPr>
                <w:color w:val="auto"/>
              </w:rPr>
            </w:pPr>
            <w:r>
              <w:rPr>
                <w:color w:val="auto"/>
              </w:rPr>
              <w:t>992</w:t>
            </w:r>
          </w:p>
        </w:tc>
        <w:tc>
          <w:tcPr>
            <w:tcW w:w="989" w:type="dxa"/>
            <w:tcBorders>
              <w:start w:val="single" w:sz="4" w:space="0" w:color="C0C0C0"/>
              <w:end w:val="single" w:sz="4" w:space="0" w:color="C0C0C0"/>
            </w:tcBorders>
          </w:tcPr>
          <w:p>
            <w:pPr>
              <w:pStyle w:val="Normal"/>
              <w:rPr>
                <w:i/>
                <w:i/>
                <w:color w:val="auto"/>
              </w:rPr>
            </w:pPr>
            <w:r>
              <w:rPr>
                <w:i/>
                <w:color w:val="auto"/>
              </w:rPr>
              <w:t>-1973</w:t>
            </w:r>
          </w:p>
        </w:tc>
      </w:tr>
      <w:tr>
        <w:trPr>
          <w:trHeight w:val="300" w:hRule="atLeast"/>
        </w:trPr>
        <w:tc>
          <w:tcPr>
            <w:tcW w:w="3240" w:type="dxa"/>
            <w:tcBorders>
              <w:end w:val="single" w:sz="6" w:space="0" w:color="000000"/>
            </w:tcBorders>
          </w:tcPr>
          <w:p>
            <w:pPr>
              <w:pStyle w:val="Normal"/>
              <w:rPr>
                <w:color w:val="auto"/>
              </w:rPr>
            </w:pPr>
            <w:r>
              <w:rPr>
                <w:color w:val="auto"/>
              </w:rPr>
              <w:t>Jump Diffusion (JD)</w:t>
            </w:r>
          </w:p>
        </w:tc>
        <w:tc>
          <w:tcPr>
            <w:tcW w:w="900" w:type="dxa"/>
            <w:gridSpan w:val="2"/>
            <w:tcBorders>
              <w:end w:val="single" w:sz="4" w:space="0" w:color="C0C0C0"/>
            </w:tcBorders>
          </w:tcPr>
          <w:p>
            <w:pPr>
              <w:pStyle w:val="Normal"/>
              <w:rPr>
                <w:color w:val="auto"/>
              </w:rPr>
            </w:pPr>
            <w:r>
              <w:rPr>
                <w:color w:val="auto"/>
              </w:rPr>
              <w:t>148</w:t>
            </w:r>
          </w:p>
        </w:tc>
        <w:tc>
          <w:tcPr>
            <w:tcW w:w="810" w:type="dxa"/>
            <w:tcBorders/>
          </w:tcPr>
          <w:p>
            <w:pPr>
              <w:pStyle w:val="Normal"/>
              <w:rPr>
                <w:i/>
                <w:i/>
                <w:color w:val="auto"/>
              </w:rPr>
            </w:pPr>
            <w:r>
              <w:rPr>
                <w:i/>
                <w:color w:val="auto"/>
              </w:rPr>
              <w:t>-267</w:t>
            </w:r>
          </w:p>
        </w:tc>
        <w:tc>
          <w:tcPr>
            <w:tcW w:w="810" w:type="dxa"/>
            <w:tcBorders>
              <w:start w:val="single" w:sz="4" w:space="0" w:color="C0C0C0"/>
            </w:tcBorders>
          </w:tcPr>
          <w:p>
            <w:pPr>
              <w:pStyle w:val="Normal"/>
              <w:snapToGrid w:val="false"/>
              <w:rPr>
                <w:i/>
                <w:i/>
                <w:color w:val="auto"/>
              </w:rPr>
            </w:pPr>
            <w:r>
              <w:rPr>
                <w:i/>
                <w:color w:val="auto"/>
              </w:rPr>
            </w:r>
          </w:p>
        </w:tc>
        <w:tc>
          <w:tcPr>
            <w:tcW w:w="840" w:type="dxa"/>
            <w:tcBorders>
              <w:start w:val="single" w:sz="4" w:space="0" w:color="C0C0C0"/>
            </w:tcBorders>
          </w:tcPr>
          <w:p>
            <w:pPr>
              <w:pStyle w:val="Normal"/>
              <w:snapToGrid w:val="false"/>
              <w:rPr>
                <w:i/>
                <w:i/>
                <w:color w:val="auto"/>
              </w:rPr>
            </w:pPr>
            <w:r>
              <w:rPr>
                <w:i/>
                <w:color w:val="auto"/>
              </w:rPr>
            </w:r>
          </w:p>
        </w:tc>
        <w:tc>
          <w:tcPr>
            <w:tcW w:w="783" w:type="dxa"/>
            <w:tcBorders>
              <w:start w:val="single" w:sz="4" w:space="0" w:color="C0C0C0"/>
              <w:end w:val="single" w:sz="4" w:space="0" w:color="C0C0C0"/>
            </w:tcBorders>
          </w:tcPr>
          <w:p>
            <w:pPr>
              <w:pStyle w:val="Normal"/>
              <w:snapToGrid w:val="false"/>
              <w:rPr>
                <w:i/>
                <w:i/>
                <w:color w:val="auto"/>
              </w:rPr>
            </w:pPr>
            <w:r>
              <w:rPr>
                <w:i/>
                <w:color w:val="auto"/>
              </w:rPr>
            </w:r>
          </w:p>
        </w:tc>
        <w:tc>
          <w:tcPr>
            <w:tcW w:w="989" w:type="dxa"/>
            <w:tcBorders>
              <w:start w:val="single" w:sz="4" w:space="0" w:color="C0C0C0"/>
              <w:end w:val="single" w:sz="4" w:space="0" w:color="C0C0C0"/>
            </w:tcBorders>
          </w:tcPr>
          <w:p>
            <w:pPr>
              <w:pStyle w:val="Normal"/>
              <w:snapToGrid w:val="false"/>
              <w:rPr>
                <w:i/>
                <w:i/>
                <w:color w:val="auto"/>
              </w:rPr>
            </w:pPr>
            <w:r>
              <w:rPr>
                <w:i/>
                <w:color w:val="auto"/>
              </w:rPr>
            </w:r>
          </w:p>
        </w:tc>
      </w:tr>
      <w:tr>
        <w:trPr>
          <w:trHeight w:val="300" w:hRule="atLeast"/>
        </w:trPr>
        <w:tc>
          <w:tcPr>
            <w:tcW w:w="3240" w:type="dxa"/>
            <w:tcBorders>
              <w:end w:val="single" w:sz="6" w:space="0" w:color="000000"/>
            </w:tcBorders>
          </w:tcPr>
          <w:p>
            <w:pPr>
              <w:pStyle w:val="Normal"/>
              <w:rPr>
                <w:color w:val="auto"/>
              </w:rPr>
            </w:pPr>
            <w:r>
              <w:rPr>
                <w:color w:val="auto"/>
              </w:rPr>
              <w:t>ARCH(1)</w:t>
            </w:r>
          </w:p>
        </w:tc>
        <w:tc>
          <w:tcPr>
            <w:tcW w:w="900" w:type="dxa"/>
            <w:gridSpan w:val="2"/>
            <w:tcBorders>
              <w:end w:val="single" w:sz="4" w:space="0" w:color="C0C0C0"/>
            </w:tcBorders>
          </w:tcPr>
          <w:p>
            <w:pPr>
              <w:pStyle w:val="Normal"/>
              <w:rPr>
                <w:color w:val="auto"/>
              </w:rPr>
            </w:pPr>
            <w:r>
              <w:rPr>
                <w:color w:val="auto"/>
              </w:rPr>
              <w:t>84</w:t>
            </w:r>
          </w:p>
        </w:tc>
        <w:tc>
          <w:tcPr>
            <w:tcW w:w="810" w:type="dxa"/>
            <w:tcBorders/>
          </w:tcPr>
          <w:p>
            <w:pPr>
              <w:pStyle w:val="Normal"/>
              <w:rPr>
                <w:i/>
                <w:i/>
                <w:color w:val="auto"/>
              </w:rPr>
            </w:pPr>
            <w:r>
              <w:rPr>
                <w:i/>
                <w:color w:val="auto"/>
              </w:rPr>
              <w:t>-151</w:t>
            </w:r>
          </w:p>
        </w:tc>
        <w:tc>
          <w:tcPr>
            <w:tcW w:w="810" w:type="dxa"/>
            <w:tcBorders>
              <w:start w:val="single" w:sz="4" w:space="0" w:color="C0C0C0"/>
            </w:tcBorders>
          </w:tcPr>
          <w:p>
            <w:pPr>
              <w:pStyle w:val="Normal"/>
              <w:rPr>
                <w:color w:val="auto"/>
              </w:rPr>
            </w:pPr>
            <w:r>
              <w:rPr>
                <w:color w:val="auto"/>
              </w:rPr>
              <w:t>917</w:t>
            </w:r>
          </w:p>
        </w:tc>
        <w:tc>
          <w:tcPr>
            <w:tcW w:w="840" w:type="dxa"/>
            <w:tcBorders>
              <w:start w:val="single" w:sz="4" w:space="0" w:color="C0C0C0"/>
            </w:tcBorders>
          </w:tcPr>
          <w:p>
            <w:pPr>
              <w:pStyle w:val="Normal"/>
              <w:rPr>
                <w:i/>
                <w:i/>
                <w:color w:val="auto"/>
              </w:rPr>
            </w:pPr>
            <w:r>
              <w:rPr>
                <w:i/>
                <w:color w:val="auto"/>
              </w:rPr>
              <w:t>-1817</w:t>
            </w:r>
          </w:p>
        </w:tc>
        <w:tc>
          <w:tcPr>
            <w:tcW w:w="783" w:type="dxa"/>
            <w:tcBorders>
              <w:start w:val="single" w:sz="4" w:space="0" w:color="C0C0C0"/>
              <w:end w:val="single" w:sz="4" w:space="0" w:color="C0C0C0"/>
            </w:tcBorders>
          </w:tcPr>
          <w:p>
            <w:pPr>
              <w:pStyle w:val="Normal"/>
              <w:rPr>
                <w:color w:val="auto"/>
              </w:rPr>
            </w:pPr>
            <w:r>
              <w:rPr>
                <w:color w:val="auto"/>
              </w:rPr>
              <w:t>991</w:t>
            </w:r>
          </w:p>
        </w:tc>
        <w:tc>
          <w:tcPr>
            <w:tcW w:w="989" w:type="dxa"/>
            <w:tcBorders>
              <w:start w:val="single" w:sz="4" w:space="0" w:color="C0C0C0"/>
              <w:end w:val="single" w:sz="4" w:space="0" w:color="C0C0C0"/>
            </w:tcBorders>
          </w:tcPr>
          <w:p>
            <w:pPr>
              <w:pStyle w:val="Normal"/>
              <w:rPr>
                <w:i/>
                <w:i/>
                <w:color w:val="auto"/>
              </w:rPr>
            </w:pPr>
            <w:r>
              <w:rPr>
                <w:i/>
                <w:color w:val="auto"/>
              </w:rPr>
              <w:t>-1965</w:t>
            </w:r>
          </w:p>
        </w:tc>
      </w:tr>
      <w:tr>
        <w:trPr>
          <w:trHeight w:val="300" w:hRule="atLeast"/>
        </w:trPr>
        <w:tc>
          <w:tcPr>
            <w:tcW w:w="3240" w:type="dxa"/>
            <w:tcBorders>
              <w:bottom w:val="single" w:sz="4" w:space="0" w:color="C0C0C0"/>
              <w:end w:val="single" w:sz="6" w:space="0" w:color="000000"/>
            </w:tcBorders>
          </w:tcPr>
          <w:p>
            <w:pPr>
              <w:pStyle w:val="Normal"/>
              <w:rPr>
                <w:color w:val="auto"/>
              </w:rPr>
            </w:pPr>
            <w:r>
              <w:rPr>
                <w:color w:val="auto"/>
              </w:rPr>
              <w:t>GARCH(1,1)</w:t>
            </w:r>
          </w:p>
        </w:tc>
        <w:tc>
          <w:tcPr>
            <w:tcW w:w="900" w:type="dxa"/>
            <w:gridSpan w:val="2"/>
            <w:tcBorders>
              <w:bottom w:val="single" w:sz="4" w:space="0" w:color="C0C0C0"/>
              <w:end w:val="single" w:sz="4" w:space="0" w:color="C0C0C0"/>
            </w:tcBorders>
          </w:tcPr>
          <w:p>
            <w:pPr>
              <w:pStyle w:val="Normal"/>
              <w:rPr>
                <w:color w:val="auto"/>
              </w:rPr>
            </w:pPr>
            <w:r>
              <w:rPr>
                <w:color w:val="auto"/>
              </w:rPr>
              <w:t>121</w:t>
            </w:r>
          </w:p>
        </w:tc>
        <w:tc>
          <w:tcPr>
            <w:tcW w:w="810" w:type="dxa"/>
            <w:tcBorders>
              <w:bottom w:val="single" w:sz="4" w:space="0" w:color="C0C0C0"/>
            </w:tcBorders>
          </w:tcPr>
          <w:p>
            <w:pPr>
              <w:pStyle w:val="Normal"/>
              <w:rPr>
                <w:i/>
                <w:i/>
                <w:color w:val="auto"/>
              </w:rPr>
            </w:pPr>
            <w:r>
              <w:rPr>
                <w:i/>
                <w:color w:val="auto"/>
              </w:rPr>
              <w:t>-219</w:t>
            </w:r>
          </w:p>
        </w:tc>
        <w:tc>
          <w:tcPr>
            <w:tcW w:w="810" w:type="dxa"/>
            <w:tcBorders>
              <w:start w:val="single" w:sz="4" w:space="0" w:color="C0C0C0"/>
              <w:bottom w:val="single" w:sz="4" w:space="0" w:color="C0C0C0"/>
            </w:tcBorders>
          </w:tcPr>
          <w:p>
            <w:pPr>
              <w:pStyle w:val="Normal"/>
              <w:rPr>
                <w:color w:val="auto"/>
              </w:rPr>
            </w:pPr>
            <w:r>
              <w:rPr>
                <w:color w:val="auto"/>
              </w:rPr>
              <w:t>919</w:t>
            </w:r>
          </w:p>
        </w:tc>
        <w:tc>
          <w:tcPr>
            <w:tcW w:w="840" w:type="dxa"/>
            <w:tcBorders>
              <w:start w:val="single" w:sz="4" w:space="0" w:color="C0C0C0"/>
              <w:bottom w:val="single" w:sz="4" w:space="0" w:color="C0C0C0"/>
            </w:tcBorders>
          </w:tcPr>
          <w:p>
            <w:pPr>
              <w:pStyle w:val="Normal"/>
              <w:rPr>
                <w:i/>
                <w:i/>
                <w:color w:val="auto"/>
              </w:rPr>
            </w:pPr>
            <w:r>
              <w:rPr>
                <w:i/>
                <w:color w:val="auto"/>
              </w:rPr>
              <w:t>-1815</w:t>
            </w:r>
          </w:p>
        </w:tc>
        <w:tc>
          <w:tcPr>
            <w:tcW w:w="783" w:type="dxa"/>
            <w:tcBorders>
              <w:start w:val="single" w:sz="4" w:space="0" w:color="C0C0C0"/>
              <w:bottom w:val="single" w:sz="4" w:space="0" w:color="C0C0C0"/>
              <w:end w:val="single" w:sz="4" w:space="0" w:color="C0C0C0"/>
            </w:tcBorders>
          </w:tcPr>
          <w:p>
            <w:pPr>
              <w:pStyle w:val="Normal"/>
              <w:rPr>
                <w:color w:val="auto"/>
              </w:rPr>
            </w:pPr>
            <w:r>
              <w:rPr>
                <w:color w:val="auto"/>
              </w:rPr>
              <w:t>995</w:t>
            </w:r>
          </w:p>
        </w:tc>
        <w:tc>
          <w:tcPr>
            <w:tcW w:w="989" w:type="dxa"/>
            <w:tcBorders>
              <w:start w:val="single" w:sz="4" w:space="0" w:color="C0C0C0"/>
              <w:bottom w:val="single" w:sz="4" w:space="0" w:color="C0C0C0"/>
              <w:end w:val="single" w:sz="4" w:space="0" w:color="C0C0C0"/>
            </w:tcBorders>
          </w:tcPr>
          <w:p>
            <w:pPr>
              <w:pStyle w:val="Normal"/>
              <w:rPr>
                <w:i/>
                <w:i/>
                <w:color w:val="auto"/>
              </w:rPr>
            </w:pPr>
            <w:r>
              <w:rPr>
                <w:i/>
                <w:color w:val="auto"/>
              </w:rPr>
              <w:t>-1967</w:t>
            </w:r>
          </w:p>
        </w:tc>
      </w:tr>
      <w:tr>
        <w:trPr>
          <w:trHeight w:val="300" w:hRule="atLeast"/>
        </w:trPr>
        <w:tc>
          <w:tcPr>
            <w:tcW w:w="3240" w:type="dxa"/>
            <w:tcBorders>
              <w:top w:val="single" w:sz="4" w:space="0" w:color="C0C0C0"/>
              <w:bottom w:val="single" w:sz="12" w:space="0" w:color="000000"/>
              <w:end w:val="single" w:sz="6" w:space="0" w:color="000000"/>
            </w:tcBorders>
          </w:tcPr>
          <w:p>
            <w:pPr>
              <w:pStyle w:val="Normal"/>
              <w:rPr>
                <w:color w:val="auto"/>
              </w:rPr>
            </w:pPr>
            <w:r>
              <w:rPr>
                <w:color w:val="auto"/>
              </w:rPr>
              <w:t>GARCH(1,1) + Jump Diffusion (GJD)</w:t>
            </w:r>
          </w:p>
        </w:tc>
        <w:tc>
          <w:tcPr>
            <w:tcW w:w="900" w:type="dxa"/>
            <w:gridSpan w:val="2"/>
            <w:tcBorders>
              <w:top w:val="single" w:sz="4" w:space="0" w:color="C0C0C0"/>
              <w:bottom w:val="single" w:sz="12" w:space="0" w:color="000000"/>
              <w:end w:val="single" w:sz="4" w:space="0" w:color="C0C0C0"/>
            </w:tcBorders>
          </w:tcPr>
          <w:p>
            <w:pPr>
              <w:pStyle w:val="Normal"/>
              <w:rPr>
                <w:color w:val="auto"/>
              </w:rPr>
            </w:pPr>
            <w:r>
              <w:rPr>
                <w:color w:val="auto"/>
              </w:rPr>
              <w:t>167</w:t>
            </w:r>
          </w:p>
        </w:tc>
        <w:tc>
          <w:tcPr>
            <w:tcW w:w="810" w:type="dxa"/>
            <w:tcBorders>
              <w:top w:val="single" w:sz="4" w:space="0" w:color="C0C0C0"/>
              <w:bottom w:val="single" w:sz="12" w:space="0" w:color="000000"/>
            </w:tcBorders>
          </w:tcPr>
          <w:p>
            <w:pPr>
              <w:pStyle w:val="Normal"/>
              <w:rPr>
                <w:i/>
                <w:i/>
                <w:color w:val="auto"/>
              </w:rPr>
            </w:pPr>
            <w:r>
              <w:rPr>
                <w:i/>
                <w:color w:val="auto"/>
              </w:rPr>
              <w:t>-294</w:t>
            </w:r>
          </w:p>
        </w:tc>
        <w:tc>
          <w:tcPr>
            <w:tcW w:w="810" w:type="dxa"/>
            <w:tcBorders>
              <w:top w:val="single" w:sz="4" w:space="0" w:color="C0C0C0"/>
              <w:start w:val="single" w:sz="4" w:space="0" w:color="C0C0C0"/>
              <w:bottom w:val="single" w:sz="12" w:space="0" w:color="000000"/>
            </w:tcBorders>
          </w:tcPr>
          <w:p>
            <w:pPr>
              <w:pStyle w:val="Normal"/>
              <w:snapToGrid w:val="false"/>
              <w:rPr>
                <w:i/>
                <w:i/>
                <w:color w:val="auto"/>
              </w:rPr>
            </w:pPr>
            <w:r>
              <w:rPr>
                <w:i/>
                <w:color w:val="auto"/>
              </w:rPr>
            </w:r>
          </w:p>
        </w:tc>
        <w:tc>
          <w:tcPr>
            <w:tcW w:w="840" w:type="dxa"/>
            <w:tcBorders>
              <w:top w:val="single" w:sz="4" w:space="0" w:color="C0C0C0"/>
              <w:start w:val="single" w:sz="4" w:space="0" w:color="C0C0C0"/>
              <w:bottom w:val="single" w:sz="12" w:space="0" w:color="000000"/>
            </w:tcBorders>
          </w:tcPr>
          <w:p>
            <w:pPr>
              <w:pStyle w:val="Normal"/>
              <w:snapToGrid w:val="false"/>
              <w:rPr>
                <w:i/>
                <w:i/>
                <w:color w:val="auto"/>
              </w:rPr>
            </w:pPr>
            <w:r>
              <w:rPr>
                <w:i/>
                <w:color w:val="auto"/>
              </w:rPr>
            </w:r>
          </w:p>
        </w:tc>
        <w:tc>
          <w:tcPr>
            <w:tcW w:w="783" w:type="dxa"/>
            <w:tcBorders>
              <w:top w:val="single" w:sz="4" w:space="0" w:color="C0C0C0"/>
              <w:start w:val="single" w:sz="4" w:space="0" w:color="C0C0C0"/>
              <w:bottom w:val="single" w:sz="12" w:space="0" w:color="000000"/>
              <w:end w:val="single" w:sz="4" w:space="0" w:color="C0C0C0"/>
            </w:tcBorders>
          </w:tcPr>
          <w:p>
            <w:pPr>
              <w:pStyle w:val="Normal"/>
              <w:rPr>
                <w:color w:val="auto"/>
              </w:rPr>
            </w:pPr>
            <w:r>
              <w:rPr>
                <w:color w:val="auto"/>
              </w:rPr>
              <w:t>993</w:t>
            </w:r>
          </w:p>
        </w:tc>
        <w:tc>
          <w:tcPr>
            <w:tcW w:w="989" w:type="dxa"/>
            <w:tcBorders>
              <w:top w:val="single" w:sz="4" w:space="0" w:color="C0C0C0"/>
              <w:start w:val="single" w:sz="4" w:space="0" w:color="C0C0C0"/>
              <w:bottom w:val="single" w:sz="12" w:space="0" w:color="000000"/>
              <w:end w:val="single" w:sz="4" w:space="0" w:color="C0C0C0"/>
            </w:tcBorders>
          </w:tcPr>
          <w:p>
            <w:pPr>
              <w:pStyle w:val="Normal"/>
              <w:rPr>
                <w:i/>
                <w:i/>
                <w:color w:val="auto"/>
              </w:rPr>
            </w:pPr>
            <w:r>
              <w:rPr>
                <w:i/>
                <w:color w:val="auto"/>
              </w:rPr>
              <w:t>-1946</w:t>
            </w:r>
          </w:p>
        </w:tc>
      </w:tr>
    </w:tbl>
    <w:p>
      <w:pPr>
        <w:pStyle w:val="Normal"/>
        <w:rPr>
          <w:color w:val="auto"/>
        </w:rPr>
      </w:pPr>
      <w:r>
        <w:rPr>
          <w:color w:val="auto"/>
        </w:rPr>
        <w:t>(No value means that the regression did not converge)</w:t>
      </w:r>
    </w:p>
    <w:p>
      <w:pPr>
        <w:pStyle w:val="Normal"/>
        <w:rPr>
          <w:color w:val="auto"/>
        </w:rPr>
      </w:pPr>
      <w:r>
        <w:rPr>
          <w:color w:val="auto"/>
        </w:rPr>
      </w:r>
    </w:p>
    <w:p>
      <w:pPr>
        <w:pStyle w:val="Normal"/>
        <w:rPr/>
      </w:pPr>
      <w:r>
        <w:rPr>
          <w:color w:val="auto"/>
        </w:rPr>
        <w:t>A number of interesting conclusions can be inferred from these data.  The electricity data are highly skewed and leptokurtic.  The Jarque-Bera statistic described in equation (3.39) is about 2000 for the electricity data, which overwhelmingly rejects the hypothesis of normality.  Even more interesting are the results for gas and crude oil.  Over this time period, both price series exhibited platykurtic (</w:t>
      </w:r>
      <w:r>
        <w:rPr>
          <w:color w:val="FF00FF"/>
        </w:rPr>
        <w:t>?</w:t>
      </w:r>
      <w:r>
        <w:rPr>
          <w:color w:val="auto"/>
        </w:rPr>
        <w:t>), or thin-tailed behaviour, and, as expected in such cases, the ARCH type models did not perform well.  The electricity data, in contrast, shows very clear evidence of jump diffusion.  Furthermore, there is some indication that GARCH combined with jump diffusion is marginally more descriptive than jump diffusion alone.  Table 3.4 shows detailed regression results of Jump Diffusion (JD) and GARCH(1,1) + Jump Diffusion  (GJD) on NP15 electricity prices.</w:t>
      </w:r>
    </w:p>
    <w:p>
      <w:pPr>
        <w:pStyle w:val="Normal"/>
        <w:rPr>
          <w:color w:val="auto"/>
        </w:rPr>
      </w:pPr>
      <w:r>
        <w:rPr>
          <w:color w:val="auto"/>
        </w:rPr>
      </w:r>
    </w:p>
    <w:p>
      <w:pPr>
        <w:pStyle w:val="Heading4"/>
        <w:jc w:val="center"/>
        <w:rPr/>
      </w:pPr>
      <w:bookmarkStart w:id="36" w:name="_Ref485397428"/>
      <w:r>
        <w:rPr>
          <w:color w:val="auto"/>
        </w:rPr>
        <w:t xml:space="preserve">Table </w:t>
      </w:r>
      <w:bookmarkEnd w:id="36"/>
      <w:r>
        <w:rPr>
          <w:color w:val="auto"/>
        </w:rPr>
        <w:t>3.4</w:t>
      </w:r>
      <w:r>
        <w:rPr>
          <w:color w:val="auto"/>
          <w:lang w:val="en-CA"/>
        </w:rPr>
        <w:t xml:space="preserve"> Regression Results for NP15 (t-statistics for each parameter are shown in parantheses(</w:t>
      </w:r>
      <w:r>
        <w:rPr>
          <w:color w:val="FF00FF"/>
          <w:lang w:val="en-CA"/>
        </w:rPr>
        <w:t>?</w:t>
      </w:r>
      <w:r>
        <w:rPr>
          <w:color w:val="auto"/>
          <w:lang w:val="en-CA"/>
        </w:rPr>
        <w:t>))</w:t>
      </w:r>
    </w:p>
    <w:p>
      <w:pPr>
        <w:pStyle w:val="Normal"/>
        <w:rPr>
          <w:color w:val="auto"/>
          <w:lang w:val="en-CA"/>
        </w:rPr>
      </w:pPr>
      <w:r>
        <w:rPr>
          <w:color w:val="auto"/>
          <w:lang w:val="en-CA"/>
        </w:rPr>
      </w:r>
    </w:p>
    <w:tbl>
      <w:tblPr>
        <w:tblW w:w="6608" w:type="dxa"/>
        <w:jc w:val="start"/>
        <w:tblInd w:w="1420" w:type="dxa"/>
        <w:tblLayout w:type="fixed"/>
        <w:tblCellMar>
          <w:top w:w="0" w:type="dxa"/>
          <w:start w:w="108" w:type="dxa"/>
          <w:bottom w:w="0" w:type="dxa"/>
          <w:end w:w="108" w:type="dxa"/>
        </w:tblCellMar>
      </w:tblPr>
      <w:tblGrid>
        <w:gridCol w:w="1478"/>
        <w:gridCol w:w="2430"/>
        <w:gridCol w:w="2700"/>
      </w:tblGrid>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color w:val="auto"/>
              </w:rPr>
              <w:t>Parameter</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color w:val="auto"/>
              </w:rPr>
              <w:t>Jump Diffusion (JD)</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color w:val="auto"/>
              </w:rPr>
              <w:t>GARCH(1,1) + Jump Diffusion (GJD)</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i/>
                <w:i/>
                <w:color w:val="auto"/>
              </w:rPr>
            </w:pPr>
            <w:r>
              <w:rPr>
                <w:i/>
                <w:color w:val="auto"/>
              </w:rPr>
              <w:t>K</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0.012 </w:t>
            </w:r>
            <w:r>
              <w:rPr>
                <w:rFonts w:eastAsia="Symbol" w:cs="Symbol" w:ascii="Symbol" w:hAnsi="Symbol"/>
                <w:color w:val="auto"/>
              </w:rPr>
              <w:sym w:font="Symbol" w:char="f0b1"/>
            </w:r>
            <w:r>
              <w:rPr>
                <w:color w:val="auto"/>
              </w:rPr>
              <w:t xml:space="preserve"> 0.017 (0.67)</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-0.001 </w:t>
            </w:r>
            <w:r>
              <w:rPr>
                <w:rFonts w:eastAsia="Symbol" w:cs="Symbol" w:ascii="Symbol" w:hAnsi="Symbol"/>
                <w:color w:val="auto"/>
              </w:rPr>
              <w:sym w:font="Symbol" w:char="f0b1"/>
            </w:r>
            <w:r>
              <w:rPr>
                <w:color w:val="auto"/>
              </w:rPr>
              <w:t xml:space="preserve"> 0.015 (0.04)</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73"/>
            </w:r>
            <w:r>
              <w:rPr>
                <w:color w:val="auto"/>
                <w:vertAlign w:val="superscript"/>
              </w:rPr>
              <w:t>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0.066 </w:t>
            </w:r>
            <w:r>
              <w:rPr>
                <w:rFonts w:eastAsia="Symbol" w:cs="Symbol" w:ascii="Symbol" w:hAnsi="Symbol"/>
                <w:color w:val="auto"/>
              </w:rPr>
              <w:sym w:font="Symbol" w:char="f0b1"/>
            </w:r>
            <w:r>
              <w:rPr>
                <w:color w:val="auto"/>
              </w:rPr>
              <w:t xml:space="preserve"> 0.008 (8.77)</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rPr>
            </w:pPr>
            <w:r>
              <w:rPr>
                <w:color w:val="auto"/>
              </w:rPr>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1"/>
            </w:r>
            <w:r>
              <w:rPr>
                <w:color w:val="auto"/>
                <w:vertAlign w:val="subscript"/>
              </w:rPr>
              <w:t>0</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0.033 </w:t>
            </w:r>
            <w:r>
              <w:rPr>
                <w:rFonts w:eastAsia="Symbol" w:cs="Symbol" w:ascii="Symbol" w:hAnsi="Symbol"/>
                <w:color w:val="auto"/>
              </w:rPr>
              <w:sym w:font="Symbol" w:char="f0b1"/>
            </w:r>
            <w:r>
              <w:rPr>
                <w:color w:val="auto"/>
              </w:rPr>
              <w:t xml:space="preserve"> 0.008 (4.22)</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vertAlign w:val="superscript"/>
              </w:rPr>
            </w:pPr>
            <w:r>
              <w:rPr>
                <w:rFonts w:eastAsia="Symbol" w:cs="Symbol" w:ascii="Symbol" w:hAnsi="Symbol"/>
                <w:color w:val="auto"/>
              </w:rPr>
              <w:sym w:font="Symbol" w:char="f061"/>
            </w:r>
            <w:r>
              <w:rPr>
                <w:color w:val="auto"/>
                <w:vertAlign w:val="subscript"/>
              </w:rPr>
              <w:t>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perscript"/>
              </w:rPr>
            </w:pPr>
            <w:r>
              <w:rPr>
                <w:color w:val="auto"/>
                <w:vertAlign w:val="super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0.349 </w:t>
            </w:r>
            <w:r>
              <w:rPr>
                <w:rFonts w:eastAsia="Symbol" w:cs="Symbol" w:ascii="Symbol" w:hAnsi="Symbol"/>
                <w:color w:val="auto"/>
              </w:rPr>
              <w:sym w:font="Symbol" w:char="f0b1"/>
            </w:r>
            <w:r>
              <w:rPr>
                <w:color w:val="auto"/>
              </w:rPr>
              <w:t xml:space="preserve"> 0.095 (3.66)</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2"/>
            </w:r>
            <w:r>
              <w:rPr>
                <w:color w:val="auto"/>
                <w:vertAlign w:val="subscript"/>
              </w:rPr>
              <w:t>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0.208 </w:t>
            </w:r>
            <w:r>
              <w:rPr>
                <w:rFonts w:eastAsia="Symbol" w:cs="Symbol" w:ascii="Symbol" w:hAnsi="Symbol"/>
                <w:color w:val="auto"/>
              </w:rPr>
              <w:sym w:font="Symbol" w:char="f0b1"/>
            </w:r>
            <w:r>
              <w:rPr>
                <w:color w:val="auto"/>
              </w:rPr>
              <w:t xml:space="preserve"> 0.094 (2.21)</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rFonts w:eastAsia="Symbol" w:cs="Symbol" w:ascii="Symbol" w:hAnsi="Symbol"/>
                <w:color w:val="auto"/>
              </w:rPr>
              <w:sym w:font="Symbol" w:char="f066"/>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0.131 </w:t>
            </w:r>
            <w:r>
              <w:rPr>
                <w:rFonts w:eastAsia="Symbol" w:cs="Symbol" w:ascii="Symbol" w:hAnsi="Symbol"/>
                <w:color w:val="auto"/>
              </w:rPr>
              <w:sym w:font="Symbol" w:char="f0b1"/>
            </w:r>
            <w:r>
              <w:rPr>
                <w:color w:val="auto"/>
              </w:rPr>
              <w:t xml:space="preserve"> 0.033 (3.99)</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0.063 </w:t>
            </w:r>
            <w:r>
              <w:rPr>
                <w:rFonts w:eastAsia="Symbol" w:cs="Symbol" w:ascii="Symbol" w:hAnsi="Symbol"/>
                <w:color w:val="auto"/>
              </w:rPr>
              <w:sym w:font="Symbol" w:char="f0b1"/>
            </w:r>
            <w:r>
              <w:rPr>
                <w:color w:val="auto"/>
              </w:rPr>
              <w:t xml:space="preserve"> 0.023 (2.76)</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7"/>
            </w:r>
            <w:r>
              <w:rPr>
                <w:color w:val="auto"/>
                <w:vertAlign w:val="superscript"/>
              </w:rPr>
              <w:t>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1.391 </w:t>
            </w:r>
            <w:r>
              <w:rPr>
                <w:rFonts w:eastAsia="Symbol" w:cs="Symbol" w:ascii="Symbol" w:hAnsi="Symbol"/>
                <w:color w:val="auto"/>
              </w:rPr>
              <w:sym w:font="Symbol" w:char="f0b1"/>
            </w:r>
            <w:r>
              <w:rPr>
                <w:color w:val="auto"/>
              </w:rPr>
              <w:t xml:space="preserve"> 0.385 (3.61)</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1.538 </w:t>
            </w:r>
            <w:r>
              <w:rPr>
                <w:rFonts w:eastAsia="Symbol" w:cs="Symbol" w:ascii="Symbol" w:hAnsi="Symbol"/>
                <w:color w:val="auto"/>
              </w:rPr>
              <w:sym w:font="Symbol" w:char="f0b1"/>
            </w:r>
            <w:r>
              <w:rPr>
                <w:color w:val="auto"/>
              </w:rPr>
              <w:t xml:space="preserve"> 0.861 (1.79)</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rFonts w:eastAsia="Symbol" w:cs="Symbol" w:ascii="Symbol" w:hAnsi="Symbol"/>
                <w:color w:val="auto"/>
              </w:rPr>
              <w:sym w:font="Symbol" w:char="f06d"/>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-0.086 </w:t>
            </w:r>
            <w:r>
              <w:rPr>
                <w:rFonts w:eastAsia="Symbol" w:cs="Symbol" w:ascii="Symbol" w:hAnsi="Symbol"/>
                <w:color w:val="auto"/>
              </w:rPr>
              <w:sym w:font="Symbol" w:char="f0b1"/>
            </w:r>
            <w:r>
              <w:rPr>
                <w:color w:val="auto"/>
              </w:rPr>
              <w:t xml:space="preserve"> 0.214 (0.40)</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0.209 </w:t>
            </w:r>
            <w:r>
              <w:rPr>
                <w:rFonts w:eastAsia="Symbol" w:cs="Symbol" w:ascii="Symbol" w:hAnsi="Symbol"/>
                <w:color w:val="auto"/>
              </w:rPr>
              <w:sym w:font="Symbol" w:char="f0b1"/>
            </w:r>
            <w:r>
              <w:rPr>
                <w:color w:val="auto"/>
              </w:rPr>
              <w:t xml:space="preserve"> 0.400 (0.52)</w:t>
            </w:r>
          </w:p>
        </w:tc>
      </w:tr>
    </w:tbl>
    <w:p>
      <w:pPr>
        <w:pStyle w:val="Normal"/>
        <w:rPr>
          <w:color w:val="auto"/>
        </w:rPr>
      </w:pPr>
      <w:r>
        <w:rPr>
          <w:color w:val="auto"/>
        </w:rPr>
      </w:r>
    </w:p>
    <w:p>
      <w:pPr>
        <w:pStyle w:val="Normal"/>
        <w:rPr/>
      </w:pPr>
      <w:r>
        <w:rPr>
          <w:color w:val="auto"/>
        </w:rPr>
        <w:t xml:space="preserve">We see that both models are generally consistent with each other.  The mean return </w:t>
      </w:r>
      <w:r>
        <w:rPr>
          <w:rFonts w:eastAsia="Symbol" w:cs="Symbol" w:ascii="Symbol" w:hAnsi="Symbol"/>
          <w:color w:val="auto"/>
        </w:rPr>
        <w:sym w:font="Symbol" w:char="f06b"/>
      </w:r>
      <w:r>
        <w:rPr>
          <w:color w:val="auto"/>
        </w:rPr>
        <w:t xml:space="preserve"> and mean jump size </w:t>
      </w:r>
      <w:r>
        <w:rPr>
          <w:color w:val="auto"/>
        </w:rPr>
      </w:r>
      <m:oMath xmlns:m="http://schemas.openxmlformats.org/officeDocument/2006/math">
        <m:acc>
          <m:accPr>
            <m:chr m:val="¯"/>
          </m:accPr>
          <m:e>
            <m:r>
              <m:t xml:space="preserve">κ</m:t>
            </m:r>
          </m:e>
        </m:acc>
      </m:oMath>
      <w:r>
        <w:rPr>
          <w:color w:val="auto"/>
        </w:rPr>
        <w:t xml:space="preserve"> </w:t>
      </w:r>
      <w:r>
        <w:rPr>
          <w:color w:val="FF00FF"/>
        </w:rPr>
        <w:t>(?)</w:t>
      </w:r>
      <w:r>
        <w:rPr>
          <w:color w:val="auto"/>
        </w:rPr>
        <w:t xml:space="preserve"> are small and poorly determined in both models.  The pure diffusion variance </w:t>
      </w:r>
      <w:r>
        <w:rPr>
          <w:rFonts w:eastAsia="Symbol" w:cs="Symbol" w:ascii="Symbol" w:hAnsi="Symbol"/>
          <w:color w:val="auto"/>
        </w:rPr>
        <w:sym w:font="Symbol" w:char="f073"/>
      </w:r>
      <w:r>
        <w:rPr>
          <w:color w:val="auto"/>
          <w:vertAlign w:val="superscript"/>
        </w:rPr>
        <w:t xml:space="preserve">2 </w:t>
      </w:r>
      <w:r>
        <w:rPr>
          <w:color w:val="auto"/>
        </w:rPr>
        <w:t xml:space="preserve">is twice as large as the constant term </w:t>
      </w:r>
      <w:r>
        <w:rPr>
          <w:rFonts w:eastAsia="Symbol" w:cs="Symbol" w:ascii="Symbol" w:hAnsi="Symbol"/>
          <w:color w:val="auto"/>
        </w:rPr>
        <w:sym w:font="Symbol" w:char="f061"/>
      </w:r>
      <w:r>
        <w:rPr>
          <w:color w:val="auto"/>
          <w:vertAlign w:val="subscript"/>
        </w:rPr>
        <w:t>0</w:t>
      </w:r>
      <w:r>
        <w:rPr>
          <w:color w:val="auto"/>
        </w:rPr>
        <w:t xml:space="preserve"> in the GJD model. However calculating the unconditional variance in the GJD model yields about 0.07 which is in good agreement with the pure diffusion variance.  Interestingly, the jump frequency </w:t>
      </w:r>
      <w:r>
        <w:rPr>
          <w:i/>
          <w:color w:val="auto"/>
        </w:rPr>
        <w:t>h</w:t>
      </w:r>
      <w:r>
        <w:rPr>
          <w:color w:val="auto"/>
        </w:rPr>
        <w:t xml:space="preserve"> in JD is twice that of the GJD model, while the jump variance </w:t>
      </w:r>
      <w:r>
        <w:rPr>
          <w:rFonts w:eastAsia="Symbol" w:cs="Symbol" w:ascii="Symbol" w:hAnsi="Symbol"/>
          <w:color w:val="auto"/>
        </w:rPr>
        <w:sym w:font="Symbol" w:char="f067"/>
      </w:r>
      <w:r>
        <w:rPr>
          <w:color w:val="auto"/>
          <w:vertAlign w:val="superscript"/>
        </w:rPr>
        <w:t xml:space="preserve">2 </w:t>
      </w:r>
      <w:r>
        <w:rPr>
          <w:color w:val="auto"/>
        </w:rPr>
        <w:t>is slightly lower (although the difference is statistically insignificant). It is tempting to suggest that perhaps some of the intermediate valued returns are being accounted for differently in each model.  In the JD model, there is little choice but to classify them as jumps.  In the GJD model however, it may be possible to attribute them to the GARCH process, particularly if they tend to cluster in time.</w:t>
      </w:r>
    </w:p>
    <w:p>
      <w:pPr>
        <w:pStyle w:val="Normal"/>
        <w:rPr>
          <w:color w:val="auto"/>
        </w:rPr>
      </w:pPr>
      <w:r>
        <w:rPr>
          <w:color w:val="auto"/>
        </w:rPr>
      </w:r>
    </w:p>
    <w:p>
      <w:pPr>
        <w:pStyle w:val="Normal"/>
        <w:rPr>
          <w:color w:val="auto"/>
        </w:rPr>
      </w:pPr>
      <w:r>
        <w:rPr>
          <w:color w:val="auto"/>
        </w:rPr>
        <w:t>We conclude with figure (3.6) showing a typical simulated PDJD price path, a simulated GJD price path, and the actual NP15 data.  Figure (3.6) shows the return distributions for each of these data sets and illustrates how jump diffusion and GARCH can explain the leptokurtic behaviour observed in spot electricity prices.</w:t>
      </w:r>
    </w:p>
    <w:p>
      <w:pPr>
        <w:pStyle w:val="Normal"/>
        <w:rPr>
          <w:color w:val="auto"/>
        </w:rPr>
      </w:pPr>
      <w:r>
        <w:rPr>
          <w:color w:val="auto"/>
        </w:rPr>
      </w:r>
    </w:p>
    <w:p>
      <w:pPr>
        <w:pStyle w:val="Heading2"/>
        <w:ind w:hanging="0" w:start="0"/>
        <w:rPr>
          <w:color w:val="auto"/>
        </w:rPr>
      </w:pPr>
      <w:r>
        <w:rPr>
          <w:color w:val="auto"/>
        </w:rPr>
        <w:t>3.5</w:t>
        <w:tab/>
        <w:t>Summary</w:t>
      </w:r>
    </w:p>
    <w:p>
      <w:pPr>
        <w:pStyle w:val="Normal"/>
        <w:rPr>
          <w:color w:val="auto"/>
        </w:rPr>
      </w:pPr>
      <w:r>
        <w:rPr>
          <w:color w:val="auto"/>
        </w:rPr>
      </w:r>
    </w:p>
    <w:p>
      <w:pPr>
        <w:pStyle w:val="Normal"/>
        <w:rPr>
          <w:color w:val="FF00FF"/>
          <w:lang w:val="en-CA"/>
        </w:rPr>
      </w:pPr>
      <w:r>
        <w:rPr>
          <w:color w:val="FF00FF"/>
          <w:lang w:val="en-CA"/>
        </w:rPr>
        <w:t>? ? ?</w:t>
      </w:r>
    </w:p>
    <w:p>
      <w:pPr>
        <w:pStyle w:val="Normal"/>
        <w:numPr>
          <w:ilvl w:val="0"/>
          <w:numId w:val="3"/>
        </w:numPr>
        <w:rPr/>
      </w:pPr>
      <w:r>
        <w:rPr>
          <w:color w:val="FF00FF"/>
          <w:lang w:val="en-CA"/>
        </w:rPr>
        <w:t>Jump diffusion process – no specification</w:t>
      </w:r>
    </w:p>
    <w:p>
      <w:pPr>
        <w:pStyle w:val="Normal"/>
        <w:numPr>
          <w:ilvl w:val="0"/>
          <w:numId w:val="3"/>
        </w:numPr>
        <w:rPr/>
      </w:pPr>
      <w:r>
        <w:rPr>
          <w:color w:val="FF00FF"/>
          <w:lang w:val="en-CA"/>
        </w:rPr>
        <w:t>Where is h defined?</w:t>
      </w:r>
    </w:p>
    <w:p>
      <w:pPr>
        <w:pStyle w:val="Normal"/>
        <w:numPr>
          <w:ilvl w:val="0"/>
          <w:numId w:val="3"/>
        </w:numPr>
        <w:rPr/>
      </w:pPr>
      <w:r>
        <w:rPr>
          <w:color w:val="FF00FF"/>
          <w:lang w:val="en-CA"/>
        </w:rPr>
        <w:t>Figure 3</w:t>
      </w:r>
    </w:p>
    <w:p>
      <w:pPr>
        <w:pStyle w:val="Normal"/>
        <w:numPr>
          <w:ilvl w:val="0"/>
          <w:numId w:val="3"/>
        </w:numPr>
        <w:rPr/>
      </w:pPr>
      <w:r>
        <w:rPr>
          <w:color w:val="FF00FF"/>
          <w:lang w:val="en-CA"/>
        </w:rPr>
        <w:t>Discusion of Figure 3.2. Unclear</w:t>
      </w:r>
      <w:r>
        <w:br w:type="page"/>
      </w:r>
    </w:p>
    <w:p>
      <w:pPr>
        <w:pStyle w:val="Normal"/>
        <w:rPr/>
      </w:pPr>
      <w:r>
        <w:rPr/>
        <w:t>References:</w:t>
      </w:r>
    </w:p>
    <w:p>
      <w:pPr>
        <w:pStyle w:val="Header"/>
        <w:tabs>
          <w:tab w:val="clear" w:pos="4320"/>
          <w:tab w:val="clear" w:pos="8640"/>
        </w:tabs>
        <w:rPr/>
      </w:pPr>
      <w:r>
        <w:rPr/>
      </w:r>
    </w:p>
    <w:p>
      <w:pPr>
        <w:pStyle w:val="Normal"/>
        <w:rPr/>
      </w:pPr>
      <w:r>
        <w:rPr/>
        <w:t xml:space="preserve">Engle, R.F.,  (1982)  "Autorregressive Conditional Heteroskedasticity with Estimates of the Variance of United Kingdom Inflation", </w:t>
      </w:r>
      <w:r>
        <w:rPr>
          <w:i/>
        </w:rPr>
        <w:t>Econometrica</w:t>
      </w:r>
      <w:r>
        <w:rPr/>
        <w:t xml:space="preserve">, </w:t>
      </w:r>
      <w:r>
        <w:rPr>
          <w:b/>
        </w:rPr>
        <w:t>50</w:t>
      </w:r>
      <w:r>
        <w:rPr/>
        <w:t>, 987-1008</w:t>
      </w:r>
    </w:p>
    <w:p>
      <w:pPr>
        <w:pStyle w:val="Normal"/>
        <w:rPr/>
      </w:pPr>
      <w:r>
        <w:rPr/>
      </w:r>
    </w:p>
    <w:p>
      <w:pPr>
        <w:pStyle w:val="Normal"/>
        <w:rPr/>
      </w:pPr>
      <w:r>
        <w:rPr/>
        <w:t xml:space="preserve">Bollerslev, T., (1986) "Generalized Autorregressive Conditional Heteroskedasticity", </w:t>
      </w:r>
      <w:r>
        <w:rPr>
          <w:i/>
        </w:rPr>
        <w:t>Journal of Econometrics</w:t>
      </w:r>
      <w:r>
        <w:rPr/>
        <w:t xml:space="preserve">, </w:t>
      </w:r>
      <w:r>
        <w:rPr>
          <w:b/>
        </w:rPr>
        <w:t xml:space="preserve">31, </w:t>
      </w:r>
      <w:r>
        <w:rPr/>
        <w:t>307-327</w:t>
      </w:r>
    </w:p>
    <w:p>
      <w:pPr>
        <w:pStyle w:val="Normal"/>
        <w:rPr>
          <w:b/>
        </w:rPr>
      </w:pPr>
      <w:r>
        <w:rPr>
          <w:b/>
        </w:rPr>
      </w:r>
    </w:p>
    <w:p>
      <w:pPr>
        <w:pStyle w:val="Normal"/>
        <w:rPr/>
      </w:pPr>
      <w:r>
        <w:rPr/>
        <w:t xml:space="preserve">Nelson, D.B., (1991) "Conditional Heteroskedasticity in Asset Returns: A New Approach", </w:t>
      </w:r>
      <w:r>
        <w:rPr>
          <w:i/>
        </w:rPr>
        <w:t>Econometrica</w:t>
      </w:r>
      <w:r>
        <w:rPr/>
        <w:t xml:space="preserve">, </w:t>
      </w:r>
      <w:r>
        <w:rPr>
          <w:b/>
        </w:rPr>
        <w:t>59</w:t>
      </w:r>
      <w:r>
        <w:rPr/>
        <w:t>, 347-370</w:t>
      </w:r>
    </w:p>
    <w:p>
      <w:pPr>
        <w:pStyle w:val="Normal"/>
        <w:rPr/>
      </w:pPr>
      <w:r>
        <w:rPr/>
      </w:r>
    </w:p>
    <w:p>
      <w:pPr>
        <w:pStyle w:val="Normal"/>
        <w:rPr/>
      </w:pPr>
      <w:r>
        <w:rPr/>
        <w:t xml:space="preserve">Greene, W.H., (1997) </w:t>
      </w:r>
      <w:r>
        <w:rPr>
          <w:i/>
        </w:rPr>
        <w:t>Econometric Analysis</w:t>
      </w:r>
      <w:r>
        <w:rPr/>
        <w:t xml:space="preserve">, </w:t>
      </w:r>
      <w:r>
        <w:rPr>
          <w:i/>
        </w:rPr>
        <w:t>3</w:t>
      </w:r>
      <w:r>
        <w:rPr>
          <w:i/>
          <w:vertAlign w:val="superscript"/>
        </w:rPr>
        <w:t>rd</w:t>
      </w:r>
      <w:r>
        <w:rPr>
          <w:i/>
        </w:rPr>
        <w:t xml:space="preserve"> ed.</w:t>
      </w:r>
      <w:r>
        <w:rPr/>
        <w:t>, New Jersey: Prentice Hall</w:t>
      </w:r>
    </w:p>
    <w:p>
      <w:pPr>
        <w:pStyle w:val="Normal"/>
        <w:rPr/>
      </w:pPr>
      <w:r>
        <w:rPr/>
      </w:r>
    </w:p>
    <w:p>
      <w:pPr>
        <w:pStyle w:val="Normal"/>
        <w:rPr/>
      </w:pPr>
      <w:r>
        <w:rPr/>
        <w:t xml:space="preserve">Davidson, R., and MacKinnon, J.G., (1993), </w:t>
      </w:r>
      <w:r>
        <w:rPr>
          <w:i/>
        </w:rPr>
        <w:t>Estimation and Inference in Econometrics</w:t>
      </w:r>
      <w:r>
        <w:rPr/>
        <w:t>, New York: Oxford University Press</w:t>
      </w:r>
    </w:p>
    <w:p>
      <w:pPr>
        <w:pStyle w:val="Normal"/>
        <w:rPr/>
      </w:pPr>
      <w:r>
        <w:rPr/>
      </w:r>
    </w:p>
    <w:p>
      <w:pPr>
        <w:pStyle w:val="Normal"/>
        <w:rPr/>
      </w:pPr>
      <w:r>
        <w:rPr/>
        <w:t xml:space="preserve">Jarque, C.M. and Bera, A.K., (1980), "Efficient Tests for Normality, Homoskedacity, and Serial Dependence of Regression Residuals", </w:t>
      </w:r>
      <w:r>
        <w:rPr>
          <w:i/>
        </w:rPr>
        <w:t>Economics Letters</w:t>
      </w:r>
      <w:r>
        <w:rPr/>
        <w:t xml:space="preserve">, </w:t>
      </w:r>
      <w:r>
        <w:rPr>
          <w:b/>
        </w:rPr>
        <w:t>63</w:t>
      </w:r>
      <w:r>
        <w:rPr/>
        <w:t>, 7-36</w:t>
      </w:r>
    </w:p>
    <w:p>
      <w:pPr>
        <w:pStyle w:val="Normal"/>
        <w:rPr/>
      </w:pPr>
      <w:r>
        <w:rPr/>
      </w:r>
    </w:p>
    <w:p>
      <w:pPr>
        <w:pStyle w:val="Normal"/>
        <w:rPr/>
      </w:pPr>
      <w:r>
        <w:rPr/>
        <w:t xml:space="preserve">Hull, J.C, (1999), </w:t>
      </w:r>
      <w:r>
        <w:rPr>
          <w:i/>
        </w:rPr>
        <w:t>Options, Futures, and Other Derivatives, 4</w:t>
      </w:r>
      <w:r>
        <w:rPr>
          <w:i/>
          <w:vertAlign w:val="superscript"/>
        </w:rPr>
        <w:t>th</w:t>
      </w:r>
      <w:r>
        <w:rPr>
          <w:i/>
        </w:rPr>
        <w:t xml:space="preserve"> ed.,</w:t>
      </w:r>
      <w:r>
        <w:rPr/>
        <w:t xml:space="preserve"> New Jersey: Prentice-Hall</w:t>
      </w:r>
    </w:p>
    <w:p>
      <w:pPr>
        <w:pStyle w:val="Normal"/>
        <w:rPr/>
      </w:pPr>
      <w:r>
        <w:rPr/>
      </w:r>
    </w:p>
    <w:p>
      <w:pPr>
        <w:pStyle w:val="Normal"/>
        <w:rPr/>
      </w:pPr>
      <w:r>
        <w:rPr/>
        <w:t xml:space="preserve">Schwarz, G., (1978), "Estimating the Dimensions of a Model", </w:t>
      </w:r>
      <w:r>
        <w:rPr>
          <w:i/>
        </w:rPr>
        <w:t>Annals of Statistics</w:t>
      </w:r>
      <w:r>
        <w:rPr/>
        <w:t xml:space="preserve">, </w:t>
      </w:r>
      <w:r>
        <w:rPr>
          <w:b/>
        </w:rPr>
        <w:t>6</w:t>
      </w:r>
      <w:r>
        <w:rPr/>
        <w:t>, 461-464.</w:t>
      </w:r>
    </w:p>
    <w:p>
      <w:pPr>
        <w:pStyle w:val="Normal"/>
        <w:rPr/>
      </w:pPr>
      <w:r>
        <w:rPr/>
      </w:r>
    </w:p>
    <w:sectPr>
      <w:headerReference w:type="default" r:id="rId14"/>
      <w:footerReference w:type="default" r:id="rId15"/>
      <w:endnotePr>
        <w:pos w:val="sectEnd"/>
        <w:numFmt w:val="lowerRoman"/>
      </w:end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t>1</w:t>
      </w:r>
      <w:r>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Palatino">
    <w:charset w:val="00" w:characterSet="windows-1252"/>
    <w:family w:val="roman"/>
    <w:pitch w:val="variable"/>
  </w:font>
  <w:font w:name="palantin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rPr/>
    </w:pPr>
    <w:r>
      <w:rPr>
        <w:i/>
      </w:rPr>
      <w:fldChar w:fldCharType="begin"/>
    </w:r>
    <w:r>
      <w:rPr>
        <w:i/>
      </w:rPr>
      <w:instrText xml:space="preserve"> FILENAME </w:instrText>
    </w:r>
    <w:r>
      <w:rPr>
        <w:i/>
      </w:rPr>
      <w:fldChar w:fldCharType="separate"/>
    </w:r>
    <w:r>
      <w:rPr>
        <w:i/>
      </w:rPr>
      <w:t>vol0720.DOC</w:t>
    </w:r>
    <w:r>
      <w:rPr>
        <w:i/>
      </w:rPr>
      <w:fldChar w:fldCharType="end"/>
    </w:r>
    <w:r>
      <w:rPr>
        <w:i/>
      </w:rPr>
      <w:tab/>
      <w:tab/>
    </w:r>
    <w:r>
      <w:rPr>
        <w:rStyle w:val="PageNumber"/>
        <w:i/>
      </w:rPr>
      <w:fldChar w:fldCharType="begin"/>
    </w:r>
    <w:r>
      <w:rPr>
        <w:rStyle w:val="PageNumber"/>
        <w:i/>
      </w:rPr>
      <w:instrText xml:space="preserve"> PAGE </w:instrText>
    </w:r>
    <w:r>
      <w:rPr>
        <w:rStyle w:val="PageNumber"/>
        <w:i/>
      </w:rPr>
      <w:fldChar w:fldCharType="separate"/>
    </w:r>
    <w:r>
      <w:rPr>
        <w:rStyle w:val="PageNumber"/>
        <w:i/>
      </w:rPr>
      <w:t>31</w:t>
    </w:r>
    <w:r>
      <w:rPr>
        <w:rStyle w:val="PageNumber"/>
        <w:i/>
      </w:rPr>
      <w:fldChar w:fldCharType="end"/>
    </w:r>
    <w:r>
      <w:rPr>
        <w:rStyle w:val="PageNumber"/>
        <w:i/>
      </w:rPr>
      <w:t>/</w:t>
    </w:r>
    <w:r>
      <w:rPr>
        <w:rStyle w:val="PageNumber"/>
        <w:i/>
      </w:rPr>
      <w:fldChar w:fldCharType="begin"/>
    </w:r>
    <w:r>
      <w:rPr>
        <w:rStyle w:val="PageNumber"/>
        <w:i/>
      </w:rPr>
      <w:instrText xml:space="preserve"> NUMPAGES \* ARABIC </w:instrText>
    </w:r>
    <w:r>
      <w:rPr>
        <w:rStyle w:val="PageNumber"/>
        <w:i/>
      </w:rPr>
      <w:fldChar w:fldCharType="separate"/>
    </w:r>
    <w:r>
      <w:rPr>
        <w:rStyle w:val="PageNumber"/>
        <w:i/>
      </w:rPr>
      <w:t>31</w:t>
    </w:r>
    <w:r>
      <w:rPr>
        <w:rStyle w:val="PageNumber"/>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20"/>
      </w:rPr>
    </w:pPr>
    <w:r>
      <w:rPr>
        <w:i/>
        <w:sz w:val="20"/>
      </w:rPr>
      <w:t>Volatility Estimation in Energy Markets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endnotePr>
    <w:pos w:val="sectEnd"/>
    <w:numFmt w:val="lowerRoman"/>
    <w:endnote w:id="0"/>
    <w:endnote w:id="1"/>
  </w:end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spacing w:lineRule="auto" w:line="360"/>
      <w:textAlignment w:val="baseline"/>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sz w:val="28"/>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spacing w:lineRule="auto" w:line="240"/>
      <w:jc w:val="center"/>
    </w:pPr>
    <w:rPr>
      <w:b/>
      <w:sz w:val="40"/>
    </w:rPr>
  </w:style>
  <w:style w:type="paragraph" w:styleId="List">
    <w:name w:val="List"/>
    <w:basedOn w:val="BodyText"/>
    <w:pPr/>
    <w:rPr>
      <w:rFonts w:cs="NotoSans NF"/>
    </w:rPr>
  </w:style>
  <w:style w:type="paragraph" w:styleId="Caption">
    <w:name w:val="caption"/>
    <w:basedOn w:val="Normal"/>
    <w:next w:val="Normal"/>
    <w:qFormat/>
    <w:pPr>
      <w:overflowPunct w:val="true"/>
      <w:autoSpaceDE w:val="true"/>
      <w:spacing w:lineRule="auto" w:line="240" w:before="120" w:after="120"/>
      <w:textAlignment w:val="auto"/>
    </w:pPr>
    <w:rPr>
      <w:b/>
      <w:color w:val="000000"/>
      <w:sz w:val="20"/>
      <w:lang w:val="en-US"/>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Equation">
    <w:name w:val="Equation"/>
    <w:basedOn w:val="Normal"/>
    <w:qFormat/>
    <w:pPr>
      <w:tabs>
        <w:tab w:val="clear" w:pos="720"/>
        <w:tab w:val="center" w:pos="4320" w:leader="none"/>
        <w:tab w:val="left" w:pos="8100" w:leader="none"/>
      </w:tabs>
    </w:pPr>
    <w:rPr/>
  </w:style>
  <w:style w:type="paragraph" w:styleId="FootnoteText">
    <w:name w:val="footnote text"/>
    <w:basedOn w:val="Normal"/>
    <w:pPr>
      <w:spacing w:lineRule="auto" w:line="240"/>
      <w:ind w:hanging="720" w:start="720" w:end="0"/>
    </w:pPr>
    <w:rPr>
      <w:sz w:val="20"/>
    </w:rPr>
  </w:style>
  <w:style w:type="paragraph" w:styleId="STANDARDPARALEVEL">
    <w:name w:val="STANDARD PARA LEVEL"/>
    <w:qFormat/>
    <w:pPr>
      <w:widowControl/>
      <w:overflowPunct w:val="false"/>
      <w:autoSpaceDE w:val="false"/>
      <w:bidi w:val="0"/>
      <w:spacing w:lineRule="exact" w:line="240"/>
      <w:ind w:hanging="0" w:start="720" w:end="0"/>
      <w:textAlignment w:val="baseline"/>
    </w:pPr>
    <w:rPr>
      <w:rFonts w:ascii="Palatino" w:hAnsi="Palatino" w:eastAsia="Times New Roman" w:cs="Palatino"/>
      <w:color w:val="auto"/>
      <w:sz w:val="22"/>
      <w:szCs w:val="20"/>
      <w:lang w:val="en-GB" w:bidi="ar-SA" w:eastAsia="zh-CN"/>
    </w:rPr>
  </w:style>
  <w:style w:type="paragraph" w:styleId="smtxtHEADING3">
    <w:name w:val="(smtxt) HEADING 3"/>
    <w:basedOn w:val="Normal"/>
    <w:next w:val="smtxtNORMAL"/>
    <w:qFormat/>
    <w:pPr>
      <w:spacing w:lineRule="auto" w:line="240"/>
    </w:pPr>
    <w:rPr>
      <w:color w:val="800000"/>
      <w:sz w:val="42"/>
      <w:u w:val="single"/>
    </w:rPr>
  </w:style>
  <w:style w:type="paragraph" w:styleId="smtxtNORMAL">
    <w:name w:val="(smtxt) NORMAL"/>
    <w:basedOn w:val="Normal"/>
    <w:qFormat/>
    <w:pPr>
      <w:spacing w:lineRule="auto" w:line="240"/>
    </w:pPr>
    <w:rPr>
      <w:color w:val="000080"/>
      <w:sz w:val="42"/>
    </w:rPr>
  </w:style>
  <w:style w:type="paragraph" w:styleId="smtxtHEADING2">
    <w:name w:val="(smtxt) HEADING 2"/>
    <w:basedOn w:val="Normal"/>
    <w:next w:val="smtxtNORMAL"/>
    <w:qFormat/>
    <w:pPr>
      <w:spacing w:lineRule="auto" w:line="240"/>
    </w:pPr>
    <w:rPr>
      <w:b/>
      <w:color w:val="800000"/>
      <w:sz w:val="40"/>
    </w:rPr>
  </w:style>
  <w:style w:type="paragraph" w:styleId="smtxtNMLINDENT">
    <w:name w:val="(smtxt) NML INDENT"/>
    <w:basedOn w:val="Normal"/>
    <w:next w:val="smtxtNORMAL"/>
    <w:qFormat/>
    <w:pPr>
      <w:spacing w:lineRule="auto" w:line="240"/>
      <w:ind w:hanging="0" w:start="720" w:end="0"/>
    </w:pPr>
    <w:rPr>
      <w:color w:val="000080"/>
      <w:sz w:val="42"/>
    </w:rPr>
  </w:style>
  <w:style w:type="paragraph" w:styleId="P2">
    <w:name w:val="P2"/>
    <w:qFormat/>
    <w:pPr>
      <w:widowControl/>
      <w:overflowPunct w:val="false"/>
      <w:autoSpaceDE w:val="false"/>
      <w:bidi w:val="0"/>
      <w:spacing w:lineRule="atLeast" w:line="480"/>
      <w:ind w:hanging="0" w:start="1440" w:end="0"/>
      <w:textAlignment w:val="baseline"/>
    </w:pPr>
    <w:rPr>
      <w:rFonts w:ascii="Palatino" w:hAnsi="Palatino" w:eastAsia="Times New Roman" w:cs="Palatino"/>
      <w:color w:val="0000FF"/>
      <w:sz w:val="22"/>
      <w:szCs w:val="20"/>
      <w:lang w:val="en-GB" w:bidi="ar-SA" w:eastAsia="zh-CN"/>
    </w:rPr>
  </w:style>
  <w:style w:type="paragraph" w:styleId="P3">
    <w:name w:val="P3"/>
    <w:qFormat/>
    <w:pPr>
      <w:widowControl/>
      <w:overflowPunct w:val="false"/>
      <w:autoSpaceDE w:val="false"/>
      <w:bidi w:val="0"/>
      <w:spacing w:lineRule="atLeast" w:line="480"/>
      <w:ind w:hanging="0" w:start="2160" w:end="0"/>
      <w:textAlignment w:val="baseline"/>
    </w:pPr>
    <w:rPr>
      <w:rFonts w:ascii="Palatino" w:hAnsi="Palatino" w:eastAsia="Times New Roman" w:cs="Palatino"/>
      <w:color w:val="0000FF"/>
      <w:sz w:val="22"/>
      <w:szCs w:val="20"/>
      <w:lang w:val="en-GB" w:bidi="ar-SA" w:eastAsia="zh-CN"/>
    </w:rPr>
  </w:style>
  <w:style w:type="paragraph" w:styleId="P4">
    <w:name w:val="P4"/>
    <w:qFormat/>
    <w:pPr>
      <w:widowControl/>
      <w:overflowPunct w:val="false"/>
      <w:autoSpaceDE w:val="false"/>
      <w:bidi w:val="0"/>
      <w:spacing w:lineRule="atLeast" w:line="480"/>
      <w:ind w:hanging="0" w:start="2880" w:end="0"/>
      <w:textAlignment w:val="baseline"/>
    </w:pPr>
    <w:rPr>
      <w:rFonts w:ascii="Palatino" w:hAnsi="Palatino" w:eastAsia="Times New Roman" w:cs="Palatino"/>
      <w:color w:val="0000FF"/>
      <w:sz w:val="22"/>
      <w:szCs w:val="20"/>
      <w:lang w:val="en-GB" w:bidi="ar-SA" w:eastAsia="zh-CN"/>
    </w:rPr>
  </w:style>
  <w:style w:type="paragraph" w:styleId="P5">
    <w:name w:val="P5"/>
    <w:qFormat/>
    <w:pPr>
      <w:widowControl/>
      <w:overflowPunct w:val="false"/>
      <w:autoSpaceDE w:val="false"/>
      <w:bidi w:val="0"/>
      <w:spacing w:lineRule="atLeast" w:line="480"/>
      <w:ind w:hanging="0" w:start="3600" w:end="0"/>
      <w:textAlignment w:val="baseline"/>
    </w:pPr>
    <w:rPr>
      <w:rFonts w:ascii="Palatino" w:hAnsi="Palatino" w:eastAsia="Times New Roman" w:cs="Palatino"/>
      <w:color w:val="0000FF"/>
      <w:sz w:val="22"/>
      <w:szCs w:val="20"/>
      <w:lang w:val="en-GB" w:bidi="ar-SA" w:eastAsia="zh-CN"/>
    </w:rPr>
  </w:style>
  <w:style w:type="paragraph" w:styleId="O1">
    <w:name w:val="O1"/>
    <w:qFormat/>
    <w:pPr>
      <w:widowControl/>
      <w:overflowPunct w:val="false"/>
      <w:autoSpaceDE w:val="false"/>
      <w:bidi w:val="0"/>
      <w:spacing w:lineRule="atLeast" w:line="480"/>
      <w:ind w:hanging="720" w:start="720" w:end="0"/>
      <w:textAlignment w:val="baseline"/>
    </w:pPr>
    <w:rPr>
      <w:rFonts w:ascii="Palatino" w:hAnsi="Palatino" w:eastAsia="Times New Roman" w:cs="Palatino"/>
      <w:color w:val="0000FF"/>
      <w:sz w:val="22"/>
      <w:szCs w:val="20"/>
      <w:lang w:val="en-GB" w:bidi="ar-SA" w:eastAsia="zh-CN"/>
    </w:rPr>
  </w:style>
  <w:style w:type="paragraph" w:styleId="QuotationsPara">
    <w:name w:val="Quotations Para"/>
    <w:qFormat/>
    <w:pPr>
      <w:widowControl/>
      <w:overflowPunct w:val="false"/>
      <w:autoSpaceDE w:val="false"/>
      <w:bidi w:val="0"/>
      <w:spacing w:lineRule="atLeast" w:line="360"/>
      <w:ind w:hanging="0" w:start="720" w:end="1440"/>
      <w:jc w:val="both"/>
      <w:textAlignment w:val="baseline"/>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overflowPunct w:val="false"/>
      <w:autoSpaceDE w:val="false"/>
      <w:bidi w:val="0"/>
      <w:spacing w:lineRule="atLeast" w:line="480"/>
      <w:jc w:val="end"/>
      <w:textAlignment w:val="baseline"/>
    </w:pPr>
    <w:rPr>
      <w:rFonts w:ascii="Palatino" w:hAnsi="Palatino" w:eastAsia="Times New Roman" w:cs="Palatino"/>
      <w:color w:val="0000FF"/>
      <w:sz w:val="22"/>
      <w:szCs w:val="20"/>
      <w:lang w:val="en-GB" w:bidi="ar-SA" w:eastAsia="zh-CN"/>
    </w:rPr>
  </w:style>
  <w:style w:type="paragraph" w:styleId="ReferencesPara">
    <w:name w:val="References Para"/>
    <w:qFormat/>
    <w:pPr>
      <w:widowControl/>
      <w:overflowPunct w:val="false"/>
      <w:autoSpaceDE w:val="false"/>
      <w:bidi w:val="0"/>
      <w:spacing w:lineRule="atLeast" w:line="360" w:before="120" w:after="0"/>
      <w:ind w:hanging="720" w:start="720" w:end="0"/>
      <w:textAlignment w:val="baseline"/>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overflowPunct w:val="false"/>
      <w:autoSpaceDE w:val="false"/>
      <w:bidi w:val="0"/>
      <w:jc w:val="center"/>
      <w:textAlignment w:val="baseline"/>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overflowPunct w:val="false"/>
      <w:autoSpaceDE w:val="false"/>
      <w:bidi w:val="0"/>
      <w:jc w:val="center"/>
      <w:textAlignment w:val="baseline"/>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overflowPunct w:val="false"/>
      <w:autoSpaceDE w:val="false"/>
      <w:bidi w:val="0"/>
      <w:spacing w:lineRule="atLeast" w:line="240"/>
      <w:jc w:val="center"/>
      <w:textAlignment w:val="baseline"/>
    </w:pPr>
    <w:rPr>
      <w:rFonts w:ascii="Palatino" w:hAnsi="Palatino" w:eastAsia="Times New Roman" w:cs="Palatino"/>
      <w:i/>
      <w:color w:val="008080"/>
      <w:sz w:val="18"/>
      <w:szCs w:val="20"/>
      <w:lang w:val="en-GB" w:bidi="ar-SA" w:eastAsia="zh-CN"/>
    </w:rPr>
  </w:style>
  <w:style w:type="paragraph" w:styleId="O2">
    <w:name w:val="O2"/>
    <w:qFormat/>
    <w:pPr>
      <w:widowControl/>
      <w:overflowPunct w:val="false"/>
      <w:autoSpaceDE w:val="false"/>
      <w:bidi w:val="0"/>
      <w:spacing w:lineRule="atLeast" w:line="480"/>
      <w:ind w:hanging="720" w:start="1440" w:end="0"/>
      <w:textAlignment w:val="baseline"/>
    </w:pPr>
    <w:rPr>
      <w:rFonts w:ascii="Palatino" w:hAnsi="Palatino" w:eastAsia="Times New Roman" w:cs="Palatino"/>
      <w:color w:val="0000FF"/>
      <w:sz w:val="22"/>
      <w:szCs w:val="20"/>
      <w:lang w:val="en-GB" w:bidi="ar-SA" w:eastAsia="zh-CN"/>
    </w:rPr>
  </w:style>
  <w:style w:type="paragraph" w:styleId="O3">
    <w:name w:val="O3"/>
    <w:qFormat/>
    <w:pPr>
      <w:widowControl/>
      <w:overflowPunct w:val="false"/>
      <w:autoSpaceDE w:val="false"/>
      <w:bidi w:val="0"/>
      <w:spacing w:lineRule="atLeast" w:line="480"/>
      <w:ind w:hanging="720" w:start="2160" w:end="0"/>
      <w:textAlignment w:val="baseline"/>
    </w:pPr>
    <w:rPr>
      <w:rFonts w:ascii="Palatino" w:hAnsi="Palatino" w:eastAsia="Times New Roman" w:cs="Palatino"/>
      <w:color w:val="0000FF"/>
      <w:sz w:val="22"/>
      <w:szCs w:val="20"/>
      <w:lang w:val="en-GB" w:bidi="ar-SA" w:eastAsia="zh-CN"/>
    </w:rPr>
  </w:style>
  <w:style w:type="paragraph" w:styleId="O4">
    <w:name w:val="O4"/>
    <w:qFormat/>
    <w:pPr>
      <w:widowControl/>
      <w:overflowPunct w:val="false"/>
      <w:autoSpaceDE w:val="false"/>
      <w:bidi w:val="0"/>
      <w:spacing w:lineRule="atLeast" w:line="480"/>
      <w:ind w:hanging="720" w:start="2880" w:end="0"/>
      <w:textAlignment w:val="baseline"/>
    </w:pPr>
    <w:rPr>
      <w:rFonts w:ascii="Palatino" w:hAnsi="Palatino" w:eastAsia="Times New Roman" w:cs="Palatino"/>
      <w:color w:val="0000FF"/>
      <w:sz w:val="22"/>
      <w:szCs w:val="20"/>
      <w:lang w:val="en-GB" w:bidi="ar-SA" w:eastAsia="zh-CN"/>
    </w:rPr>
  </w:style>
  <w:style w:type="paragraph" w:styleId="O5">
    <w:name w:val="O5"/>
    <w:qFormat/>
    <w:pPr>
      <w:widowControl/>
      <w:overflowPunct w:val="false"/>
      <w:autoSpaceDE w:val="false"/>
      <w:bidi w:val="0"/>
      <w:spacing w:lineRule="atLeast" w:line="480"/>
      <w:ind w:hanging="720" w:start="3600" w:end="0"/>
      <w:textAlignment w:val="baseline"/>
    </w:pPr>
    <w:rPr>
      <w:rFonts w:ascii="Palatino" w:hAnsi="Palatino" w:eastAsia="Times New Roman" w:cs="Palatino"/>
      <w:color w:val="0000FF"/>
      <w:sz w:val="22"/>
      <w:szCs w:val="20"/>
      <w:lang w:val="en-GB" w:bidi="ar-SA" w:eastAsia="zh-CN"/>
    </w:rPr>
  </w:style>
  <w:style w:type="paragraph" w:styleId="TI">
    <w:name w:val="TI"/>
    <w:qFormat/>
    <w:pPr>
      <w:widowControl/>
      <w:overflowPunct w:val="false"/>
      <w:autoSpaceDE w:val="false"/>
      <w:bidi w:val="0"/>
      <w:jc w:val="center"/>
      <w:textAlignment w:val="baseline"/>
    </w:pPr>
    <w:rPr>
      <w:rFonts w:ascii="palantino" w:hAnsi="palantino" w:eastAsia="Times New Roman" w:cs="palantino"/>
      <w:b/>
      <w:i/>
      <w:color w:val="auto"/>
      <w:sz w:val="38"/>
      <w:szCs w:val="20"/>
      <w:lang w:val="en-US" w:bidi="ar-SA" w:eastAsia="zh-CN"/>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right" w:pos="8064" w:leader="none"/>
      </w:tabs>
      <w:spacing w:lineRule="atLeast" w:line="240"/>
      <w:jc w:val="center"/>
    </w:pPr>
    <w:rPr>
      <w:sz w:val="40"/>
    </w:rPr>
  </w:style>
  <w:style w:type="paragraph" w:styleId="Pseudo-code">
    <w:name w:val="Pseudo-code"/>
    <w:basedOn w:val="Normal"/>
    <w:qFormat/>
    <w:pPr/>
    <w:rPr>
      <w:rFonts w:ascii="Courier New" w:hAnsi="Courier New" w:cs="Courier New"/>
      <w:sz w:val="28"/>
    </w:rPr>
  </w:style>
  <w:style w:type="paragraph" w:styleId="CommentText">
    <w:name w:val="Comment Text"/>
    <w:basedOn w:val="Normal"/>
    <w:qFormat/>
    <w:pPr/>
    <w:rPr>
      <w:sz w:val="20"/>
    </w:rPr>
  </w:style>
  <w:style w:type="paragraph" w:styleId="Figureheader">
    <w:name w:val="Figure header"/>
    <w:basedOn w:val="Normal"/>
    <w:qFormat/>
    <w:pPr>
      <w:jc w:val="center"/>
    </w:pPr>
    <w:rPr>
      <w:b/>
      <w:color w:val="FF00FF"/>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BodyText3">
    <w:name w:val="Body Text 3"/>
    <w:basedOn w:val="Normal"/>
    <w:qFormat/>
    <w:pPr/>
    <w:rPr>
      <w:i/>
      <w:iCs/>
    </w:rPr>
  </w:style>
  <w:style w:type="paragraph" w:styleId="endnotetext1">
    <w:name w:val="endnote text1"/>
    <w:basedOn w:val="Normal"/>
    <w:qFormat/>
    <w:pPr>
      <w:spacing w:lineRule="auto" w:line="240"/>
    </w:pPr>
    <w:rPr>
      <w:color w:val="000000"/>
      <w:sz w:val="20"/>
      <w:lang w:val="en-US"/>
    </w:rPr>
  </w:style>
  <w:style w:type="paragraph" w:styleId="BlockText">
    <w:name w:val="Block Text"/>
    <w:basedOn w:val="Normal"/>
    <w:qFormat/>
    <w:pPr>
      <w:ind w:hanging="0" w:start="720" w:end="720"/>
    </w:pPr>
    <w:rPr>
      <w:color w:val="000000"/>
    </w:rPr>
  </w:style>
  <w:style w:type="paragraph" w:styleId="EndnoteText">
    <w:name w:val="end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oleObject" Target="embeddings/oleObject6.bin"/><Relationship Id="rId13" Type="http://schemas.openxmlformats.org/officeDocument/2006/relationships/image" Target="media/image6.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endnotes" Target="end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2000-07-04T15:35:00Z</dcterms:created>
  <dc:creator>Chris Strickland</dc:creator>
  <dc:description/>
  <dc:language>en-CA</dc:language>
  <cp:lastModifiedBy>vkamins</cp:lastModifiedBy>
  <cp:lastPrinted>2000-06-28T18:17:00Z</cp:lastPrinted>
  <dcterms:modified xsi:type="dcterms:W3CDTF">2000-07-20T20:45:00Z</dcterms:modified>
  <cp:revision>13</cp:revision>
  <dc:subject>Introduction and outline</dc:subject>
  <dc:title>Numerical Methods Course (session 01)</dc:title>
</cp:coreProperties>
</file>