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mallCaps/>
          <w:sz w:val="24"/>
        </w:rPr>
      </w:pPr>
      <w:r>
        <w:rPr>
          <w:rFonts w:cs="Times New Roman" w:ascii="Times New Roman" w:hAnsi="Times New Roman"/>
          <w:smallCaps/>
          <w:sz w:val="24"/>
        </w:rPr>
      </w:r>
    </w:p>
    <w:p>
      <w:pPr>
        <w:pStyle w:val="Normal"/>
        <w:suppressAutoHyphens w:val="true"/>
        <w:rPr>
          <w:rFonts w:ascii="Times New Roman" w:hAnsi="Times New Roman" w:cs="Times New Roman"/>
          <w:smallCaps/>
          <w:sz w:val="24"/>
        </w:rPr>
      </w:pPr>
      <w:r>
        <w:rPr>
          <w:rFonts w:cs="Times New Roman" w:ascii="Times New Roman" w:hAnsi="Times New Roman"/>
          <w:smallCaps/>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0"/>
        </w:numPr>
        <w:suppressAutoHyphens w:val="true"/>
        <w:outlineLvl w:val="0"/>
        <w:rPr>
          <w:rFonts w:ascii="Times New Roman" w:hAnsi="Times New Roman" w:cs="Times New Roman"/>
          <w:sz w:val="24"/>
        </w:rPr>
      </w:pPr>
      <w:r>
        <w:rPr>
          <w:rFonts w:cs="Times New Roman" w:ascii="Times New Roman" w:hAnsi="Times New Roman"/>
          <w:sz w:val="24"/>
        </w:rPr>
        <w:t>October __, 2001</w:t>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0"/>
        </w:numPr>
        <w:suppressAutoHyphens w:val="true"/>
        <w:outlineLvl w:val="0"/>
        <w:rPr>
          <w:rFonts w:ascii="Times New Roman" w:hAnsi="Times New Roman" w:cs="Times New Roman"/>
          <w:sz w:val="24"/>
        </w:rPr>
      </w:pPr>
      <w:r>
        <w:rPr>
          <w:rFonts w:cs="Times New Roman" w:ascii="Times New Roman" w:hAnsi="Times New Roman"/>
          <w:sz w:val="24"/>
        </w:rPr>
        <w:t>EnronOnline, LLC</w:t>
      </w:r>
    </w:p>
    <w:p>
      <w:pPr>
        <w:pStyle w:val="Normal"/>
        <w:numPr>
          <w:ilvl w:val="0"/>
          <w:numId w:val="0"/>
        </w:numPr>
        <w:suppressAutoHyphens w:val="true"/>
        <w:outlineLvl w:val="0"/>
        <w:rPr>
          <w:rFonts w:ascii="Times New Roman" w:hAnsi="Times New Roman" w:cs="Times New Roman"/>
          <w:sz w:val="24"/>
        </w:rPr>
      </w:pPr>
      <w:r>
        <w:rPr>
          <w:rFonts w:cs="Times New Roman" w:ascii="Times New Roman" w:hAnsi="Times New Roman"/>
          <w:sz w:val="24"/>
        </w:rPr>
        <w:t>Enron Net Works LLC</w:t>
      </w:r>
    </w:p>
    <w:p>
      <w:pPr>
        <w:pStyle w:val="Normal"/>
        <w:numPr>
          <w:ilvl w:val="0"/>
          <w:numId w:val="0"/>
        </w:numPr>
        <w:suppressAutoHyphens w:val="true"/>
        <w:outlineLvl w:val="0"/>
        <w:rPr>
          <w:rFonts w:ascii="Times New Roman" w:hAnsi="Times New Roman" w:cs="Times New Roman"/>
          <w:sz w:val="24"/>
        </w:rPr>
      </w:pPr>
      <w:r>
        <w:rPr>
          <w:rFonts w:cs="Times New Roman" w:ascii="Times New Roman" w:hAnsi="Times New Roman"/>
          <w:sz w:val="24"/>
        </w:rPr>
        <w:t>1400 Smith Street</w:t>
      </w:r>
    </w:p>
    <w:p>
      <w:pPr>
        <w:pStyle w:val="Normal"/>
        <w:suppressAutoHyphens w:val="true"/>
        <w:rPr>
          <w:rFonts w:ascii="Times New Roman" w:hAnsi="Times New Roman" w:cs="Times New Roman"/>
          <w:sz w:val="24"/>
        </w:rPr>
      </w:pPr>
      <w:r>
        <w:rPr>
          <w:rFonts w:cs="Times New Roman" w:ascii="Times New Roman" w:hAnsi="Times New Roman"/>
          <w:sz w:val="24"/>
        </w:rPr>
        <w:t>Houston, TX 77002</w:t>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0"/>
        </w:numPr>
        <w:suppressAutoHyphens w:val="true"/>
        <w:jc w:val="center"/>
        <w:outlineLvl w:val="0"/>
        <w:rPr>
          <w:rFonts w:ascii="Times New Roman" w:hAnsi="Times New Roman" w:cs="Times New Roman"/>
          <w:sz w:val="24"/>
        </w:rPr>
      </w:pPr>
      <w:r>
        <w:rPr>
          <w:rFonts w:cs="Times New Roman" w:ascii="Times New Roman" w:hAnsi="Times New Roman"/>
          <w:b/>
          <w:sz w:val="24"/>
          <w:u w:val="single"/>
        </w:rPr>
        <w:t>CONFIDENTIALITY AGREEMENT</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Gentlemen:</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
        <w:jc w:val="both"/>
        <w:rPr/>
      </w:pPr>
      <w:r>
        <w:rPr>
          <w:spacing w:val="-3"/>
          <w:sz w:val="24"/>
        </w:rPr>
        <w:t>EnronOnline, LLC and Enron Net Works LLC (</w:t>
      </w:r>
      <w:r>
        <w:rPr>
          <w:sz w:val="22"/>
        </w:rPr>
        <w:t>hereinafter individually and collectively referred to as a</w:t>
      </w:r>
      <w:r>
        <w:rPr>
          <w:spacing w:val="-3"/>
          <w:sz w:val="24"/>
        </w:rPr>
        <w:t xml:space="preserve"> “Enron”) and the Virtual Markets Assurance Corporation (“VMAC”), (collectively the “Parties”), </w:t>
      </w:r>
      <w:r>
        <w:rPr>
          <w:sz w:val="24"/>
        </w:rPr>
        <w:t xml:space="preserve">would like to engage in discussions and exchange information a possible transaction or other business relationship involving an alternative trading platform for certain Enron transactions.  Much of the information to be exchanged is confidential, and each Party wishes to protect its confidential information from disclosure by the other Party.  </w:t>
      </w:r>
      <w:r>
        <w:rPr>
          <w:spacing w:val="-3"/>
          <w:sz w:val="24"/>
        </w:rPr>
        <w:t>The purpose of this letter is to confirm our understanding as to the treatment of certain information that may be delivered between the Parties from time to time with respect to the possible participation by the Parties in a potential business relationship relating to the energy markets, such participation to include acquisition of interests and/ or contractual arrangements (the “Transaction(s)”).</w:t>
      </w:r>
    </w:p>
    <w:p>
      <w:pPr>
        <w:pStyle w:val="BodyText2"/>
        <w:rPr/>
      </w:pPr>
      <w:r>
        <w:rPr/>
        <w:tab/>
        <w:t>As a condition to furnishing such information, the parties agree, as set forth below, to treat confidentially such information (collectively the "Confidential Information") which the Parties or their respective representatives or agents furnish between their representatives (including attorneys, accountants and financial advisors), associates, affiliates, or any of their respective directors, officers or employees (collectively the "Representatives").  All analyses, compilations, studies, notes or other documents prepared by the Parties or any of their representatives containing or based in whole or in part on any information furnished in contemplation of the Transaction (the foregoing being referred to as the “Evaluation Material”) is also covered herein and is not part of the Confidential Information.</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2"/>
        <w:rPr/>
      </w:pPr>
      <w:r>
        <w:rPr/>
        <w:tab/>
        <w:t>The Parties agree that neither the Confidential Information nor the Evaluation Material will be used in any way detrimental to the other Party, will be kept confidential by the Parties and their Representatives, shall not, except as hereinafter provided, without prior written consent, be disclosed, in any manner whatsoever, in whole or in part (except as provided elsewhere in this agreement), and shall not be used other than for the purpose of evaluating the Transactions.  Moreover, the Parties further agree to disclose Confidential Information and Evaluation Material only to those Representatives who need to know such information for the purpose of evaluating the Transactions and who shall (i) be advised of this Agreement, and (ii) agree with to be bound by the provisions hereof.  The Parties shall be responsible for any breach of this Agreement by their Representatives.</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2"/>
        <w:rPr/>
      </w:pPr>
      <w:r>
        <w:rPr/>
        <w:tab/>
        <w:t>Without the other Party’s prior written consent, the Parties will not disclose, and will explicitly direct their Representatives who are given access to the Confidential Information or the Evaluation Material to not disclose to any person (other than a person authorized hereunder), the fact that the Confidential Information or the Evaluation Material has been made available, that discussions or negotiations between the Parties are taking place, or any of the terms, conditions or other facts with respect to the possible Transactions, including the status thereof.  The term "person" as used in this Agreement shall be broadly interpreted to include, without limitation, any corporation, company, partnership or individual, including your employer.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In the event that a Party or it’s Representatives are requested or become legally compelled (by oral questions, interrogatories, requests for information or documents, subpoena, civil investigative demand, court or government order or similar process) to disclose any of the Confidential Information or Evaluation Material or the fact that the Confidential Information or Evaluation Material has been made available, that discussions or negotiations between the Parties are taking place, or any of the terms, conditions or other facts with respect to the possible Transactions, it is agreed that the Parties, or their Representatives, as the case may be, will provide each other with prompt written notice of such request(s) so that the Party who disclosed the Confidential Information or Evaluation Material may seek a protective order or other appropriate remedy.  In the event that such protective order or other remedy is not obtained, the Party requested to make such disclosure agrees that it will furnish only that portion of the Confidential Information and the Evaluation Material and other information which is legally required and will exercise reasonable efforts to obtain reliable assurance that confidential treatment will be accorded to that portion of the Confidential Information and the Evaluation Material and other information which is being disclosed.</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Within ten (10) days of a Party’s delivery to the other of notice of termination of the discussions relating to a proposed Transaction, the required Party will deliver to the requesting Party the Confidential Information relating to the Transactions and all copies thereof or shall undertake the destruction of the Confidential Information and all copies thereof; provided, however, the required Party shall not be required to destroy or erase Confidential Information and Evaluation Material that is contained in an archived computer system backup made in accordance with a Party’s security and/or disaster recovery procedures.  The required Party shall promptly confirm the destruction of the Confidential Information.  All Evaluation Material of the required Party shall be retained by the required Party, but shall remain subject to the confidentiality provisions of this Agreement.</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terms “Confidential Information” and "Evaluation Material" do not include information which (i) is or becomes generally available to the public other than as a result of a disclosure by the Parties or their Representatives, (ii) was available to the Parties on a non-confidential basis prior to its disclosure, (iii) becomes available to the Parties on a non-confidential basis from a source other than one another or the Parties Representatives and was not otherwise obtained in violation of the terms of this letter or any law; provided, however, that such source is not known to the Parties to be bound by a confidentiality agreement, or (iv) is independently developed by the parties without reliance upon the Confidential Information or Evaluation Material.</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Parties agree that money damages may not be sufficient remedy for any breach of this Agreement by the Parties or their Representatives, and that in addition to all other remedies the Parties shall be entitled to specific performance and injunctive or other equitable relief as a remedy for any such breach, and further agree to waive and to use reasonable efforts to cause their Representatives to waive any requirement for the securing or posting of any bond in connection with such remedy.</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It is further understood and agreed that no failure or delay by the Parties in exercising any right, power or privilege hereunder shall operate as a waiver thereof, nor shall any single or partial exercise thereof preclude any other or further exercise thereof or the exercise of any right, power or privilege hereunder.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Any provision of this Agreement which is prohibited or unenforceable in any jurisdiction shall, in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  Furthermore, in lieu of each unenforceable provision there shall be added automatically as a part of this Agreement a provision as similar in terms to such unenforceable provision as may be possible and be legal, valid and enforceable.</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Parties also confirm our understanding that any agreement between or among us as to a Transaction will exist only when such agreement is in writing and duly executed by the parties thereto.</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This Agreement may be executed in several counterparts, all of which together shall constitute one and the same agreement.</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This Agreement shall be governed by the laws of the State of New York and, as applicable, the laws of the United States of America.</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2"/>
        <w:rPr/>
      </w:pPr>
      <w:r>
        <w:rPr/>
        <w:tab/>
        <w:t>The Parties agree that all right, title and interest in and to the Confidential Information and Evaluation Material disclosed hereunder shall be retained by the disclosing Party and that no present or future intellectual property rights or licenses are offered, granted or implied by the disclosure of any Confidential Information or Evaluation Material hereunder.</w:t>
      </w:r>
      <w:r>
        <w:br w:type="page"/>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 xml:space="preserve">The provisions of this Agreement shall terminate on the date two years from the date of this Agreement. </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Very truly yours,</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r>
    </w:p>
    <w:p>
      <w:pPr>
        <w:pStyle w:val="Normal"/>
        <w:numPr>
          <w:ilvl w:val="0"/>
          <w:numId w:val="0"/>
        </w:numPr>
        <w:suppressAutoHyphens w:val="true"/>
        <w:ind w:end="-180"/>
        <w:jc w:val="both"/>
        <w:outlineLvl w:val="0"/>
        <w:rPr>
          <w:rFonts w:ascii="Times New Roman" w:hAnsi="Times New Roman" w:cs="Times New Roman"/>
          <w:spacing w:val="-3"/>
          <w:sz w:val="24"/>
        </w:rPr>
      </w:pPr>
      <w:r>
        <w:rPr>
          <w:rFonts w:cs="Times New Roman" w:ascii="Times New Roman" w:hAnsi="Times New Roman"/>
          <w:spacing w:val="-3"/>
          <w:sz w:val="24"/>
        </w:rPr>
        <w:tab/>
        <w:tab/>
        <w:tab/>
        <w:tab/>
        <w:tab/>
        <w:tab/>
        <w:t xml:space="preserve">Virtual Markets Assurance Corporation </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___________________________</w:t>
      </w:r>
    </w:p>
    <w:p>
      <w:pPr>
        <w:pStyle w:val="Normal"/>
        <w:numPr>
          <w:ilvl w:val="0"/>
          <w:numId w:val="0"/>
        </w:numPr>
        <w:suppressAutoHyphens w:val="true"/>
        <w:ind w:hanging="720" w:start="720" w:end="0"/>
        <w:jc w:val="both"/>
        <w:outlineLvl w:val="0"/>
        <w:rPr>
          <w:rFonts w:ascii="Times New Roman" w:hAnsi="Times New Roman" w:cs="Times New Roman"/>
          <w:spacing w:val="-3"/>
          <w:sz w:val="24"/>
        </w:rPr>
      </w:pPr>
      <w:r>
        <w:rPr>
          <w:rFonts w:cs="Times New Roman" w:ascii="Times New Roman" w:hAnsi="Times New Roman"/>
          <w:spacing w:val="-3"/>
          <w:sz w:val="24"/>
        </w:rPr>
        <w:tab/>
        <w:tab/>
        <w:tab/>
        <w:tab/>
        <w:tab/>
        <w:tab/>
        <w:t>By: J. Scott Perry</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 xml:space="preserve">     </w:t>
        <w:tab/>
        <w:t xml:space="preserve">      President &amp; COO</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0"/>
        </w:numPr>
        <w:suppressAutoHyphens w:val="true"/>
        <w:jc w:val="both"/>
        <w:outlineLvl w:val="0"/>
        <w:rPr>
          <w:rFonts w:ascii="Times New Roman" w:hAnsi="Times New Roman" w:cs="Times New Roman"/>
          <w:spacing w:val="-3"/>
          <w:sz w:val="24"/>
        </w:rPr>
      </w:pPr>
      <w:r>
        <w:rPr>
          <w:rFonts w:cs="Times New Roman" w:ascii="Times New Roman" w:hAnsi="Times New Roman"/>
          <w:spacing w:val="-3"/>
          <w:sz w:val="24"/>
        </w:rPr>
        <w:t>Confirmed and Agreed to</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as of the ___ day of October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________, 2001:</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EnronOnline, LLC</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___________________________</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By:  _______________________</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Name:______________________</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Title:_______________________</w:t>
      </w:r>
    </w:p>
    <w:p>
      <w:pPr>
        <w:pStyle w:val="Date"/>
        <w:rPr>
          <w:rFonts w:ascii="Times New Roman" w:hAnsi="Times New Roman" w:cs="Times New Roman"/>
          <w:spacing w:val="-3"/>
          <w:sz w:val="24"/>
        </w:rPr>
      </w:pPr>
      <w:r>
        <w:rPr>
          <w:rFonts w:cs="Times New Roman" w:ascii="Times New Roman" w:hAnsi="Times New Roman"/>
          <w:spacing w:val="-3"/>
          <w:sz w:val="24"/>
        </w:rPr>
      </w:r>
    </w:p>
    <w:p>
      <w:pPr>
        <w:pStyle w:val="Date"/>
        <w:rPr>
          <w:rFonts w:ascii="Times New Roman" w:hAnsi="Times New Roman" w:cs="Times New Roman"/>
          <w:sz w:val="24"/>
        </w:rPr>
      </w:pPr>
      <w:r>
        <w:rPr>
          <w:rFonts w:cs="Times New Roman" w:ascii="Times New Roman" w:hAnsi="Times New Roman"/>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Enron Net Works LLC</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___________________________</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By:  _______________________</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Name:______________________</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Title:_______________________</w:t>
      </w:r>
    </w:p>
    <w:p>
      <w:pPr>
        <w:pStyle w:val="Normal"/>
        <w:rPr>
          <w:rFonts w:ascii="Times New Roman" w:hAnsi="Times New Roman" w:cs="Times New Roman"/>
          <w:spacing w:val="-3"/>
          <w:sz w:val="24"/>
        </w:rPr>
      </w:pPr>
      <w:r>
        <w:rPr>
          <w:rFonts w:cs="Times New Roman" w:ascii="Times New Roman" w:hAnsi="Times New Roman"/>
          <w:spacing w:val="-3"/>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/mnt/main-storage/datasets/enron-docs/doc/vmac.doc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Style w:val="PageNumber"/>
        <w:rFonts w:cs="Times New Roman" w:ascii="Times New Roman" w:hAnsi="Times New Roman"/>
        <w:sz w:val="24"/>
      </w:rPr>
      <w:t xml:space="preserve">Page </w:t>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4</w:t>
    </w:r>
    <w:r>
      <w:rPr>
        <w:rStyle w:val="PageNumber"/>
        <w:sz w:val="24"/>
        <w:rFonts w:cs="Times New Roman" w:ascii="Times New Roman" w:hAnsi="Times New Roman"/>
      </w:rPr>
      <w:fldChar w:fldCharType="end"/>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SimSun;Arial Unicode MS" w:cs="Helvetica"/>
      <w:color w:val="auto"/>
      <w:sz w:val="22"/>
      <w:szCs w:val="20"/>
      <w:lang w:val="en-US" w:eastAsia="zh-CN" w:bidi="ar-SA"/>
    </w:rPr>
  </w:style>
  <w:style w:type="paragraph" w:styleId="Heading1">
    <w:name w:val="heading 1"/>
    <w:basedOn w:val="Normal"/>
    <w:next w:val="Normal"/>
    <w:qFormat/>
    <w:pPr>
      <w:keepNext w:val="true"/>
      <w:numPr>
        <w:ilvl w:val="0"/>
        <w:numId w:val="1"/>
      </w:numPr>
      <w:suppressAutoHyphens w:val="true"/>
      <w:outlineLvl w:val="0"/>
    </w:pPr>
    <w:rPr>
      <w:rFonts w:ascii="Times New Roman" w:hAnsi="Times New Roman" w:cs="Times New Roman"/>
      <w:b/>
      <w:bCs/>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rFonts w:ascii="Times New Roman" w:hAnsi="Times New Roman" w:eastAsia="Times New Roman" w:cs="Times New Roman"/>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uppressAutoHyphens w:val="true"/>
      <w:jc w:val="both"/>
    </w:pPr>
    <w:rPr>
      <w:rFonts w:ascii="Times New Roman" w:hAnsi="Times New Roman" w:cs="Times New Roman"/>
      <w:spacing w:val="-3"/>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2001-10-22T17:06:00Z</dcterms:created>
  <dc:creator>C. Rivera</dc:creator>
  <dc:description/>
  <dc:language>en-CA</dc:language>
  <cp:lastModifiedBy>tjones</cp:lastModifiedBy>
  <cp:lastPrinted>2001-10-23T08:34:00Z</cp:lastPrinted>
  <dcterms:modified xsi:type="dcterms:W3CDTF">2001-10-23T11:22:00Z</dcterms:modified>
  <cp:revision>17</cp:revision>
  <dc:subject/>
  <dc:title>VIRTUAL MARKETS ASSURANCE COMPANY</dc:title>
</cp:coreProperties>
</file>