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/>
        <w:rPr>
          <w:sz w:val="20"/>
        </w:rPr>
      </w:pPr>
      <w:r>
        <w:rPr>
          <w:sz w:val="20"/>
        </w:rPr>
        <w:drawing>
          <wp:inline distT="0" distB="0" distL="0" distR="0">
            <wp:extent cx="994410" cy="98742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4" t="-35" r="-3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widowControl/>
        <w:rPr/>
      </w:pPr>
      <w:r>
        <w:rPr/>
      </w:r>
    </w:p>
    <w:tbl>
      <w:tblPr>
        <w:tblW w:w="108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0"/>
        <w:gridCol w:w="6045"/>
        <w:gridCol w:w="990"/>
        <w:gridCol w:w="2965"/>
      </w:tblGrid>
      <w:tr>
        <w:trPr>
          <w:trHeight w:val="477" w:hRule="exact"/>
        </w:trPr>
        <w:tc>
          <w:tcPr>
            <w:tcW w:w="80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Shona Wilson/Chris Abel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snapToGrid w:val="false"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477" w:hRule="exact"/>
        </w:trPr>
        <w:tc>
          <w:tcPr>
            <w:tcW w:w="800" w:type="dxa"/>
            <w:tcBorders/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From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/>
          </w:tcPr>
          <w:p>
            <w:pPr>
              <w:pStyle w:val="From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Sheila M.Glover</w:t>
              <w:br/>
              <w:br/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widowControl/>
              <w:rPr>
                <w:rFonts w:ascii="Times New Roman" w:hAnsi="Times New Roman" w:cs="Times New Roman"/>
              </w:rPr>
            </w:pPr>
            <w:bookmarkStart w:id="0" w:name="From"/>
            <w:bookmarkEnd w:id="0"/>
            <w:r>
              <w:rPr>
                <w:rFonts w:cs="Times New Roman" w:ascii="Times New Roman" w:hAnsi="Times New Roman"/>
              </w:rPr>
              <w:t>Financial Trading -Risk Management</w:t>
            </w:r>
          </w:p>
        </w:tc>
      </w:tr>
      <w:tr>
        <w:trPr>
          <w:trHeight w:val="600" w:hRule="exact"/>
        </w:trPr>
        <w:tc>
          <w:tcPr>
            <w:tcW w:w="80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/>
            </w:pPr>
            <w:r>
              <w:rPr>
                <w:rFonts w:cs="Times New Roman" w:ascii="Times New Roman" w:hAnsi="Times New Roman"/>
                <w:sz w:val="16"/>
              </w:rPr>
              <w:t>Subject</w:t>
            </w:r>
            <w:r>
              <w:rPr>
                <w:sz w:val="16"/>
              </w:rPr>
              <w:t>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Daily Loss Violation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ind w:start="-180" w:end="0"/>
              <w:jc w:val="end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widowControl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20, 2000</w:t>
            </w:r>
          </w:p>
        </w:tc>
      </w:tr>
    </w:tbl>
    <w:p>
      <w:pPr>
        <w:pStyle w:val="Body"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  <w:bookmarkStart w:id="1" w:name="StartOfMemo"/>
      <w:bookmarkStart w:id="2" w:name="StartOfMemo"/>
      <w:bookmarkEnd w:id="2"/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  </w:t>
      </w:r>
      <w:r>
        <w:rPr>
          <w:rFonts w:cs="Times New Roman" w:ascii="Times New Roman" w:hAnsi="Times New Roman"/>
          <w:color w:val="000000"/>
        </w:rPr>
        <w:t>Please note below the occurrence of the following limit violation as of the close of business November 17, 2000.</w:t>
      </w:r>
    </w:p>
    <w:p>
      <w:pPr>
        <w:pStyle w:val="Body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jc w:val="both"/>
        <w:rPr>
          <w:rFonts w:ascii="Times New Roman" w:hAnsi="Times New Roman" w:cs="Times New Roman"/>
          <w:b/>
          <w:i/>
          <w:i/>
          <w:color w:val="000000"/>
          <w:u w:val="single"/>
        </w:rPr>
      </w:pPr>
      <w:r>
        <w:rPr>
          <w:rFonts w:cs="Times New Roman" w:ascii="Times New Roman" w:hAnsi="Times New Roman"/>
          <w:b/>
          <w:i/>
          <w:color w:val="000000"/>
          <w:u w:val="single"/>
        </w:rPr>
        <w:t xml:space="preserve">Occurrence  – </w:t>
      </w:r>
      <w:r>
        <w:rPr>
          <w:rFonts w:cs="Times New Roman" w:ascii="Times New Roman" w:hAnsi="Times New Roman"/>
          <w:b/>
          <w:color w:val="000000"/>
          <w:u w:val="single"/>
        </w:rPr>
        <w:t xml:space="preserve">Debt Trading </w:t>
      </w:r>
    </w:p>
    <w:p>
      <w:pPr>
        <w:pStyle w:val="Body"/>
        <w:jc w:val="both"/>
        <w:rPr>
          <w:rFonts w:ascii="Times New Roman" w:hAnsi="Times New Roman" w:cs="Times New Roman"/>
          <w:b/>
          <w:i/>
          <w:i/>
          <w:color w:val="000000"/>
          <w:u w:val="single"/>
        </w:rPr>
      </w:pPr>
      <w:r>
        <w:rPr>
          <w:rFonts w:cs="Times New Roman" w:ascii="Times New Roman" w:hAnsi="Times New Roman"/>
          <w:b/>
          <w:i/>
          <w:color w:val="000000"/>
          <w:u w:val="single"/>
        </w:rPr>
      </w:r>
    </w:p>
    <w:p>
      <w:pPr>
        <w:pStyle w:val="Body"/>
        <w:widowControl/>
        <w:ind w:start="9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Violation:</w:t>
        <w:tab/>
        <w:tab/>
        <w:t xml:space="preserve">Daily Loss </w:t>
      </w:r>
    </w:p>
    <w:p>
      <w:pPr>
        <w:pStyle w:val="Body"/>
        <w:widowControl/>
        <w:ind w:start="9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Limit:   </w:t>
        <w:tab/>
        <w:tab/>
        <w:t>$1 Million</w:t>
      </w:r>
    </w:p>
    <w:p>
      <w:pPr>
        <w:pStyle w:val="Body"/>
        <w:widowControl/>
        <w:ind w:start="90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Daily Loss: </w:t>
        <w:tab/>
        <w:tab/>
        <w:t>$4.78 Million</w:t>
      </w:r>
    </w:p>
    <w:p>
      <w:pPr>
        <w:pStyle w:val="Body"/>
        <w:widowControl/>
        <w:ind w:start="90" w:end="0"/>
        <w:rPr/>
      </w:pPr>
      <w:r>
        <w:rPr/>
      </w:r>
    </w:p>
    <w:p>
      <w:pPr>
        <w:pStyle w:val="Body"/>
        <w:widowControl/>
        <w:ind w:start="90" w:end="0"/>
        <w:rPr>
          <w:rFonts w:ascii="Times New Roman" w:hAnsi="Times New Roman" w:cs="Times New Roman"/>
          <w:b/>
          <w:i/>
          <w:i/>
          <w:color w:val="000000"/>
          <w:u w:val="single"/>
        </w:rPr>
      </w:pPr>
      <w:r>
        <w:rPr>
          <w:rFonts w:cs="Times New Roman" w:ascii="Times New Roman" w:hAnsi="Times New Roman"/>
          <w:b/>
          <w:i/>
          <w:color w:val="000000"/>
          <w:u w:val="single"/>
        </w:rPr>
        <w:t>Explanation</w:t>
      </w:r>
    </w:p>
    <w:p>
      <w:pPr>
        <w:pStyle w:val="Body"/>
        <w:widowControl/>
        <w:ind w:start="90" w:end="0"/>
        <w:rPr/>
      </w:pPr>
      <w:r>
        <w:rPr/>
      </w:r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The daily loss of ($4.78) million resulted from re-marking positions in the Credit Trading book on Friday, November 17, 2000.  The loss relates principally to two positions in the Credit Trading book:</w:t>
      </w:r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tbl>
      <w:tblPr>
        <w:tblW w:w="7920" w:type="dxa"/>
        <w:jc w:val="start"/>
        <w:tblInd w:w="12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6570"/>
      </w:tblGrid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(3.744)</w:t>
            </w:r>
          </w:p>
        </w:tc>
        <w:tc>
          <w:tcPr>
            <w:tcW w:w="6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The desk wrote credit protection on a structured credit portfolio, for up to $5 million of losses.  The write-down reflects a write-off of the position less the NPV of guaranteed coupon payments to Enron  (Counterparty: Deutsche Bank AG).   The position was booked in April 2000.  This position has been incorrectly marked in the books and not reflective of current market value.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(0.898)</w:t>
            </w:r>
          </w:p>
        </w:tc>
        <w:tc>
          <w:tcPr>
            <w:tcW w:w="6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Telewest, 5 year, credit linked note of $5 million being written down to reflect value decline occurring principally in October. </w:t>
            </w:r>
          </w:p>
        </w:tc>
      </w:tr>
      <w:tr>
        <w:trPr/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cs="Times New Roman" w:ascii="Times New Roman" w:hAnsi="Times New Roman"/>
                <w:color w:val="000000"/>
                <w:u w:val="single"/>
              </w:rPr>
              <w:t>(4.642)</w:t>
            </w:r>
          </w:p>
        </w:tc>
        <w:tc>
          <w:tcPr>
            <w:tcW w:w="65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"/>
              <w:widowControl/>
              <w:ind w:start="0" w:end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Total explained</w:t>
            </w:r>
          </w:p>
        </w:tc>
      </w:tr>
    </w:tbl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widowControl/>
        <w:ind w:start="0" w:end="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Cc: </w:t>
        <w:tab/>
        <w:t>T. Doukas</w:t>
      </w:r>
    </w:p>
    <w:p>
      <w:pPr>
        <w:pStyle w:val="Body"/>
        <w:widowControl/>
        <w:ind w:firstLine="648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M. Fiala</w:t>
      </w:r>
    </w:p>
    <w:p>
      <w:pPr>
        <w:pStyle w:val="Body"/>
        <w:widowControl/>
        <w:ind w:firstLine="648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G. Hickerson</w:t>
        <w:tab/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J. Kinneman</w:t>
      </w:r>
    </w:p>
    <w:p>
      <w:pPr>
        <w:pStyle w:val="Body"/>
        <w:widowControl/>
        <w:ind w:firstLine="648" w:end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P. Pizzolato</w:t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R. Sage</w:t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B. Seyfried</w:t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J. Sherriff</w:t>
      </w:r>
    </w:p>
    <w:p>
      <w:pPr>
        <w:pStyle w:val="Body"/>
        <w:widowControl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ab/>
        <w:t>D. Wall</w:t>
      </w:r>
    </w:p>
    <w:p>
      <w:pPr>
        <w:pStyle w:val="Body"/>
        <w:widowControl/>
        <w:rPr/>
      </w:pPr>
      <w:r>
        <w:rPr/>
        <w:tab/>
      </w:r>
    </w:p>
    <w:p>
      <w:pPr>
        <w:pStyle w:val="Department"/>
        <w:widowControl/>
        <w:tabs>
          <w:tab w:val="left" w:pos="9810" w:leader="none"/>
        </w:tabs>
        <w:ind w:end="540"/>
        <w:jc w:val="both"/>
        <w:rPr/>
      </w:pPr>
      <w:r>
        <w:rPr/>
      </w:r>
    </w:p>
    <w:p>
      <w:pPr>
        <w:pStyle w:val="Department"/>
        <w:widowControl/>
        <w:tabs>
          <w:tab w:val="left" w:pos="9810" w:leader="none"/>
        </w:tabs>
        <w:ind w:end="540"/>
        <w:jc w:val="both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117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widowControl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rPr/>
    </w:pPr>
    <w:r>
      <w:rPr/>
      <w:tab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2658110</wp:posOffset>
              </wp:positionH>
              <wp:positionV relativeFrom="paragraph">
                <wp:posOffset>-94615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widowControl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7.45pt;mso-position-vertical-relative:text;margin-left:209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widowControl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2000-11-20T16:53:00Z</dcterms:created>
  <dc:creator>ECT</dc:creator>
  <dc:description/>
  <dc:language>en-CA</dc:language>
  <cp:lastModifiedBy>sglover   x3-3210</cp:lastModifiedBy>
  <cp:lastPrinted>2000-11-20T14:07:00Z</cp:lastPrinted>
  <dcterms:modified xsi:type="dcterms:W3CDTF">2000-11-20T18:01:00Z</dcterms:modified>
  <cp:revision>7</cp:revision>
  <dc:subject/>
  <dc:title>Eron Capital &amp; Trade Resources Memo</dc:title>
</cp:coreProperties>
</file>