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rPr>
          <w:sz w:val="20"/>
        </w:rPr>
      </w:pPr>
      <w:r>
        <w:rPr>
          <w:sz w:val="20"/>
        </w:rPr>
        <w:drawing>
          <wp:inline distT="0" distB="0" distL="0" distR="0">
            <wp:extent cx="99441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35" r="-3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widowControl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1404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To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/>
          </w:tcPr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Jeff Skilling</w:t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Ted Murphy</w:t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Greg Whalley</w:t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Rick Buy</w:t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Gary Hickerson</w:t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File</w:t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477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From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/>
          </w:tcPr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Michael Moscoso</w:t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Chris Abel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widowControl/>
              <w:rPr>
                <w:rFonts w:ascii="Times New Roman" w:hAnsi="Times New Roman" w:cs="Times New Roman"/>
              </w:rPr>
            </w:pPr>
            <w:bookmarkStart w:id="0" w:name="From"/>
            <w:bookmarkEnd w:id="0"/>
            <w:r>
              <w:rPr>
                <w:rFonts w:cs="Times New Roman" w:ascii="Times New Roman" w:hAnsi="Times New Roman"/>
              </w:rPr>
              <w:t>Risk Management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Subject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Value at Risk Violation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fldChar w:fldCharType="begin"/>
            </w:r>
            <w:r>
              <w:rPr>
                <w:rFonts w:cs="Times New Roman" w:ascii="Times New Roman" w:hAnsi="Times New Roman"/>
              </w:rPr>
              <w:instrText xml:space="preserve"> DATE \@"MMMM\ d', 'yyyy"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r>
              <w:rPr>
                <w:rFonts w:cs="Times New Roman" w:ascii="Times New Roman" w:hAnsi="Times New Roman"/>
              </w:rPr>
              <w:t>September 28, 2025</w:t>
            </w:r>
            <w:r>
              <w:rPr>
                <w:rFonts w:cs="Times New Roman" w:ascii="Times New Roman" w:hAnsi="Times New Roman"/>
              </w:rPr>
              <w:fldChar w:fldCharType="end"/>
            </w:r>
          </w:p>
        </w:tc>
      </w:tr>
    </w:tbl>
    <w:p>
      <w:pPr>
        <w:pStyle w:val="Body"/>
        <w:ind w:start="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  <w:bookmarkStart w:id="1" w:name="StartOfMemo"/>
      <w:bookmarkStart w:id="2" w:name="StartOfMemo"/>
      <w:bookmarkEnd w:id="2"/>
    </w:p>
    <w:p>
      <w:pPr>
        <w:pStyle w:val="Body"/>
        <w:widowControl/>
        <w:ind w:start="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</w:t>
      </w:r>
      <w:r>
        <w:rPr>
          <w:rFonts w:cs="Times New Roman" w:ascii="Times New Roman" w:hAnsi="Times New Roman"/>
          <w:color w:val="000000"/>
        </w:rPr>
        <w:t>Please note below the occurrence of the following limit violation as of the close of business March 7, 2000.</w:t>
      </w:r>
    </w:p>
    <w:p>
      <w:pPr>
        <w:pStyle w:val="Body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Body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Body"/>
        <w:jc w:val="both"/>
        <w:rPr>
          <w:rFonts w:ascii="Times New Roman" w:hAnsi="Times New Roman" w:cs="Times New Roman"/>
          <w:b/>
          <w:i/>
          <w:i/>
          <w:color w:val="000000"/>
          <w:u w:val="single"/>
        </w:rPr>
      </w:pPr>
      <w:r>
        <w:rPr>
          <w:rFonts w:cs="Times New Roman" w:ascii="Times New Roman" w:hAnsi="Times New Roman"/>
          <w:b/>
          <w:i/>
          <w:color w:val="000000"/>
          <w:u w:val="single"/>
        </w:rPr>
        <w:t>Occurrence –</w:t>
      </w:r>
      <w:r>
        <w:rPr>
          <w:rFonts w:cs="Times New Roman" w:ascii="Times New Roman" w:hAnsi="Times New Roman"/>
          <w:b/>
          <w:color w:val="000000"/>
          <w:u w:val="single"/>
        </w:rPr>
        <w:t>Financial Trading, Equity Trading</w:t>
      </w:r>
    </w:p>
    <w:p>
      <w:pPr>
        <w:pStyle w:val="Body"/>
        <w:jc w:val="both"/>
        <w:rPr>
          <w:rFonts w:ascii="Times New Roman" w:hAnsi="Times New Roman" w:cs="Times New Roman"/>
          <w:b/>
          <w:i/>
          <w:i/>
          <w:color w:val="000000"/>
          <w:u w:val="single"/>
        </w:rPr>
      </w:pPr>
      <w:r>
        <w:rPr>
          <w:rFonts w:cs="Times New Roman" w:ascii="Times New Roman" w:hAnsi="Times New Roman"/>
          <w:b/>
          <w:i/>
          <w:color w:val="000000"/>
          <w:u w:val="single"/>
        </w:rPr>
      </w:r>
    </w:p>
    <w:p>
      <w:pPr>
        <w:pStyle w:val="Body"/>
        <w:widowControl/>
        <w:ind w:start="90" w:end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Violation:</w:t>
        <w:tab/>
        <w:tab/>
        <w:t xml:space="preserve">Value at Risk </w:t>
      </w:r>
    </w:p>
    <w:p>
      <w:pPr>
        <w:pStyle w:val="Body"/>
        <w:widowControl/>
        <w:ind w:start="90" w:end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Limit:   </w:t>
        <w:tab/>
        <w:tab/>
        <w:t>$4 Million</w:t>
      </w:r>
    </w:p>
    <w:p>
      <w:pPr>
        <w:pStyle w:val="Body"/>
        <w:widowControl/>
        <w:ind w:start="90" w:end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Value at Risk: </w:t>
        <w:tab/>
        <w:tab/>
        <w:t>$5.287 Million</w:t>
      </w:r>
    </w:p>
    <w:p>
      <w:pPr>
        <w:pStyle w:val="Body"/>
        <w:widowControl/>
        <w:ind w:start="90" w:end="0"/>
        <w:rPr/>
      </w:pPr>
      <w:r>
        <w:rPr/>
      </w:r>
    </w:p>
    <w:p>
      <w:pPr>
        <w:pStyle w:val="Body"/>
        <w:widowControl/>
        <w:ind w:start="90" w:end="0"/>
        <w:rPr>
          <w:rFonts w:ascii="Times New Roman" w:hAnsi="Times New Roman" w:cs="Times New Roman"/>
          <w:b/>
          <w:i/>
          <w:i/>
          <w:color w:val="000000"/>
          <w:u w:val="single"/>
        </w:rPr>
      </w:pPr>
      <w:r>
        <w:rPr>
          <w:rFonts w:cs="Times New Roman" w:ascii="Times New Roman" w:hAnsi="Times New Roman"/>
          <w:b/>
          <w:i/>
          <w:color w:val="000000"/>
          <w:u w:val="single"/>
        </w:rPr>
        <w:t>Explanation</w:t>
      </w:r>
    </w:p>
    <w:p>
      <w:pPr>
        <w:pStyle w:val="Body"/>
        <w:widowControl/>
        <w:ind w:start="90" w:end="0"/>
        <w:rPr/>
      </w:pPr>
      <w:r>
        <w:rPr/>
      </w:r>
    </w:p>
    <w:p>
      <w:pPr>
        <w:pStyle w:val="Body"/>
        <w:widowControl/>
        <w:ind w:start="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The Net Open Position has been reduced to $31.0 million, a net reduction of $15.4 million since March 2, 2000 (the first day of Equity Trading’s VAR limit being reached). However, the VAR has not reflected a corresponding reduction.  The Energy Book’s position was increased $2.8 million during this period with offsetting S&amp;P hedges.  The continuing violation has occurred as a result of recent increased volatility in the Energy sector and deterioration in the correlation between the Energy Sector and the S&amp;P.  The S&amp;P is being used to hedge the energy position.  Per discussions with Research, including V. Kaminski, the correlation between natural gas and the S&amp;P has decreased by 31.3% and the correlation between oil and the S&amp;P has deteriorated by 34.8% over the past week.  The increased volatility in the energy sector and the deteriorating correlation between the position and the hedge has resulted in an increasing VAR despite a significantly reduced Net Open Position.  </w:t>
      </w:r>
    </w:p>
    <w:p>
      <w:pPr>
        <w:pStyle w:val="Body"/>
        <w:widowControl/>
        <w:ind w:start="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Body"/>
        <w:widowControl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Body"/>
        <w:widowControl/>
        <w:ind w:start="90" w:end="0"/>
        <w:rPr>
          <w:rFonts w:ascii="Times New Roman" w:hAnsi="Times New Roman" w:cs="Times New Roman"/>
          <w:b/>
          <w:i/>
          <w:i/>
          <w:color w:val="000000"/>
          <w:u w:val="single"/>
        </w:rPr>
      </w:pPr>
      <w:r>
        <w:rPr>
          <w:rFonts w:cs="Times New Roman" w:ascii="Times New Roman" w:hAnsi="Times New Roman"/>
          <w:b/>
          <w:i/>
          <w:color w:val="000000"/>
          <w:u w:val="single"/>
        </w:rPr>
        <w:t>Recommended Course of Action</w:t>
      </w:r>
    </w:p>
    <w:p>
      <w:pPr>
        <w:pStyle w:val="Body"/>
        <w:jc w:val="both"/>
        <w:rPr>
          <w:rFonts w:ascii="Times New Roman" w:hAnsi="Times New Roman" w:cs="Times New Roman"/>
          <w:b/>
          <w:color w:val="000000"/>
          <w:lang w:val="en-CA"/>
        </w:rPr>
      </w:pPr>
      <w:r>
        <w:rPr>
          <w:rFonts w:cs="Times New Roman" w:ascii="Times New Roman" w:hAnsi="Times New Roman"/>
          <w:b/>
          <w:color w:val="000000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1275715</wp:posOffset>
                </wp:positionH>
                <wp:positionV relativeFrom="paragraph">
                  <wp:posOffset>121920</wp:posOffset>
                </wp:positionV>
                <wp:extent cx="216535" cy="191770"/>
                <wp:effectExtent l="0" t="0" r="0" b="0"/>
                <wp:wrapNone/>
                <wp:docPr id="2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917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7.05pt;height:15.1pt;mso-wrap-distance-left:9.05pt;mso-wrap-distance-right:9.05pt;mso-wrap-distance-top:0pt;mso-wrap-distance-bottom:0pt;margin-top:9.6pt;mso-position-vertical-relative:text;margin-left:100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3470275</wp:posOffset>
                </wp:positionH>
                <wp:positionV relativeFrom="paragraph">
                  <wp:posOffset>121920</wp:posOffset>
                </wp:positionV>
                <wp:extent cx="216535" cy="19177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917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7.05pt;height:15.1pt;mso-wrap-distance-left:9.05pt;mso-wrap-distance-right:9.05pt;mso-wrap-distance-top:0pt;mso-wrap-distance-bottom:0pt;margin-top:9.6pt;mso-position-vertical-relative:text;margin-left:273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5390515</wp:posOffset>
                </wp:positionH>
                <wp:positionV relativeFrom="paragraph">
                  <wp:posOffset>121920</wp:posOffset>
                </wp:positionV>
                <wp:extent cx="216535" cy="191770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917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7.05pt;height:15.1pt;mso-wrap-distance-left:9.05pt;mso-wrap-distance-right:9.05pt;mso-wrap-distance-top:0pt;mso-wrap-distance-bottom:0pt;margin-top:9.6pt;mso-position-vertical-relative:text;margin-left:424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Increase Position</w:t>
        <w:tab/>
        <w:tab/>
        <w:tab/>
        <w:t>Decrease Position</w:t>
        <w:tab/>
        <w:tab/>
        <w:tab/>
        <w:t>No Action</w:t>
      </w:r>
    </w:p>
    <w:p>
      <w:pPr>
        <w:pStyle w:val="Body"/>
        <w:widowControl/>
        <w:ind w:start="90" w:end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Body"/>
        <w:widowControl/>
        <w:ind w:start="90" w:end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Body"/>
        <w:widowControl/>
        <w:ind w:start="90" w:end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Body"/>
        <w:widowControl/>
        <w:ind w:start="90" w:end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Body"/>
        <w:widowControl/>
        <w:ind w:start="0" w:end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Body"/>
        <w:widowControl/>
        <w:ind w:start="0" w:end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Body"/>
        <w:widowControl/>
        <w:tabs>
          <w:tab w:val="left" w:pos="0" w:leader="none"/>
        </w:tabs>
        <w:ind w:start="0" w:end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Approvals:</w:t>
      </w:r>
    </w:p>
    <w:p>
      <w:pPr>
        <w:pStyle w:val="Body"/>
        <w:widowControl/>
        <w:tabs>
          <w:tab w:val="left" w:pos="0" w:leader="none"/>
        </w:tabs>
        <w:ind w:start="0" w:end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Body"/>
        <w:widowControl/>
        <w:tabs>
          <w:tab w:val="left" w:pos="0" w:leader="none"/>
        </w:tabs>
        <w:ind w:start="0" w:end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Body"/>
        <w:widowControl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Trader    ____________________________                     Risk Assessment and Control   __________________________</w:t>
      </w:r>
    </w:p>
    <w:p>
      <w:pPr>
        <w:pStyle w:val="Department"/>
        <w:widowControl/>
        <w:tabs>
          <w:tab w:val="left" w:pos="9810" w:leader="none"/>
        </w:tabs>
        <w:ind w:end="540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117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2658110</wp:posOffset>
              </wp:positionH>
              <wp:positionV relativeFrom="paragraph">
                <wp:posOffset>-94615</wp:posOffset>
              </wp:positionV>
              <wp:extent cx="3877310" cy="658495"/>
              <wp:effectExtent l="0" t="0" r="0" b="0"/>
              <wp:wrapSquare wrapText="bothSides"/>
              <wp:docPr id="5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7.45pt;mso-position-vertical-relative:text;margin-left:209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</Template>
  <TotalTime>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2000-03-08T18:25:00Z</dcterms:created>
  <dc:creator>ECT</dc:creator>
  <dc:description/>
  <dc:language>en-CA</dc:language>
  <cp:lastModifiedBy>sglover   x3-3210</cp:lastModifiedBy>
  <cp:lastPrinted>2000-03-08T15:51:00Z</cp:lastPrinted>
  <dcterms:modified xsi:type="dcterms:W3CDTF">2000-03-08T19:33:00Z</dcterms:modified>
  <cp:revision>8</cp:revision>
  <dc:subject/>
  <dc:title>Eron Capital &amp; Trade Resources Memo</dc:title>
</cp:coreProperties>
</file>