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[DATE]</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bookmarkStart w:id="0" w:name="selle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SET Seller_x0013_fillin "________________________" </w:instrText>
      </w:r>
      <w:r>
        <w:rPr>
          <w:sz w:val="24"/>
          <w:szCs w:val="24"/>
          <w:rFonts w:eastAsia="Times New Roman" w:cs="Times New Roman" w:ascii="Times New Roman" w:hAnsi="Times New Roman"/>
        </w:rPr>
        <w:fldChar w:fldCharType="separate"/>
      </w:r>
      <w:bookmarkStart w:id="1" w:name="Seller%13fillin"/>
      <w:r>
        <w:rPr>
          <w:sz w:val="24"/>
          <w:szCs w:val="24"/>
          <w:rFonts w:eastAsia="Times New Roman" w:cs="Times New Roman" w:ascii="Times New Roman" w:hAnsi="Times New Roman"/>
        </w:rPr>
      </w:r>
      <w:bookmarkEnd w:id="1"/>
      <w:r>
        <w:rPr>
          <w:sz w:val="24"/>
          <w:szCs w:val="24"/>
          <w:rFonts w:eastAsia="Times New Roman" w:cs="Times New Roman" w:ascii="Times New Roman" w:hAnsi="Times New Roman"/>
        </w:rPr>
        <w:fldChar w:fldCharType="end"/>
      </w:r>
      <w:bookmarkEnd w:id="0"/>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REF seller \h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r>
      <w:r>
        <w:rPr>
          <w:sz w:val="24"/>
          <w:szCs w:val="24"/>
          <w:rFonts w:eastAsia="Times New Roman" w:cs="Times New Roman" w:ascii="Times New Roman" w:hAnsi="Times New Roman"/>
        </w:rPr>
        <w:fldChar w:fldCharType="end"/>
      </w:r>
    </w:p>
    <w:p>
      <w:pPr>
        <w:pStyle w:val="Normal"/>
        <w:jc w:val="both"/>
        <w:rPr>
          <w:rFonts w:ascii="Times New Roman" w:hAnsi="Times New Roman" w:eastAsia="Times New Roman" w:cs="Times New Roman"/>
          <w:sz w:val="24"/>
          <w:szCs w:val="24"/>
        </w:rPr>
      </w:pPr>
      <w:bookmarkStart w:id="2" w:name="street"/>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SET street_x0013_fillin "________________________" </w:instrText>
      </w:r>
      <w:r>
        <w:rPr>
          <w:sz w:val="24"/>
          <w:szCs w:val="24"/>
          <w:rFonts w:eastAsia="Times New Roman" w:cs="Times New Roman" w:ascii="Times New Roman" w:hAnsi="Times New Roman"/>
        </w:rPr>
        <w:fldChar w:fldCharType="separate"/>
      </w:r>
      <w:bookmarkStart w:id="3" w:name="street%13fillin"/>
      <w:r>
        <w:rPr>
          <w:sz w:val="24"/>
          <w:szCs w:val="24"/>
          <w:rFonts w:eastAsia="Times New Roman" w:cs="Times New Roman" w:ascii="Times New Roman" w:hAnsi="Times New Roman"/>
        </w:rPr>
      </w:r>
      <w:bookmarkEnd w:id="3"/>
      <w:r>
        <w:rPr>
          <w:sz w:val="24"/>
          <w:szCs w:val="24"/>
          <w:rFonts w:eastAsia="Times New Roman" w:cs="Times New Roman" w:ascii="Times New Roman" w:hAnsi="Times New Roman"/>
        </w:rPr>
        <w:fldChar w:fldCharType="end"/>
      </w:r>
      <w:bookmarkEnd w:id="2"/>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REF seller \h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r>
      <w:r>
        <w:rPr>
          <w:sz w:val="24"/>
          <w:szCs w:val="24"/>
          <w:rFonts w:eastAsia="Times New Roman" w:cs="Times New Roman" w:ascii="Times New Roman" w:hAnsi="Times New Roman"/>
        </w:rPr>
        <w:fldChar w:fldCharType="end"/>
      </w:r>
    </w:p>
    <w:p>
      <w:pPr>
        <w:pStyle w:val="Normal"/>
        <w:jc w:val="both"/>
        <w:rPr>
          <w:rFonts w:ascii="Times New Roman" w:hAnsi="Times New Roman" w:eastAsia="Times New Roman" w:cs="Times New Roman"/>
          <w:sz w:val="24"/>
          <w:szCs w:val="24"/>
        </w:rPr>
      </w:pPr>
      <w:bookmarkStart w:id="4" w:name="city"/>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SET city_x0013_fillin "________________________" </w:instrText>
      </w:r>
      <w:r>
        <w:rPr>
          <w:sz w:val="24"/>
          <w:szCs w:val="24"/>
          <w:rFonts w:eastAsia="Times New Roman" w:cs="Times New Roman" w:ascii="Times New Roman" w:hAnsi="Times New Roman"/>
        </w:rPr>
        <w:fldChar w:fldCharType="separate"/>
      </w:r>
      <w:bookmarkStart w:id="5" w:name="city%13fillin"/>
      <w:r>
        <w:rPr>
          <w:sz w:val="24"/>
          <w:szCs w:val="24"/>
          <w:rFonts w:eastAsia="Times New Roman" w:cs="Times New Roman" w:ascii="Times New Roman" w:hAnsi="Times New Roman"/>
        </w:rPr>
      </w:r>
      <w:bookmarkEnd w:id="5"/>
      <w:r>
        <w:rPr>
          <w:sz w:val="24"/>
          <w:szCs w:val="24"/>
          <w:rFonts w:eastAsia="Times New Roman" w:cs="Times New Roman" w:ascii="Times New Roman" w:hAnsi="Times New Roman"/>
        </w:rPr>
        <w:fldChar w:fldCharType="end"/>
      </w:r>
      <w:bookmarkEnd w:id="4"/>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REF city \h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r>
      <w:r>
        <w:rPr>
          <w:sz w:val="24"/>
          <w:szCs w:val="24"/>
          <w:rFonts w:eastAsia="Times New Roman" w:cs="Times New Roman" w:ascii="Times New Roman" w:hAnsi="Times New Roman"/>
        </w:rPr>
        <w:fldChar w:fldCharType="end"/>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Attn.:</w:t>
        <w:tab/>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FILLIN "Attn: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_____________________</w:t>
      </w:r>
      <w:r>
        <w:rPr>
          <w:sz w:val="24"/>
          <w:szCs w:val="24"/>
          <w:rFonts w:eastAsia="Times New Roman" w:cs="Times New Roman" w:ascii="Times New Roman" w:hAnsi="Times New Roman"/>
        </w:rPr>
        <w:fldChar w:fldCharType="end"/>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b/>
          <w:bCs/>
          <w:i/>
          <w:i/>
          <w:iCs/>
          <w:sz w:val="24"/>
          <w:szCs w:val="24"/>
        </w:rPr>
      </w:pPr>
      <w:r>
        <w:rPr>
          <w:rFonts w:eastAsia="Times New Roman" w:cs="Times New Roman" w:ascii="Times New Roman" w:hAnsi="Times New Roman"/>
          <w:b/>
          <w:bCs/>
          <w:i/>
          <w:iCs/>
          <w:sz w:val="24"/>
          <w:szCs w:val="24"/>
        </w:rPr>
        <w:t>Re:</w:t>
        <w:tab/>
        <w:t>Letter of Understanding</w:t>
      </w:r>
    </w:p>
    <w:p>
      <w:pPr>
        <w:pStyle w:val="Normal"/>
        <w:jc w:val="both"/>
        <w:rPr>
          <w:rFonts w:ascii="Times New Roman" w:hAnsi="Times New Roman" w:eastAsia="Times New Roman" w:cs="Times New Roman"/>
          <w:b/>
          <w:bCs/>
          <w:i/>
          <w:i/>
          <w:iCs/>
          <w:sz w:val="24"/>
          <w:szCs w:val="24"/>
        </w:rPr>
      </w:pPr>
      <w:r>
        <w:rPr>
          <w:rFonts w:eastAsia="Times New Roman" w:cs="Times New Roman" w:ascii="Times New Roman" w:hAnsi="Times New Roman"/>
          <w:b/>
          <w:bCs/>
          <w:i/>
          <w:iCs/>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Gentlemen:</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Pending the preparation and execution of definitive agreements, this letter will confirm our understanding regarding the (i) proposed sale by the Sellers as specified on the Term Sheet (“Seller”) to Northern Border Entitiy, or its designee (“Buyer”) of the Assets as defined in the Term Sheet (the “Transaction”) in accordance with the terms and conditions set forth in this letter.</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720" w:start="720" w:end="0"/>
        <w:jc w:val="both"/>
        <w:rPr/>
      </w:pPr>
      <w:r>
        <w:rPr>
          <w:rFonts w:eastAsia="Times New Roman" w:cs="Times New Roman" w:ascii="Times New Roman" w:hAnsi="Times New Roman"/>
          <w:sz w:val="24"/>
          <w:szCs w:val="24"/>
        </w:rPr>
        <w:t>1.</w:t>
        <w:tab/>
      </w:r>
      <w:r>
        <w:rPr>
          <w:rFonts w:eastAsia="Times New Roman" w:cs="Times New Roman" w:ascii="Times New Roman" w:hAnsi="Times New Roman"/>
          <w:sz w:val="24"/>
          <w:szCs w:val="24"/>
          <w:u w:val="single"/>
        </w:rPr>
        <w:t>Term Sheet</w:t>
      </w:r>
      <w:r>
        <w:rPr>
          <w:rFonts w:eastAsia="Times New Roman" w:cs="Times New Roman" w:ascii="Times New Roman" w:hAnsi="Times New Roman"/>
          <w:sz w:val="24"/>
          <w:szCs w:val="24"/>
        </w:rPr>
        <w:t>.  The Transaction shall be made in accordance with this letter and the Term Sheet attached hereto as Attachment “A”.  To the extent there is any conflict between the Term Sheet and this letter, this letter shall control.</w:t>
      </w:r>
    </w:p>
    <w:p>
      <w:pPr>
        <w:pStyle w:val="Normal"/>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720" w:start="720" w:end="0"/>
        <w:jc w:val="both"/>
        <w:rPr/>
      </w:pPr>
      <w:r>
        <w:rPr>
          <w:rFonts w:eastAsia="Times New Roman" w:cs="Times New Roman" w:ascii="Times New Roman" w:hAnsi="Times New Roman"/>
          <w:sz w:val="24"/>
          <w:szCs w:val="24"/>
        </w:rPr>
        <w:t>2.</w:t>
        <w:tab/>
      </w:r>
      <w:r>
        <w:rPr>
          <w:rFonts w:eastAsia="Times New Roman" w:cs="Times New Roman" w:ascii="Times New Roman" w:hAnsi="Times New Roman"/>
          <w:sz w:val="24"/>
          <w:szCs w:val="24"/>
          <w:u w:val="single"/>
        </w:rPr>
        <w:t>Definitive Agreements</w:t>
      </w:r>
      <w:r>
        <w:rPr>
          <w:rFonts w:eastAsia="Times New Roman" w:cs="Times New Roman" w:ascii="Times New Roman" w:hAnsi="Times New Roman"/>
          <w:sz w:val="24"/>
          <w:szCs w:val="24"/>
        </w:rPr>
        <w:t xml:space="preserve">.  Buyer and Seller shall endeavor to incorporate the terms and conditions expressed herein in mutually acceptable definitive agreements (the “Definitive Agreements”) no later than </w:t>
      </w:r>
      <w:bookmarkStart w:id="6" w:name="TermDate"/>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SET TermDate_x0013_fillin "______________" </w:instrText>
      </w:r>
      <w:r>
        <w:rPr>
          <w:sz w:val="24"/>
          <w:szCs w:val="24"/>
          <w:rFonts w:eastAsia="Times New Roman" w:cs="Times New Roman" w:ascii="Times New Roman" w:hAnsi="Times New Roman"/>
        </w:rPr>
        <w:fldChar w:fldCharType="separate"/>
      </w:r>
      <w:bookmarkStart w:id="7" w:name="TermDate%13fillin"/>
      <w:r>
        <w:rPr>
          <w:sz w:val="24"/>
          <w:szCs w:val="24"/>
          <w:rFonts w:eastAsia="Times New Roman" w:cs="Times New Roman" w:ascii="Times New Roman" w:hAnsi="Times New Roman"/>
        </w:rPr>
      </w:r>
      <w:bookmarkEnd w:id="7"/>
      <w:r>
        <w:rPr>
          <w:sz w:val="24"/>
          <w:szCs w:val="24"/>
          <w:rFonts w:eastAsia="Times New Roman" w:cs="Times New Roman" w:ascii="Times New Roman" w:hAnsi="Times New Roman"/>
        </w:rPr>
        <w:fldChar w:fldCharType="end"/>
      </w:r>
      <w:bookmarkEnd w:id="6"/>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REF TermDate \h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(the “Closing Date”).  In the event Buyer and Seller are unable to execute such definitive agreements by the Closing Date, this letter shall be deemed terminated, and neither Buyer nor Seller shall have any further obligation to the other.</w:t>
      </w:r>
    </w:p>
    <w:p>
      <w:pPr>
        <w:pStyle w:val="Normal"/>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720" w:start="720" w:end="0"/>
        <w:jc w:val="both"/>
        <w:rPr/>
      </w:pPr>
      <w:r>
        <w:rPr>
          <w:rFonts w:eastAsia="Times New Roman" w:cs="Times New Roman" w:ascii="Times New Roman" w:hAnsi="Times New Roman"/>
          <w:sz w:val="24"/>
          <w:szCs w:val="24"/>
        </w:rPr>
        <w:t>3.</w:t>
        <w:tab/>
      </w:r>
      <w:r>
        <w:rPr>
          <w:rFonts w:eastAsia="Times New Roman" w:cs="Times New Roman" w:ascii="Times New Roman" w:hAnsi="Times New Roman"/>
          <w:sz w:val="24"/>
          <w:szCs w:val="24"/>
          <w:u w:val="single"/>
        </w:rPr>
        <w:t>Confidentiality</w:t>
      </w:r>
      <w:r>
        <w:rPr>
          <w:rFonts w:eastAsia="Times New Roman" w:cs="Times New Roman" w:ascii="Times New Roman" w:hAnsi="Times New Roman"/>
          <w:sz w:val="24"/>
          <w:szCs w:val="24"/>
        </w:rPr>
        <w:t>.  The existence of this letter of understanding and its contents are intended to be confidential and are not to be discussed with or disclosed to any third party, except (i) with the express prior written consent of the other party hereto, (ii) as may be required or appropriate in response to any summons, subpoena or discovery order or to comply with any applicable law, order, regulation or ruling or (iii) as Buyer and Seller, or their designees, reasonably deem appropriate in order to conduct due diligence, title or other investigation relating to the contemplated transactions.</w:t>
      </w:r>
    </w:p>
    <w:p>
      <w:pPr>
        <w:pStyle w:val="Normal"/>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720" w:start="720" w:end="0"/>
        <w:jc w:val="both"/>
        <w:rPr/>
      </w:pPr>
      <w:r>
        <w:rPr>
          <w:rFonts w:eastAsia="Times New Roman" w:cs="Times New Roman" w:ascii="Times New Roman" w:hAnsi="Times New Roman"/>
          <w:sz w:val="24"/>
          <w:szCs w:val="24"/>
        </w:rPr>
        <w:t>4.</w:t>
        <w:tab/>
      </w:r>
      <w:r>
        <w:rPr>
          <w:rFonts w:eastAsia="Times New Roman" w:cs="Times New Roman" w:ascii="Times New Roman" w:hAnsi="Times New Roman"/>
          <w:sz w:val="24"/>
          <w:szCs w:val="24"/>
          <w:u w:val="single"/>
        </w:rPr>
        <w:t>Board of Director Approval</w:t>
      </w:r>
      <w:r>
        <w:rPr>
          <w:rFonts w:eastAsia="Times New Roman" w:cs="Times New Roman" w:ascii="Times New Roman" w:hAnsi="Times New Roman"/>
          <w:sz w:val="24"/>
          <w:szCs w:val="24"/>
        </w:rPr>
        <w:t>.  The closing of the contemplated transactions is subject to, in addition to the other conditions herein and in the Term Sheet, the approval of the boards of directors of Buyer and Seller, which approvals have not yet been obtained.</w:t>
      </w:r>
    </w:p>
    <w:p>
      <w:pPr>
        <w:pStyle w:val="Normal"/>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720" w:start="720" w:end="0"/>
        <w:jc w:val="both"/>
        <w:rPr/>
      </w:pPr>
      <w:r>
        <w:rPr>
          <w:rFonts w:eastAsia="Times New Roman" w:cs="Times New Roman" w:ascii="Times New Roman" w:hAnsi="Times New Roman"/>
          <w:sz w:val="24"/>
          <w:szCs w:val="24"/>
        </w:rPr>
        <w:t>5.</w:t>
        <w:tab/>
      </w:r>
      <w:r>
        <w:rPr>
          <w:rFonts w:eastAsia="Times New Roman" w:cs="Times New Roman" w:ascii="Times New Roman" w:hAnsi="Times New Roman"/>
          <w:sz w:val="24"/>
          <w:szCs w:val="24"/>
          <w:u w:val="single"/>
        </w:rPr>
        <w:t>Non-binding Nature</w:t>
      </w:r>
      <w:r>
        <w:rPr>
          <w:rFonts w:eastAsia="Times New Roman" w:cs="Times New Roman" w:ascii="Times New Roman" w:hAnsi="Times New Roman"/>
          <w:sz w:val="24"/>
          <w:szCs w:val="24"/>
        </w:rPr>
        <w:t xml:space="preserve">.  Except as to the confidentiality provisions hereof, the parties hereto understand and agree that this letter sets forth the parties’ current understanding of agreements which may be set out in a binding fashion in the Definitive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good faith understanding to endeavor, without obligation, to negotiate mutually agreeable definitive agreements.  </w:t>
      </w:r>
    </w:p>
    <w:p>
      <w:pPr>
        <w:pStyle w:val="Normal"/>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720" w:start="720" w:end="0"/>
        <w:jc w:val="both"/>
        <w:rPr/>
      </w:pPr>
      <w:r>
        <w:rPr>
          <w:rFonts w:eastAsia="Times New Roman" w:cs="Times New Roman" w:ascii="Times New Roman" w:hAnsi="Times New Roman"/>
          <w:sz w:val="24"/>
          <w:szCs w:val="24"/>
        </w:rPr>
        <w:t>6.</w:t>
        <w:tab/>
      </w:r>
      <w:r>
        <w:rPr>
          <w:rFonts w:eastAsia="Times New Roman" w:cs="Times New Roman" w:ascii="Times New Roman" w:hAnsi="Times New Roman"/>
          <w:sz w:val="24"/>
          <w:szCs w:val="24"/>
          <w:u w:val="single"/>
        </w:rPr>
        <w:t>No Oral Agreements</w:t>
      </w:r>
      <w:r>
        <w:rPr>
          <w:rFonts w:eastAsia="Times New Roman" w:cs="Times New Roman" w:ascii="Times New Roman" w:hAnsi="Times New Roman"/>
          <w:sz w:val="24"/>
          <w:szCs w:val="24"/>
        </w:rPr>
        <w:t>.  Subject to the foregoing, this letter and the Term Sheet set out the parties’ understanding as of this date, and there are no other written or oral agreements or understandings among the parties.</w:t>
      </w:r>
    </w:p>
    <w:p>
      <w:pPr>
        <w:pStyle w:val="Normal"/>
        <w:ind w:hanging="720" w:start="72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ab/>
        <w:t xml:space="preserve">If the terms and conditions of this letter are in accord with your understanding, please sign, and return the enclosed counterpart of this letter, no later than </w:t>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FILLIN "Enter execution date"</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______________</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after which date, if not returned, this letter shall be null and void.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Very truly yours,</w:t>
      </w:r>
    </w:p>
    <w:p>
      <w:pPr>
        <w:pStyle w:val="Normal"/>
        <w:keepNext w:val="true"/>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tabs>
          <w:tab w:val="clear" w:pos="720"/>
          <w:tab w:val="right" w:pos="9360" w:leader="none"/>
        </w:tabs>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ENRON NORTH AMERICA CORP.</w:t>
      </w:r>
    </w:p>
    <w:p>
      <w:pPr>
        <w:pStyle w:val="Normal"/>
        <w:keepNext w:val="true"/>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tabs>
          <w:tab w:val="clear" w:pos="720"/>
          <w:tab w:val="left" w:pos="5040" w:leader="none"/>
          <w:tab w:val="right" w:pos="9360" w:leader="none"/>
        </w:tabs>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w:t>
        <w:tab/>
      </w:r>
      <w:r>
        <w:rPr>
          <w:rFonts w:eastAsia="Times New Roman" w:cs="Times New Roman" w:ascii="Times New Roman" w:hAnsi="Times New Roman"/>
          <w:sz w:val="24"/>
          <w:szCs w:val="24"/>
          <w:u w:val="single"/>
        </w:rPr>
        <w:tab/>
      </w:r>
    </w:p>
    <w:p>
      <w:pPr>
        <w:pStyle w:val="Normal"/>
        <w:keepNext w:val="true"/>
        <w:tabs>
          <w:tab w:val="clear" w:pos="720"/>
          <w:tab w:val="left" w:pos="5040" w:leader="none"/>
          <w:tab w:val="right" w:pos="9360" w:leader="none"/>
        </w:tabs>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Name:</w:t>
        <w:tab/>
      </w:r>
      <w:r>
        <w:rPr>
          <w:rFonts w:eastAsia="Times New Roman" w:cs="Times New Roman" w:ascii="Times New Roman" w:hAnsi="Times New Roman"/>
          <w:sz w:val="24"/>
          <w:szCs w:val="24"/>
          <w:u w:val="single"/>
        </w:rPr>
        <w:tab/>
      </w:r>
    </w:p>
    <w:p>
      <w:pPr>
        <w:pStyle w:val="Normal"/>
        <w:keepNext w:val="true"/>
        <w:tabs>
          <w:tab w:val="clear" w:pos="720"/>
          <w:tab w:val="left" w:pos="5040" w:leader="none"/>
          <w:tab w:val="right" w:pos="9360" w:leader="none"/>
        </w:tabs>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Title:</w:t>
        <w:tab/>
      </w:r>
      <w:r>
        <w:rPr>
          <w:rFonts w:eastAsia="Times New Roman" w:cs="Times New Roman" w:ascii="Times New Roman" w:hAnsi="Times New Roman"/>
          <w:sz w:val="24"/>
          <w:szCs w:val="24"/>
          <w:u w:val="single"/>
        </w:rPr>
        <w:tab/>
      </w:r>
    </w:p>
    <w:p>
      <w:pPr>
        <w:pStyle w:val="Normal"/>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APPROVED AND ACKNOWLEDGED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this ____ day of ____________, 2000.</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widowControl w:val="false"/>
        <w:tabs>
          <w:tab w:val="left" w:pos="720" w:leader="none"/>
          <w:tab w:val="right" w:pos="504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w:t>
        <w:tab/>
      </w:r>
      <w:r>
        <w:rPr>
          <w:rFonts w:eastAsia="Times New Roman" w:cs="Times New Roman" w:ascii="Times New Roman" w:hAnsi="Times New Roman"/>
          <w:sz w:val="24"/>
          <w:szCs w:val="24"/>
          <w:u w:val="single"/>
        </w:rPr>
        <w:tab/>
      </w:r>
    </w:p>
    <w:p>
      <w:pPr>
        <w:pStyle w:val="Normal"/>
        <w:keepNext w:val="true"/>
        <w:widowControl w:val="false"/>
        <w:tabs>
          <w:tab w:val="left" w:pos="720" w:leader="none"/>
          <w:tab w:val="right" w:pos="504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Name:</w:t>
        <w:tab/>
      </w:r>
      <w:r>
        <w:rPr>
          <w:rFonts w:eastAsia="Times New Roman" w:cs="Times New Roman" w:ascii="Times New Roman" w:hAnsi="Times New Roman"/>
          <w:sz w:val="24"/>
          <w:szCs w:val="24"/>
          <w:u w:val="single"/>
        </w:rPr>
        <w:tab/>
      </w:r>
    </w:p>
    <w:p>
      <w:pPr>
        <w:pStyle w:val="Normal"/>
        <w:keepNext w:val="true"/>
        <w:widowControl w:val="false"/>
        <w:tabs>
          <w:tab w:val="left" w:pos="720" w:leader="none"/>
          <w:tab w:val="right" w:pos="5040" w:leader="none"/>
        </w:tabs>
        <w:jc w:val="both"/>
        <w:rPr/>
      </w:pPr>
      <w:r>
        <w:rPr>
          <w:rFonts w:eastAsia="Times New Roman" w:cs="Times New Roman" w:ascii="Times New Roman" w:hAnsi="Times New Roman"/>
          <w:sz w:val="24"/>
          <w:szCs w:val="24"/>
        </w:rPr>
        <w:t>Title:</w:t>
        <w:tab/>
      </w:r>
      <w:r>
        <w:rPr>
          <w:rFonts w:eastAsia="Times New Roman" w:cs="Times New Roman" w:ascii="Times New Roman" w:hAnsi="Times New Roman"/>
          <w:sz w:val="24"/>
          <w:szCs w:val="24"/>
          <w:u w:val="single"/>
        </w:rPr>
        <w:tab/>
      </w:r>
    </w:p>
    <w:p>
      <w:pPr>
        <w:pStyle w:val="Normal"/>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685" w:footer="720" w:bottom="1440"/>
          <w:pgNumType w:start="1" w:fmt="decimal"/>
          <w:formProt w:val="false"/>
          <w:titlePg/>
          <w:textDirection w:val="lrTb"/>
        </w:sect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DRAFT SUMMARY OF TERMS</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FOR DISCUSSION PURPOSES ONLY</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SUBJECT TO REVIEW BY ENRON LEGAL COUNSEL</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both"/>
        <w:rPr/>
      </w:pPr>
      <w:r>
        <w:rPr>
          <w:rFonts w:eastAsia="Times New Roman" w:cs="Times New Roman" w:ascii="Times New Roman" w:hAnsi="Times New Roman"/>
          <w:b/>
          <w:bCs/>
          <w:sz w:val="24"/>
          <w:szCs w:val="24"/>
          <w:u w:val="single"/>
        </w:rPr>
        <w:t>Transaction</w:t>
      </w:r>
      <w:r>
        <w:rPr>
          <w:rFonts w:eastAsia="Times New Roman" w:cs="Times New Roman" w:ascii="Times New Roman" w:hAnsi="Times New Roman"/>
          <w:b/>
          <w:bCs/>
          <w:sz w:val="24"/>
          <w:szCs w:val="24"/>
        </w:rPr>
        <w:t>:</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Sale and purchase of 100% of the Membership Interest in ECT Wind River, L.L.C. (“EWR”), ECT Powder River, L.L.C (“EPR”) and Enron Midstream Services, L.L.C.  (“EMS”)(EWR, EPR AND EMS collectively referred to as the “Transferred Entities” or the “Assets”).</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DISCUSSION NOTES:</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w:t>
        <w:tab/>
        <w:t>EWR owns a 35% membership interest in Lost Creek. [This interest is pledged in the project finance]; [DO WE NEED TO ADDRESS THE PROJECT FINANCE AND UPCOMMING CONVERSION. ISSUE OF COMMERCIAL MANAGER AND ADMINISTRATIVE MANAGER]</w:t>
        <w:tab/>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w:t>
        <w:tab/>
        <w:t>EPR owns a 33.33% membership interest in Fort Union. [This interest is pledged in the project finance]; [DO WE NEED TO ADDRESS THE PROPOSED EXPANSION?][FORT UNION AMI?][DISPROPORTIONATE CAPACITY RIGHTS RE: 1 EXPANSION]</w:t>
      </w:r>
    </w:p>
    <w:p>
      <w:pPr>
        <w:pStyle w:val="Normal"/>
        <w:ind w:start="360" w:end="0"/>
        <w:jc w:val="both"/>
        <w:rPr/>
      </w:pPr>
      <w:r>
        <w:rPr>
          <w:rFonts w:eastAsia="Times New Roman" w:cs="Times New Roman" w:ascii="Times New Roman" w:hAnsi="Times New Roman"/>
          <w:sz w:val="24"/>
          <w:szCs w:val="24"/>
        </w:rPr>
        <w:t xml:space="preserve">[  </w:t>
        <w:tab/>
        <w:t xml:space="preserve">EMS owns (a) a 10% Common Membership Interest and 20 % of the Preferred A Units in Bighorn Gas Gathering, L.L.C.a delaware limited liability company (“Bighorn”) </w:t>
      </w:r>
      <w:r>
        <w:rPr>
          <w:rFonts w:eastAsia="Times New Roman" w:cs="Times New Roman" w:ascii="Times New Roman" w:hAnsi="Times New Roman"/>
          <w:b/>
          <w:bCs/>
          <w:sz w:val="24"/>
          <w:szCs w:val="24"/>
        </w:rPr>
        <w:t>[NOTE:  NBP Energy Pipelines, L.L.C. a Delware limited liability company, which may be the Buyer, and will certainly be an affiliate of Buyer, currently owns 39% of the Common Membership Interest and 80% of the Preferred A Units in Bighorn</w:t>
      </w:r>
      <w:r>
        <w:rPr>
          <w:rFonts w:eastAsia="Times New Roman" w:cs="Times New Roman" w:ascii="Times New Roman" w:hAnsi="Times New Roman"/>
          <w:sz w:val="24"/>
          <w:szCs w:val="24"/>
        </w:rPr>
        <w:t>.]  and (b) approximately ___ miles of field gathering systems located in ____ and _____ Counties, Wyoming, together with related gathering and compression agreements and (c) anything else?]</w:t>
      </w:r>
    </w:p>
    <w:p>
      <w:pPr>
        <w:pStyle w:val="Normal"/>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pPr>
      <w:r>
        <w:rPr>
          <w:rFonts w:eastAsia="Times New Roman" w:cs="Times New Roman" w:ascii="Times New Roman" w:hAnsi="Times New Roman"/>
          <w:b/>
          <w:bCs/>
          <w:sz w:val="24"/>
          <w:szCs w:val="24"/>
          <w:u w:val="single"/>
        </w:rPr>
        <w:t>Seller</w:t>
      </w:r>
      <w:r>
        <w:rPr>
          <w:rFonts w:eastAsia="Times New Roman" w:cs="Times New Roman" w:ascii="Times New Roman" w:hAnsi="Times New Roman"/>
          <w:b/>
          <w:bCs/>
          <w:sz w:val="24"/>
          <w:szCs w:val="24"/>
        </w:rPr>
        <w:t xml:space="preserve">:  DISCUSS HOW TO HANDLE THIS </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numPr>
          <w:ilvl w:val="0"/>
          <w:numId w:val="2"/>
        </w:numPr>
        <w:tabs>
          <w:tab w:val="clear" w:pos="720"/>
          <w:tab w:val="left" w:pos="0" w:leader="none"/>
          <w:tab w:val="left" w:pos="360" w:leader="none"/>
        </w:tabs>
        <w:ind w:hanging="720" w:start="108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EMS – Seller is Enron North America Corp.  (“ENA”or “Seller A”)</w:t>
      </w:r>
    </w:p>
    <w:p>
      <w:pPr>
        <w:pStyle w:val="Normal"/>
        <w:numPr>
          <w:ilvl w:val="0"/>
          <w:numId w:val="2"/>
        </w:numPr>
        <w:tabs>
          <w:tab w:val="clear" w:pos="720"/>
          <w:tab w:val="left" w:pos="0" w:leader="none"/>
          <w:tab w:val="left" w:pos="360" w:leader="none"/>
        </w:tabs>
        <w:ind w:hanging="720" w:start="108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EWR – Seller is 99.99% ECT-WR-C, L.L.C and 0.01% ECT WR-Z, L.L.C. (collectively “Seller B”)</w:t>
      </w:r>
    </w:p>
    <w:p>
      <w:pPr>
        <w:pStyle w:val="Normal"/>
        <w:numPr>
          <w:ilvl w:val="0"/>
          <w:numId w:val="2"/>
        </w:numPr>
        <w:tabs>
          <w:tab w:val="clear" w:pos="720"/>
          <w:tab w:val="left" w:pos="0" w:leader="none"/>
          <w:tab w:val="left" w:pos="360" w:leader="none"/>
        </w:tabs>
        <w:ind w:hanging="720" w:start="108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EPR  - Seller is 99.99% ECT-PR-C, L.L.C and 0.01% ECT PR-Z, L.L.C. (collectively “Seller C”)</w:t>
      </w:r>
    </w:p>
    <w:p>
      <w:pPr>
        <w:pStyle w:val="Normal"/>
        <w:ind w:hanging="360" w:start="360" w:end="0"/>
        <w:jc w:val="both"/>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r>
    </w:p>
    <w:p>
      <w:pPr>
        <w:pStyle w:val="Normal"/>
        <w:ind w:hanging="360" w:start="360" w:end="0"/>
        <w:jc w:val="both"/>
        <w:rPr/>
      </w:pPr>
      <w:r>
        <w:rPr>
          <w:rFonts w:eastAsia="Times New Roman" w:cs="Times New Roman" w:ascii="Times New Roman" w:hAnsi="Times New Roman"/>
          <w:b/>
          <w:bCs/>
          <w:sz w:val="24"/>
          <w:szCs w:val="24"/>
          <w:u w:val="single"/>
        </w:rPr>
        <w:t>Buyer</w:t>
      </w:r>
      <w:r>
        <w:rPr>
          <w:rFonts w:eastAsia="Times New Roman" w:cs="Times New Roman" w:ascii="Times New Roman" w:hAnsi="Times New Roman"/>
          <w:b/>
          <w:bCs/>
          <w:sz w:val="24"/>
          <w:szCs w:val="24"/>
        </w:rPr>
        <w:t>:</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NBP entity to be designated by NBP (“Newco”).   Shelly Corman is preparing a memo to suggest appropriate structure.  </w:t>
      </w:r>
    </w:p>
    <w:p>
      <w:pPr>
        <w:pStyle w:val="Normal"/>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Newco’s business scope and purpose will be restricted to activities within the </w:t>
      </w:r>
      <w:r>
        <w:rPr>
          <w:rFonts w:eastAsia="Times New Roman" w:cs="Times New Roman" w:ascii="Times New Roman" w:hAnsi="Times New Roman"/>
          <w:color w:val="000000"/>
          <w:sz w:val="24"/>
          <w:szCs w:val="24"/>
        </w:rPr>
        <w:t>scope of permissible investments for publicly traded partnerships is set forth at Section 7704 (d) of the Internal Revenue Code.</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pPr>
      <w:r>
        <w:rPr>
          <w:rFonts w:eastAsia="Times New Roman" w:cs="Times New Roman" w:ascii="Times New Roman" w:hAnsi="Times New Roman"/>
          <w:b/>
          <w:bCs/>
          <w:sz w:val="24"/>
          <w:szCs w:val="24"/>
          <w:u w:val="single"/>
        </w:rPr>
        <w:t>Purchase Price</w:t>
      </w:r>
      <w:r>
        <w:rPr>
          <w:rFonts w:eastAsia="Times New Roman" w:cs="Times New Roman" w:ascii="Times New Roman" w:hAnsi="Times New Roman"/>
          <w:b/>
          <w:bCs/>
          <w:sz w:val="24"/>
          <w:szCs w:val="24"/>
        </w:rPr>
        <w:t>:</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$________.   Do we want to break this down among the various assets and Sellers?  It is contemplated that the Purchase Price will be part cash and part promissory note.  Breakdown still to be determined.  What security interest for the promissory note?</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pPr>
      <w:r>
        <w:rPr>
          <w:rFonts w:eastAsia="Times New Roman" w:cs="Times New Roman" w:ascii="Times New Roman" w:hAnsi="Times New Roman"/>
          <w:b/>
          <w:bCs/>
          <w:sz w:val="24"/>
          <w:szCs w:val="24"/>
          <w:u w:val="single"/>
        </w:rPr>
        <w:t>Human Resources, Office and Internal Allocations</w:t>
      </w:r>
      <w:r>
        <w:rPr>
          <w:rFonts w:eastAsia="Times New Roman" w:cs="Times New Roman" w:ascii="Times New Roman" w:hAnsi="Times New Roman"/>
          <w:b/>
          <w:bCs/>
          <w:sz w:val="24"/>
          <w:szCs w:val="24"/>
        </w:rPr>
        <w:t>:</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To be discussed.  Consider handling these issues in a side agreement. </w:t>
        <w:tab/>
      </w:r>
    </w:p>
    <w:p>
      <w:pPr>
        <w:pStyle w:val="Normal"/>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pPr>
      <w:r>
        <w:rPr>
          <w:rFonts w:eastAsia="Times New Roman" w:cs="Times New Roman" w:ascii="Times New Roman" w:hAnsi="Times New Roman"/>
          <w:b/>
          <w:bCs/>
          <w:sz w:val="24"/>
          <w:szCs w:val="24"/>
          <w:u w:val="single"/>
        </w:rPr>
        <w:t xml:space="preserve">ENA Gathering  Agreement with EMS </w:t>
      </w:r>
      <w:r>
        <w:rPr>
          <w:rFonts w:eastAsia="Times New Roman" w:cs="Times New Roman" w:ascii="Times New Roman" w:hAnsi="Times New Roman"/>
          <w:b/>
          <w:bCs/>
          <w:sz w:val="24"/>
          <w:szCs w:val="24"/>
        </w:rPr>
        <w:t>:</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BodyText2"/>
        <w:ind w:hanging="0" w:end="0"/>
        <w:rPr>
          <w:sz w:val="24"/>
          <w:szCs w:val="24"/>
        </w:rPr>
      </w:pPr>
      <w:r>
        <w:rPr>
          <w:sz w:val="24"/>
          <w:szCs w:val="24"/>
        </w:rPr>
        <w:t xml:space="preserve">At the closing, ENA shall enter into a gathering agreement with EMS that will have (a) a demand charge component equal to ____ lasting for term of eighteen months and (b) a variable charge component equal to the variable charges contained in each of the EMS Gathering Agreements for which ENA has a purchase agreement tolling the start date of the applicable gathering agreement, lasting for the same term as the applicable ENA purchase agreement.   </w:t>
      </w:r>
    </w:p>
    <w:p>
      <w:pPr>
        <w:pStyle w:val="BodyText2"/>
        <w:rPr>
          <w:sz w:val="24"/>
          <w:szCs w:val="24"/>
        </w:rPr>
      </w:pPr>
      <w:r>
        <w:rPr>
          <w:sz w:val="24"/>
          <w:szCs w:val="24"/>
        </w:rPr>
      </w:r>
    </w:p>
    <w:p>
      <w:pPr>
        <w:pStyle w:val="BodyText2"/>
        <w:rPr/>
      </w:pPr>
      <w:r>
        <w:rPr>
          <w:b/>
          <w:bCs/>
          <w:sz w:val="24"/>
          <w:szCs w:val="24"/>
          <w:u w:val="single"/>
        </w:rPr>
        <w:t>Certain ENA Agreements related to the Assets</w:t>
      </w:r>
      <w:r>
        <w:rPr>
          <w:sz w:val="24"/>
          <w:szCs w:val="24"/>
        </w:rPr>
        <w:t>.</w:t>
      </w:r>
    </w:p>
    <w:p>
      <w:pPr>
        <w:pStyle w:val="BodyText2"/>
        <w:rPr>
          <w:sz w:val="24"/>
          <w:szCs w:val="24"/>
        </w:rPr>
      </w:pPr>
      <w:r>
        <w:rPr>
          <w:sz w:val="24"/>
          <w:szCs w:val="24"/>
        </w:rPr>
      </w:r>
    </w:p>
    <w:p>
      <w:pPr>
        <w:pStyle w:val="Normal"/>
        <w:ind w:start="360" w:end="0"/>
        <w:jc w:val="both"/>
        <w:rPr/>
      </w:pPr>
      <w:r>
        <w:rPr>
          <w:rFonts w:eastAsia="Times New Roman" w:cs="Times New Roman" w:ascii="Times New Roman" w:hAnsi="Times New Roman"/>
          <w:sz w:val="24"/>
          <w:szCs w:val="24"/>
        </w:rPr>
        <w:t>Buyer shall take assignment of and shall assume responsibility for the ENA Firm Gathering Agreement with Lost Creek dated December 17, 1998, as amended, and Firm Gathering Agreement with Fort Union dated December 17, 1998, as amended, (the “Firm Gathering Agreements”) and the</w:t>
      </w:r>
      <w:r>
        <w:rPr>
          <w:sz w:val="24"/>
          <w:szCs w:val="24"/>
        </w:rPr>
        <w:t xml:space="preserve"> ENA Participation Agreement and Rebate Agreement with North Central Oil Corporation dated May 1, 2000 and the Agreement Regarding North Central Oil Corporation between ENA and Burlington Resources Trading, Inc. dated April 13, 2000.(“NCO Agreements”)</w:t>
      </w:r>
      <w:r>
        <w:rPr>
          <w:rFonts w:eastAsia="Times New Roman" w:cs="Times New Roman" w:ascii="Times New Roman" w:hAnsi="Times New Roman"/>
          <w:sz w:val="24"/>
          <w:szCs w:val="24"/>
        </w:rPr>
        <w:t xml:space="preserve">.  If consent to assignment of the Firm Gathering Agreements and NCO Agreements to Buyer in a manner releasing ENA from its obligations thereunder is not obtained, the parties shall work to devise a structure that will effectively achieve the same result.   </w:t>
      </w:r>
      <w:r>
        <w:rPr>
          <w:rFonts w:eastAsia="Times New Roman" w:cs="Times New Roman" w:ascii="Times New Roman" w:hAnsi="Times New Roman"/>
          <w:b/>
          <w:bCs/>
          <w:sz w:val="24"/>
          <w:szCs w:val="24"/>
        </w:rPr>
        <w:t>[Note:  If these agreements are to be assigned to EMS prior to the closing they won’t have to be seperately assigned by ENA to Buyer, however the ENA release issue could still apply.]</w:t>
      </w:r>
    </w:p>
    <w:p>
      <w:pPr>
        <w:pStyle w:val="Normal"/>
        <w:ind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BodyText2"/>
        <w:ind w:hanging="0" w:end="0"/>
        <w:rPr>
          <w:rFonts w:ascii="Times New Roman" w:hAnsi="Times New Roman" w:eastAsia="Times New Roman" w:cs="Times New Roman"/>
          <w:b/>
          <w:bCs/>
          <w:sz w:val="24"/>
          <w:szCs w:val="24"/>
        </w:rPr>
      </w:pPr>
      <w:r>
        <w:rPr>
          <w:rFonts w:eastAsia="Times New Roman" w:cs="Times New Roman"/>
          <w:b/>
          <w:bCs/>
          <w:sz w:val="24"/>
          <w:szCs w:val="24"/>
        </w:rPr>
      </w:r>
    </w:p>
    <w:p>
      <w:pPr>
        <w:pStyle w:val="Normal"/>
        <w:jc w:val="both"/>
        <w:rPr/>
      </w:pPr>
      <w:r>
        <w:rPr>
          <w:rFonts w:eastAsia="Times New Roman" w:cs="Times New Roman" w:ascii="Times New Roman" w:hAnsi="Times New Roman"/>
          <w:b/>
          <w:bCs/>
          <w:sz w:val="24"/>
          <w:szCs w:val="24"/>
          <w:u w:val="single"/>
        </w:rPr>
        <w:t>Seller Credit Support</w:t>
      </w:r>
      <w:r>
        <w:rPr>
          <w:rFonts w:eastAsia="Times New Roman" w:cs="Times New Roman" w:ascii="Times New Roman" w:hAnsi="Times New Roman"/>
          <w:b/>
          <w:bCs/>
          <w:sz w:val="24"/>
          <w:szCs w:val="24"/>
        </w:rPr>
        <w:t>:</w:t>
      </w:r>
    </w:p>
    <w:p>
      <w:pPr>
        <w:pStyle w:val="Normal"/>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Buyer shall relieve Seller, its parent and other affilicates from all credit support currently provided by any Enron entitiy related to (i) the Transferred Entities and the Transferred Entities’ Membership Interest in Lost Creek Gathering Company, L.L.C. (“Lost Creek”) and Fort Union Gas Gathering, L.L.C. (“Fort Union”) and (ii) the Firm Gathering Agreements (the “Credit Support Obligations”). Buyer and Seller shall work together to determine the method of accomplishing this obligation.</w:t>
      </w:r>
    </w:p>
    <w:p>
      <w:pPr>
        <w:pStyle w:val="BodyText2"/>
        <w:rPr>
          <w:rFonts w:ascii="Times New Roman" w:hAnsi="Times New Roman" w:eastAsia="Times New Roman" w:cs="Times New Roman"/>
          <w:sz w:val="24"/>
          <w:szCs w:val="24"/>
        </w:rPr>
      </w:pPr>
      <w:r>
        <w:rPr>
          <w:rFonts w:eastAsia="Times New Roman" w:cs="Times New Roman"/>
          <w:sz w:val="24"/>
          <w:szCs w:val="24"/>
        </w:rPr>
      </w:r>
    </w:p>
    <w:p>
      <w:pPr>
        <w:pStyle w:val="Normal"/>
        <w:ind w:hanging="360" w:start="360" w:end="0"/>
        <w:jc w:val="both"/>
        <w:rPr/>
      </w:pPr>
      <w:r>
        <w:rPr>
          <w:rFonts w:eastAsia="Times New Roman" w:cs="Times New Roman" w:ascii="Times New Roman" w:hAnsi="Times New Roman"/>
          <w:b/>
          <w:bCs/>
          <w:sz w:val="24"/>
          <w:szCs w:val="24"/>
          <w:u w:val="single"/>
        </w:rPr>
        <w:t>Area of Mutual Interest</w:t>
      </w:r>
      <w:r>
        <w:rPr>
          <w:rFonts w:eastAsia="Times New Roman" w:cs="Times New Roman" w:ascii="Times New Roman" w:hAnsi="Times New Roman"/>
          <w:b/>
          <w:bCs/>
          <w:sz w:val="24"/>
          <w:szCs w:val="24"/>
        </w:rPr>
        <w:t>:</w:t>
        <w:tab/>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pPr>
      <w:r>
        <w:rPr>
          <w:rFonts w:eastAsia="Times New Roman" w:cs="Times New Roman" w:ascii="Times New Roman" w:hAnsi="Times New Roman"/>
          <w:b/>
          <w:bCs/>
          <w:sz w:val="24"/>
          <w:szCs w:val="24"/>
        </w:rPr>
        <w:tab/>
      </w:r>
      <w:r>
        <w:rPr>
          <w:rFonts w:eastAsia="Times New Roman" w:cs="Times New Roman" w:ascii="Times New Roman" w:hAnsi="Times New Roman"/>
          <w:sz w:val="24"/>
          <w:szCs w:val="24"/>
        </w:rPr>
        <w:t xml:space="preserve">The parties shall work to negotiate an area of mutual interest (“AMI”) containing certain participation rights centered around the assets owned directly or indirectly by the Transferred Entities. (NBP has suggested the State of Wyoming, the eastern half of the State of Montana and that portion of the Willison Basin surrounding ?????) It is anticipated that this AMI shall include a first right to participate by Buyer in any ENA developed non regulated gathering asset oportunity contained within the AMI and a first right to participate by ENA for all trading and commodity opportunities generated by NEWCO within the AMI. These rights to last for a still to be determined period of time. Still to be determined exactly what the first right is for (ie % participation defined or to be agreed on a project by project basis all within a stated time period).  </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ind w:hanging="360" w:start="360" w:end="0"/>
        <w:jc w:val="both"/>
        <w:rPr/>
      </w:pPr>
      <w:r>
        <w:rPr>
          <w:rFonts w:eastAsia="Times New Roman" w:cs="Times New Roman" w:ascii="Times New Roman" w:hAnsi="Times New Roman"/>
          <w:b/>
          <w:bCs/>
          <w:sz w:val="24"/>
          <w:szCs w:val="24"/>
          <w:u w:val="single"/>
        </w:rPr>
        <w:t>IRC Section 754 Election</w:t>
      </w:r>
      <w:r>
        <w:rPr>
          <w:rFonts w:eastAsia="Times New Roman" w:cs="Times New Roman" w:ascii="Times New Roman" w:hAnsi="Times New Roman"/>
          <w:sz w:val="24"/>
          <w:szCs w:val="24"/>
        </w:rPr>
        <w:t>:</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Indent3"/>
        <w:rPr>
          <w:sz w:val="24"/>
          <w:szCs w:val="24"/>
        </w:rPr>
      </w:pPr>
      <w:r>
        <w:rPr>
          <w:sz w:val="24"/>
          <w:szCs w:val="24"/>
        </w:rPr>
        <w:t>Is there an issue related to the Transferred Entities making an IRC Section 754 Election?  Would that have to be made prior to the closing of the Transaction?</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pPr>
      <w:r>
        <w:rPr>
          <w:rFonts w:eastAsia="Times New Roman" w:cs="Times New Roman" w:ascii="Times New Roman" w:hAnsi="Times New Roman"/>
          <w:b/>
          <w:bCs/>
          <w:sz w:val="24"/>
          <w:szCs w:val="24"/>
          <w:u w:val="single"/>
        </w:rPr>
        <w:t>Conditions Precedent</w:t>
      </w:r>
      <w:r>
        <w:rPr>
          <w:rFonts w:eastAsia="Times New Roman" w:cs="Times New Roman" w:ascii="Times New Roman" w:hAnsi="Times New Roman"/>
          <w:b/>
          <w:bCs/>
          <w:sz w:val="24"/>
          <w:szCs w:val="24"/>
        </w:rPr>
        <w:t>:</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before="0" w:after="120"/>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The closing of the Transaction is subject to the following conditions precedent:</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1)</w:t>
        <w:tab/>
        <w:t>The execution of Definitive Agreements satisfactory to the parties, including one or more Purchase and Sale Agreements, and other documents required to implement the terms hereof.</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2)</w:t>
        <w:tab/>
        <w:t>The delivery by all parties of a certificate of its secretary as to (a) board resolutions approving the transactions and (b) authorization of the officer executing the Definitive Agreements;</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3)</w:t>
        <w:tab/>
        <w:t xml:space="preserve">The completion and approval by Buyer of a due diligence review of the Assets, including a reserve analysis and a review of material contracts, which due diligence review has not yet been completed; </w:t>
      </w:r>
    </w:p>
    <w:p>
      <w:pPr>
        <w:pStyle w:val="Normal"/>
        <w:tabs>
          <w:tab w:val="clear" w:pos="720"/>
          <w:tab w:val="left" w:pos="-1080" w:leader="none"/>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4)</w:t>
        <w:tab/>
        <w:t>The issuance of a [favorable?] Fairness Opinion by _________ regarding the Transaction.</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5)</w:t>
        <w:tab/>
        <w:t>The receipt of required regulatory approvals.</w:t>
        <w:tab/>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6)</w:t>
        <w:tab/>
        <w:t>[Need to evaluate the applicability of Hart-Scott?]</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7)</w:t>
        <w:tab/>
        <w:t xml:space="preserve">Internal approvals of the parties. </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8)</w:t>
        <w:tab/>
        <w:t>Any third party consents? [Consent to assignment of the Firm Gatheirng Agreements?]</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p>
    <w:p>
      <w:pPr>
        <w:pStyle w:val="Normal"/>
        <w:tabs>
          <w:tab w:val="clear" w:pos="720"/>
          <w:tab w:val="left" w:pos="360" w:leader="none"/>
        </w:tabs>
        <w:spacing w:before="0" w:after="120"/>
        <w:ind w:hanging="720" w:start="720" w:end="0"/>
        <w:jc w:val="both"/>
        <w:rPr/>
      </w:pPr>
      <w:r>
        <w:rPr>
          <w:rFonts w:eastAsia="Times New Roman" w:cs="Times New Roman" w:ascii="Times New Roman" w:hAnsi="Times New Roman"/>
          <w:b/>
          <w:bCs/>
          <w:sz w:val="24"/>
          <w:szCs w:val="24"/>
          <w:u w:val="single"/>
        </w:rPr>
        <w:t>Representations and Warranties</w:t>
      </w:r>
      <w:r>
        <w:rPr>
          <w:rFonts w:eastAsia="Times New Roman" w:cs="Times New Roman" w:ascii="Times New Roman" w:hAnsi="Times New Roman"/>
          <w:b/>
          <w:bCs/>
          <w:sz w:val="24"/>
          <w:szCs w:val="24"/>
        </w:rPr>
        <w:t>:</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[DISCUSS </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WHETHER TO INCLUDE DETAILED INFO ON REPS AND WARRANTIES IN THIS DOC.  </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BASKET</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SURVIVAL LIMIT</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MATERIALITY LIMIT ON ALL REPS AND WARRANTIES</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DEFINE MATERIALITY</w:t>
      </w:r>
    </w:p>
    <w:p>
      <w:pPr>
        <w:pStyle w:val="Normal"/>
        <w:tabs>
          <w:tab w:val="clear" w:pos="720"/>
          <w:tab w:val="left" w:pos="36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WHAT REPS WOULD WE BE WILLING TO MAKE RE: LOST CREEK AND FORT UNION</w:t>
      </w:r>
    </w:p>
    <w:p>
      <w:pPr>
        <w:pStyle w:val="Normal"/>
        <w:tabs>
          <w:tab w:val="clear" w:pos="720"/>
          <w:tab w:val="left" w:pos="36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IN LIEU OF BUYER DUE DILIGENCE OF THOSE ENTITIES?</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DISCUSS ENA BEING SOLE PARTY SELLER ON ALL REPS AND WARRANTIES]</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Seller shall make the following representations and warranties:</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1)</w:t>
        <w:tab/>
        <w:t>Seller is duly organized and has authority to enter into the contemplated transactions;</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2)</w:t>
        <w:tab/>
        <w:t>Each Seller has good and marketable title to its particular Asset, free and clear of all material liens, claims and encumbrances;</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3)</w:t>
        <w:tab/>
        <w:t>Reasonable representations and warranties as to the financial condition of Seller</w:t>
        <w:tab/>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 </w:t>
      </w:r>
    </w:p>
    <w:p>
      <w:pPr>
        <w:pStyle w:val="Normal"/>
        <w:tabs>
          <w:tab w:val="clear" w:pos="720"/>
          <w:tab w:val="left" w:pos="360" w:leader="none"/>
        </w:tabs>
        <w:spacing w:before="0" w:after="12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7)</w:t>
        <w:tab/>
        <w:t>No material change in financial condition since last financials provided?</w:t>
      </w:r>
    </w:p>
    <w:p>
      <w:pPr>
        <w:pStyle w:val="Normal"/>
        <w:tabs>
          <w:tab w:val="clear" w:pos="720"/>
          <w:tab w:val="left" w:pos="36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8)</w:t>
        <w:tab/>
        <w:t xml:space="preserve">[DISCUSS DISCLAIMER OF CERTAIN REPS AND WARRANTIES]: </w:t>
      </w:r>
    </w:p>
    <w:p>
      <w:pPr>
        <w:pStyle w:val="Normal"/>
        <w:tabs>
          <w:tab w:val="clear" w:pos="720"/>
          <w:tab w:val="left" w:pos="36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 xml:space="preserve">       -</w:t>
        <w:tab/>
        <w:t xml:space="preserve">FERC REGULATORY STATUS FOR FORT UNION, LOST </w:t>
      </w:r>
    </w:p>
    <w:p>
      <w:pPr>
        <w:pStyle w:val="Normal"/>
        <w:tabs>
          <w:tab w:val="clear" w:pos="720"/>
          <w:tab w:val="left" w:pos="36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ab/>
        <w:t>CREEK AND BIGHORN</w:t>
      </w:r>
    </w:p>
    <w:p>
      <w:pPr>
        <w:pStyle w:val="Normal"/>
        <w:tabs>
          <w:tab w:val="clear" w:pos="720"/>
          <w:tab w:val="left" w:pos="360" w:leader="none"/>
        </w:tabs>
        <w:ind w:hanging="720" w:start="288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w:t>
        <w:tab/>
        <w:t xml:space="preserve">WYOMING POWDER RIVER BASIN OIL &amp; GAS ENVIRONMENTAL IMPACT STATEMENT. </w:t>
      </w:r>
    </w:p>
    <w:p>
      <w:pPr>
        <w:pStyle w:val="Normal"/>
        <w:tabs>
          <w:tab w:val="clear" w:pos="720"/>
          <w:tab w:val="left" w:pos="36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 xml:space="preserve">       -</w:t>
        <w:tab/>
        <w:t xml:space="preserve">PROSPECTIVE AIR PERMITTING FOR EMS. </w:t>
      </w:r>
    </w:p>
    <w:p>
      <w:pPr>
        <w:pStyle w:val="BodyTextIndent2"/>
        <w:rPr>
          <w:sz w:val="24"/>
          <w:szCs w:val="24"/>
        </w:rPr>
      </w:pPr>
      <w:r>
        <w:rPr>
          <w:sz w:val="24"/>
          <w:szCs w:val="24"/>
        </w:rPr>
        <w:t xml:space="preserve">                                           </w:t>
      </w:r>
      <w:r>
        <w:rPr>
          <w:sz w:val="24"/>
          <w:szCs w:val="24"/>
        </w:rPr>
        <w:t>-</w:t>
        <w:tab/>
        <w:t>PRODUCER WATER AND OTHER PERMITTING FOR CBM DEVELOPMENT</w:t>
        <w:tab/>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ab/>
        <w:t>BR PERMITTING PROCESS AND PLANT EXPANSION</w:t>
        <w:tab/>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ab/>
        <w:t>ENVIRONMENTAL ISSUES ON LOST CREEK]</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Buyer shall make the following representations and warranties:</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ADD BUYER REPS.</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pPr>
      <w:r>
        <w:rPr>
          <w:rFonts w:eastAsia="Times New Roman" w:cs="Times New Roman" w:ascii="Times New Roman" w:hAnsi="Times New Roman"/>
          <w:b/>
          <w:bCs/>
          <w:sz w:val="24"/>
          <w:szCs w:val="24"/>
          <w:u w:val="single"/>
        </w:rPr>
        <w:t>Covenants</w:t>
      </w:r>
      <w:r>
        <w:rPr>
          <w:rFonts w:eastAsia="Times New Roman" w:cs="Times New Roman" w:ascii="Times New Roman" w:hAnsi="Times New Roman"/>
          <w:b/>
          <w:bCs/>
          <w:sz w:val="24"/>
          <w:szCs w:val="24"/>
        </w:rPr>
        <w:t xml:space="preserve">:  </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ind w:hanging="360" w:start="360" w:end="0"/>
        <w:jc w:val="both"/>
        <w:rPr/>
      </w:pPr>
      <w:r>
        <w:rPr>
          <w:rFonts w:eastAsia="Times New Roman" w:cs="Times New Roman" w:ascii="Times New Roman" w:hAnsi="Times New Roman"/>
          <w:b/>
          <w:bCs/>
          <w:sz w:val="24"/>
          <w:szCs w:val="24"/>
          <w:u w:val="single"/>
        </w:rPr>
        <w:t>Closing Date</w:t>
      </w:r>
      <w:r>
        <w:rPr>
          <w:rFonts w:eastAsia="Times New Roman" w:cs="Times New Roman" w:ascii="Times New Roman" w:hAnsi="Times New Roman"/>
          <w:b/>
          <w:bCs/>
          <w:sz w:val="24"/>
          <w:szCs w:val="24"/>
        </w:rPr>
        <w:t>:</w:t>
      </w:r>
    </w:p>
    <w:p>
      <w:pPr>
        <w:pStyle w:val="Normal"/>
        <w:keepNext w:val="true"/>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pPr>
      <w:r>
        <w:rPr>
          <w:rFonts w:eastAsia="Times New Roman" w:cs="Times New Roman" w:ascii="Times New Roman" w:hAnsi="Times New Roman"/>
          <w:b/>
          <w:bCs/>
          <w:sz w:val="24"/>
          <w:szCs w:val="24"/>
        </w:rPr>
        <w:tab/>
      </w:r>
      <w:r>
        <w:rPr>
          <w:rFonts w:eastAsia="Times New Roman" w:cs="Times New Roman" w:ascii="Times New Roman" w:hAnsi="Times New Roman"/>
          <w:sz w:val="24"/>
          <w:szCs w:val="24"/>
        </w:rPr>
        <w:t xml:space="preserve">August 31, 2000 </w:t>
      </w:r>
    </w:p>
    <w:p>
      <w:pPr>
        <w:pStyle w:val="Normal"/>
        <w:ind w:hanging="360" w:start="360" w:end="0"/>
        <w:jc w:val="both"/>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r>
    </w:p>
    <w:p>
      <w:pPr>
        <w:pStyle w:val="Normal"/>
        <w:ind w:hanging="360" w:start="360" w:end="0"/>
        <w:jc w:val="both"/>
        <w:rPr/>
      </w:pPr>
      <w:r>
        <w:rPr>
          <w:rFonts w:eastAsia="Times New Roman" w:cs="Times New Roman" w:ascii="Times New Roman" w:hAnsi="Times New Roman"/>
          <w:b/>
          <w:bCs/>
          <w:sz w:val="24"/>
          <w:szCs w:val="24"/>
          <w:u w:val="single"/>
        </w:rPr>
        <w:t>Effective Date</w:t>
      </w:r>
      <w:r>
        <w:rPr>
          <w:rFonts w:eastAsia="Times New Roman" w:cs="Times New Roman" w:ascii="Times New Roman" w:hAnsi="Times New Roman"/>
          <w:b/>
          <w:bCs/>
          <w:sz w:val="24"/>
          <w:szCs w:val="24"/>
        </w:rPr>
        <w:t xml:space="preserve">: </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Transaction to be financially effective July 1, 2000 with the Purchase Price to be adjusted accordingly. </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pPr>
      <w:r>
        <w:rPr>
          <w:rFonts w:eastAsia="Times New Roman" w:cs="Times New Roman" w:ascii="Times New Roman" w:hAnsi="Times New Roman"/>
          <w:b/>
          <w:bCs/>
          <w:sz w:val="24"/>
          <w:szCs w:val="24"/>
          <w:u w:val="single"/>
        </w:rPr>
        <w:t>Fees</w:t>
      </w:r>
      <w:r>
        <w:rPr>
          <w:rFonts w:eastAsia="Times New Roman" w:cs="Times New Roman" w:ascii="Times New Roman" w:hAnsi="Times New Roman"/>
          <w:b/>
          <w:bCs/>
          <w:sz w:val="24"/>
          <w:szCs w:val="24"/>
        </w:rPr>
        <w:t xml:space="preserve">: </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Each party shall pay all fees incurred by such party in regard to this Transaction.</w:t>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pPr>
      <w:r>
        <w:rPr>
          <w:rFonts w:eastAsia="Times New Roman" w:cs="Times New Roman" w:ascii="Times New Roman" w:hAnsi="Times New Roman"/>
          <w:b/>
          <w:bCs/>
          <w:sz w:val="24"/>
          <w:szCs w:val="24"/>
          <w:u w:val="single"/>
        </w:rPr>
        <w:t>Choice of Law</w:t>
      </w:r>
      <w:r>
        <w:rPr>
          <w:rFonts w:eastAsia="Times New Roman" w:cs="Times New Roman" w:ascii="Times New Roman" w:hAnsi="Times New Roman"/>
          <w:b/>
          <w:bCs/>
          <w:sz w:val="24"/>
          <w:szCs w:val="24"/>
        </w:rPr>
        <w:t>:</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pPr>
      <w:r>
        <w:rPr>
          <w:rFonts w:eastAsia="Times New Roman" w:cs="Times New Roman" w:ascii="Times New Roman" w:hAnsi="Times New Roman"/>
          <w:b/>
          <w:bCs/>
          <w:sz w:val="24"/>
          <w:szCs w:val="24"/>
        </w:rPr>
        <w:tab/>
      </w:r>
      <w:r>
        <w:rPr>
          <w:b/>
          <w:bCs/>
          <w:caps/>
          <w:sz w:val="24"/>
          <w:szCs w:val="24"/>
        </w:rPr>
        <w:t>The agreements shall be governed by the laws of the State of ___________.</w:t>
      </w:r>
      <w:r>
        <w:rPr>
          <w:rFonts w:eastAsia="Times New Roman" w:cs="Times New Roman" w:ascii="Times New Roman" w:hAnsi="Times New Roman"/>
          <w:b/>
          <w:bCs/>
          <w:sz w:val="24"/>
          <w:szCs w:val="24"/>
        </w:rPr>
        <w:t xml:space="preserve"> </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pPr>
      <w:r>
        <w:rPr>
          <w:rFonts w:eastAsia="Times New Roman" w:cs="Times New Roman" w:ascii="Times New Roman" w:hAnsi="Times New Roman"/>
          <w:b/>
          <w:bCs/>
          <w:sz w:val="24"/>
          <w:szCs w:val="24"/>
          <w:u w:val="single"/>
        </w:rPr>
        <w:t>Public Announcements</w:t>
      </w:r>
      <w:r>
        <w:rPr>
          <w:rFonts w:eastAsia="Times New Roman" w:cs="Times New Roman" w:ascii="Times New Roman" w:hAnsi="Times New Roman"/>
          <w:b/>
          <w:bCs/>
          <w:sz w:val="24"/>
          <w:szCs w:val="24"/>
        </w:rPr>
        <w:t>:</w:t>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360" w:start="3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ab/>
        <w:t>THIS SUMMARY OF TERMS AND CONDITIONS IS ATTACHMENT "A" TO A LETTER OF UNDERSTANDING DATED ________________ AND IS NOT TO BE CONSIDERED SEPARATELY FROM THE LETTER OF UNDERSTANDING.  EXCEPT AS SET OUT IN THE LETTER OF UNDERSTANDING, THE LETTER OF UNDERSTANDING AND THIS ATTACHMENT "A" ARE NOT INTENDED TO BE COMPLETE AND ALL-INCLUSIVE OF THE TERMS OF THE PROPOSED SALE TRANSACTIONS, NOR DOES THE LETTER OF UNDERSTANDING OR THIS ATTACHMENT "A" CREATE A BINDING AND ENFORCEABLE CONTRACT BETWEEN OR COMMITMENT OR OFFER TO ANY PARTY OR PARTIES.</w:t>
      </w:r>
    </w:p>
    <w:sectPr>
      <w:headerReference w:type="default" r:id="rId6"/>
      <w:headerReference w:type="first" r:id="rId7"/>
      <w:footerReference w:type="default" r:id="rId8"/>
      <w:footerReference w:type="first" r:id="rId9"/>
      <w:type w:val="nextPage"/>
      <w:pgSz w:w="12240" w:h="15840"/>
      <w:pgMar w:left="1440" w:right="1440" w:gutter="0" w:header="0" w:top="720" w:footer="0" w:bottom="72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iCs/>
        <w:sz w:val="16"/>
        <w:szCs w:val="16"/>
      </w:rPr>
    </w:pPr>
    <w:r>
      <w:rPr>
        <w:rFonts w:eastAsia="Times New Roman" w:cs="Times New Roman" w:ascii="Times New Roman" w:hAnsi="Times New Roman"/>
        <w:sz w:val="18"/>
        <w:szCs w:val="18"/>
      </w:rPr>
      <w:t>©1996 ECT Legal</w:t>
    </w:r>
  </w:p>
  <w:p>
    <w:pPr>
      <w:pStyle w:val="Footer"/>
      <w:rPr>
        <w:rFonts w:ascii="Times New Roman" w:hAnsi="Times New Roman" w:eastAsia="Times New Roman" w:cs="Times New Roman"/>
        <w:i/>
        <w:i/>
        <w:iCs/>
        <w:sz w:val="14"/>
        <w:szCs w:val="14"/>
      </w:rPr>
    </w:pPr>
    <w:r>
      <w:rPr>
        <w:rFonts w:eastAsia="Times New Roman" w:cs="Times New Roman" w:ascii="Times New Roman" w:hAnsi="Times New Roman"/>
        <w:i/>
        <w:iCs/>
        <w:sz w:val="14"/>
        <w:szCs w:val="14"/>
      </w:rPr>
    </w:r>
  </w:p>
  <w:p>
    <w:pPr>
      <w:pStyle w:val="Footer"/>
      <w:rPr>
        <w:rFonts w:ascii="Times New Roman" w:hAnsi="Times New Roman" w:eastAsia="Times New Roman" w:cs="Times New Roman"/>
        <w:sz w:val="16"/>
        <w:szCs w:val="16"/>
      </w:rPr>
    </w:pPr>
    <w:r>
      <w:rPr>
        <w:rFonts w:eastAsia="Times New Roman" w:cs="Times New Roman" w:ascii="Times New Roman" w:hAnsi="Times New Roman"/>
        <w:sz w:val="16"/>
        <w:szCs w:val="16"/>
      </w:rPr>
      <w:t>N:\COMMON\LEGAL\ATTY.FMS\2206.DOC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iCs/>
        <w:sz w:val="16"/>
        <w:szCs w:val="16"/>
      </w:rPr>
    </w:pPr>
    <w:r>
      <w:rPr>
        <w:rFonts w:eastAsia="Times New Roman" w:cs="Times New Roman" w:ascii="Times New Roman" w:hAnsi="Times New Roman"/>
        <w:sz w:val="18"/>
        <w:szCs w:val="18"/>
      </w:rPr>
      <w:t>©1996 ECT Legal</w:t>
    </w:r>
  </w:p>
  <w:p>
    <w:pPr>
      <w:pStyle w:val="Footer"/>
      <w:rPr>
        <w:rFonts w:ascii="Times New Roman" w:hAnsi="Times New Roman" w:eastAsia="Times New Roman" w:cs="Times New Roman"/>
        <w:i/>
        <w:i/>
        <w:iCs/>
        <w:sz w:val="14"/>
        <w:szCs w:val="14"/>
      </w:rPr>
    </w:pPr>
    <w:r>
      <w:rPr>
        <w:rFonts w:eastAsia="Times New Roman" w:cs="Times New Roman" w:ascii="Times New Roman" w:hAnsi="Times New Roman"/>
        <w:i/>
        <w:iCs/>
        <w:sz w:val="14"/>
        <w:szCs w:val="14"/>
      </w:rPr>
    </w:r>
  </w:p>
  <w:p>
    <w:pPr>
      <w:pStyle w:val="Footer"/>
      <w:rPr>
        <w:rFonts w:ascii="Times New Roman" w:hAnsi="Times New Roman" w:eastAsia="Times New Roman" w:cs="Times New Roman"/>
        <w:sz w:val="16"/>
        <w:szCs w:val="16"/>
      </w:rPr>
    </w:pPr>
    <w:r>
      <w:rPr>
        <w:rFonts w:eastAsia="Times New Roman" w:cs="Times New Roman" w:ascii="Times New Roman" w:hAnsi="Times New Roman"/>
        <w:sz w:val="16"/>
        <w:szCs w:val="16"/>
      </w:rPr>
      <w:t>N:\COMMON\LEGAL\ATTY.FMS\2206.DOC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t>_____________________</w:t>
    </w:r>
  </w:p>
  <w:p>
    <w:pPr>
      <w:pStyle w:val="Header"/>
      <w:rPr>
        <w:rFonts w:ascii="Times New Roman" w:hAnsi="Times New Roman" w:eastAsia="Times New Roman" w:cs="Times New Roman"/>
        <w:sz w:val="22"/>
        <w:szCs w:val="22"/>
      </w:rPr>
    </w:pPr>
    <w:r>
      <w:rPr>
        <w:rFonts w:eastAsia="Times New Roman" w:cs="Times New Roman" w:ascii="Times New Roman" w:hAnsi="Times New Roman"/>
        <w:sz w:val="22"/>
        <w:szCs w:val="22"/>
      </w:rPr>
      <w:t>_______________, 2000</w:t>
    </w:r>
  </w:p>
  <w:p>
    <w:pPr>
      <w:pStyle w:val="Header"/>
      <w:rPr>
        <w:rStyle w:val="PageNumber"/>
      </w:rPr>
    </w:pPr>
    <w:r>
      <w:rPr>
        <w:rFonts w:eastAsia="Times New Roman" w:cs="Times New Roman" w:ascii="Times New Roman" w:hAnsi="Times New Roman"/>
        <w:sz w:val="22"/>
        <w:szCs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Fonts w:ascii="Times New Roman" w:hAnsi="Times New Roman" w:eastAsia="Times New Roman" w:cs="Times New Roman"/>
        <w:sz w:val="22"/>
        <w:szCs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ms Rmn;Times New Roman" w:cs="Tms Rmn;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szCs w:val="20"/>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BodyText2">
    <w:name w:val="Body Text 2"/>
    <w:basedOn w:val="Normal"/>
    <w:qFormat/>
    <w:pPr>
      <w:ind w:hanging="360" w:start="360" w:end="0"/>
      <w:jc w:val="both"/>
    </w:pPr>
    <w:rPr>
      <w:rFonts w:ascii="Times New Roman" w:hAnsi="Times New Roman" w:eastAsia="Times New Roman" w:cs="Times New Roman"/>
      <w:sz w:val="22"/>
      <w:szCs w:val="22"/>
    </w:rPr>
  </w:style>
  <w:style w:type="paragraph" w:styleId="BodyTextIndent2">
    <w:name w:val="Body Text Indent 2"/>
    <w:basedOn w:val="Normal"/>
    <w:qFormat/>
    <w:pPr>
      <w:tabs>
        <w:tab w:val="clear" w:pos="720"/>
        <w:tab w:val="left" w:pos="360" w:leader="none"/>
      </w:tabs>
      <w:ind w:hanging="2880" w:start="2880" w:end="0"/>
      <w:jc w:val="both"/>
    </w:pPr>
    <w:rPr>
      <w:rFonts w:ascii="Times New Roman" w:hAnsi="Times New Roman" w:eastAsia="Times New Roman" w:cs="Times New Roman"/>
      <w:sz w:val="22"/>
      <w:szCs w:val="22"/>
    </w:rPr>
  </w:style>
  <w:style w:type="paragraph" w:styleId="BodyTextIndent3">
    <w:name w:val="Body Text Indent 3"/>
    <w:basedOn w:val="Normal"/>
    <w:qFormat/>
    <w:pPr>
      <w:ind w:hanging="0" w:start="360" w:end="0"/>
      <w:jc w:val="both"/>
    </w:pPr>
    <w:rPr>
      <w:rFonts w:ascii="Times New Roman" w:hAnsi="Times New Roman" w:eastAsia="Times New Roman" w:cs="Times New Roman"/>
      <w:sz w:val="22"/>
      <w:szCs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2000-07-12T22:08:00Z</dcterms:created>
  <dc:creator>carolyn creel</dc:creator>
  <dc:description/>
  <dc:language>en-CA</dc:language>
  <cp:lastModifiedBy>sdaniel</cp:lastModifiedBy>
  <cp:lastPrinted>2000-07-13T17:39:00Z</cp:lastPrinted>
  <dcterms:modified xsi:type="dcterms:W3CDTF">2000-07-13T20:44:00Z</dcterms:modified>
  <cp:revision>23</cp:revision>
  <dc:subject/>
  <dc:title>  LETTER OF UNDERSTANDING</dc:title>
</cp:coreProperties>
</file>