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wmf" ContentType="image/x-wmf"/>
  <Override PartName="/word/media/image4.wmf" ContentType="image/x-wmf"/>
  <Override PartName="/word/media/image14.wmf" ContentType="image/x-wmf"/>
  <Override PartName="/word/media/image5.wmf" ContentType="image/x-wmf"/>
  <Override PartName="/word/media/image15.wmf" ContentType="image/x-wmf"/>
  <Override PartName="/word/media/image6.wmf" ContentType="image/x-wmf"/>
  <Override PartName="/word/media/image10.wmf" ContentType="image/x-wmf"/>
  <Override PartName="/word/media/image1.wmf" ContentType="image/x-wmf"/>
  <Override PartName="/word/media/image7.wmf" ContentType="image/x-wmf"/>
  <Override PartName="/word/media/image11.wmf" ContentType="image/x-wmf"/>
  <Override PartName="/word/media/image2.wmf" ContentType="image/x-wmf"/>
  <Override PartName="/word/media/image8.wmf" ContentType="image/x-wmf"/>
  <Override PartName="/word/media/image12.wmf" ContentType="image/x-wmf"/>
  <Override PartName="/word/media/image3.wmf" ContentType="image/x-wmf"/>
  <Override PartName="/word/media/image9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start="720" w:end="0"/>
        <w:jc w:val="center"/>
        <w:rPr/>
      </w:pPr>
      <w:hyperlink r:id="rId2">
        <w:r>
          <w:rPr>
            <w:rStyle w:val="Hyperlink"/>
            <w:b/>
            <w:sz w:val="28"/>
          </w:rPr>
          <w:t>V@R</w:t>
        </w:r>
      </w:hyperlink>
      <w:r>
        <w:rPr>
          <w:rFonts w:cs="Tahoma" w:ascii="Tahoma" w:hAnsi="Tahoma"/>
          <w:b/>
          <w:sz w:val="28"/>
        </w:rPr>
        <w:t xml:space="preserve"> and Credit issues (04/10/01)</w:t>
      </w:r>
    </w:p>
    <w:p>
      <w:pPr>
        <w:pStyle w:val="Normal"/>
        <w:ind w:start="360" w:end="0"/>
        <w:rPr>
          <w:rFonts w:ascii="Tahoma" w:hAnsi="Tahoma" w:cs="Tahoma"/>
          <w:b/>
          <w:sz w:val="28"/>
        </w:rPr>
      </w:pPr>
      <w:r>
        <w:rPr>
          <w:rFonts w:cs="Tahoma" w:ascii="Tahoma" w:hAnsi="Tahoma"/>
          <w:b/>
          <w:sz w:val="28"/>
        </w:rPr>
      </w:r>
    </w:p>
    <w:p>
      <w:pPr>
        <w:pStyle w:val="Normal"/>
        <w:ind w:start="360" w:end="0"/>
        <w:jc w:val="center"/>
        <w:rPr>
          <w:rFonts w:ascii="Tahoma" w:hAnsi="Tahoma" w:cs="Tahoma"/>
          <w:b/>
          <w:sz w:val="24"/>
        </w:rPr>
      </w:pPr>
      <w:r>
        <w:rPr>
          <w:rFonts w:cs="Tahoma" w:ascii="Tahoma" w:hAnsi="Tahoma"/>
          <w:b/>
          <w:sz w:val="24"/>
        </w:rPr>
        <w:t>Power prices simulation on Value-at-Risk Model:</w:t>
      </w:r>
    </w:p>
    <w:p>
      <w:pPr>
        <w:pStyle w:val="Normal"/>
        <w:ind w:start="360" w:end="0"/>
        <w:rPr>
          <w:rFonts w:ascii="Tahoma" w:hAnsi="Tahoma" w:cs="Tahoma"/>
          <w:b/>
          <w:sz w:val="24"/>
        </w:rPr>
      </w:pPr>
      <w:r>
        <w:rPr>
          <w:rFonts w:cs="Tahoma" w:ascii="Tahoma" w:hAnsi="Tahoma"/>
          <w:b/>
          <w:sz w:val="24"/>
        </w:rPr>
      </w:r>
    </w:p>
    <w:p>
      <w:pPr>
        <w:pStyle w:val="Normal"/>
        <w:numPr>
          <w:ilvl w:val="0"/>
          <w:numId w:val="2"/>
        </w:numPr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Clustering for power: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separately for peak and off-peak;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reduces the number of main curves;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identifies highly correlated curves;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identifies curves with infrequently updates prices;</w:t>
      </w:r>
    </w:p>
    <w:p>
      <w:pPr>
        <w:pStyle w:val="Normal"/>
        <w:ind w:start="360" w:end="0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"/>
        <w:numPr>
          <w:ilvl w:val="0"/>
          <w:numId w:val="2"/>
        </w:numPr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Jump-diffusion price process:</w:t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ind w:firstLine="360" w:end="0"/>
        <w:rPr>
          <w:rFonts w:ascii="Tahoma" w:hAnsi="Tahoma" w:cs="Tahoma"/>
          <w:i/>
          <w:i/>
        </w:rPr>
      </w:pPr>
      <w:r>
        <w:rPr/>
        <w:t>-</w:t>
        <w:tab/>
      </w:r>
      <w:r>
        <w:rPr>
          <w:rFonts w:cs="Tahoma" w:ascii="Tahoma" w:hAnsi="Tahoma"/>
          <w:b/>
          <w:i/>
        </w:rPr>
        <w:t>historical data: spot prices for each region for 6 months</w:t>
      </w:r>
    </w:p>
    <w:p>
      <w:pPr>
        <w:pStyle w:val="Normal"/>
        <w:ind w:start="360" w:end="0"/>
        <w:rPr>
          <w:rFonts w:ascii="Tahoma" w:hAnsi="Tahoma" w:cs="Tahoma"/>
          <w:b/>
        </w:rPr>
      </w:pPr>
      <w:r>
        <w:rPr>
          <w:rFonts w:cs="Tahoma" w:ascii="Tahoma" w:hAnsi="Tahoma"/>
          <w:b/>
          <w:i/>
        </w:rPr>
        <w:t xml:space="preserve">- </w:t>
        <w:tab/>
        <w:t>stochastic process:</w:t>
      </w:r>
    </w:p>
    <w:p>
      <w:pPr>
        <w:pStyle w:val="Normal"/>
        <w:ind w:firstLine="360" w:end="0"/>
        <w:rPr>
          <w:rFonts w:ascii="Tahoma" w:hAnsi="Tahoma" w:cs="Tahoma"/>
        </w:rPr>
      </w:pPr>
      <w:r>
        <w:rPr>
          <w:rFonts w:cs="Tahoma" w:ascii="Tahoma" w:hAnsi="Tahoma"/>
        </w:rPr>
      </w:r>
      <m:oMathPara xmlns:m="http://schemas.openxmlformats.org/officeDocument/2006/math">
        <m:oMathParaPr>
          <m:jc m:val="left"/>
        </m:oMathParaPr>
        <m:oMath>
          <m:eqArr>
            <m:e>
              <m:r>
                <m:t xml:space="preserve">P</m:t>
              </m:r>
              <m:r>
                <m:t xml:space="preserve">(</m:t>
              </m:r>
              <m:r>
                <m:t xml:space="preserve">t</m:t>
              </m:r>
              <m:r>
                <m:t xml:space="preserve">+</m:t>
              </m:r>
              <m:r>
                <m:t xml:space="preserve">τ</m:t>
              </m:r>
              <m:r>
                <m:t xml:space="preserve">)</m:t>
              </m:r>
              <m:r>
                <m:t xml:space="preserve">=</m:t>
              </m:r>
              <m:r>
                <m:t xml:space="preserve">P</m:t>
              </m:r>
              <m:r>
                <m:t xml:space="preserve">(</m:t>
              </m:r>
              <m:r>
                <m:t xml:space="preserve">t</m:t>
              </m:r>
              <m:r>
                <m:t xml:space="preserve">)</m:t>
              </m:r>
              <m:sSup>
                <m:e>
                  <m:r>
                    <m:t xml:space="preserve">e</m:t>
                  </m:r>
                </m:e>
                <m:sup>
                  <m:r>
                    <m:t xml:space="preserve">ξ</m:t>
                  </m:r>
                  <m:r>
                    <m:t xml:space="preserve">+</m:t>
                  </m:r>
                  <m:r>
                    <m:t xml:space="preserve">Yη</m:t>
                  </m:r>
                </m:sup>
              </m:sSup>
              <m:r>
                <m:t xml:space="preserve">,</m:t>
              </m:r>
            </m:e>
            <m:e>
              <m:r>
                <m:t xml:space="preserve">ξ</m:t>
              </m:r>
              <m:r>
                <m:rPr>
                  <m:lit/>
                  <m:nor/>
                </m:rPr>
                <m:t xml:space="preserve">~</m:t>
              </m:r>
              <m:r>
                <m:t xml:space="preserve">N</m:t>
              </m:r>
              <m:r>
                <m:t xml:space="preserve">(</m:t>
              </m:r>
              <m:sSub>
                <m:e>
                  <m:r>
                    <m:t xml:space="preserve">μ</m:t>
                  </m:r>
                </m:e>
                <m:sub>
                  <m:r>
                    <m:t xml:space="preserve">1</m:t>
                  </m:r>
                </m:sub>
              </m:sSub>
              <m:r>
                <m:t xml:space="preserve">,</m:t>
              </m:r>
              <m:sSubSup>
                <m:e>
                  <m:r>
                    <m:t xml:space="preserve">σ</m:t>
                  </m:r>
                </m:e>
                <m:sub>
                  <m:r>
                    <m:t xml:space="preserve">1</m:t>
                  </m:r>
                </m:sub>
                <m:sup>
                  <m:r>
                    <m:t xml:space="preserve">2</m:t>
                  </m:r>
                </m:sup>
              </m:sSubSup>
              <m:r>
                <m:t xml:space="preserve">)</m:t>
              </m:r>
              <m:r>
                <m:t xml:space="preserve">,</m:t>
              </m:r>
            </m:e>
            <m:e>
              <m:r>
                <m:t xml:space="preserve">η</m:t>
              </m:r>
              <m:r>
                <m:rPr>
                  <m:lit/>
                  <m:nor/>
                </m:rPr>
                <m:t xml:space="preserve">~</m:t>
              </m:r>
              <m:r>
                <m:t xml:space="preserve">N</m:t>
              </m:r>
              <m:r>
                <m:t xml:space="preserve">(</m:t>
              </m:r>
              <m:sSub>
                <m:e>
                  <m:r>
                    <m:t xml:space="preserve">μ</m:t>
                  </m:r>
                </m:e>
                <m:sub>
                  <m:r>
                    <m:t xml:space="preserve">2</m:t>
                  </m:r>
                </m:sub>
              </m:sSub>
              <m:r>
                <m:t xml:space="preserve">,</m:t>
              </m:r>
              <m:sSubSup>
                <m:e>
                  <m:r>
                    <m:t xml:space="preserve">σ</m:t>
                  </m:r>
                </m:e>
                <m:sub>
                  <m:r>
                    <m:t xml:space="preserve">2</m:t>
                  </m:r>
                </m:sub>
                <m:sup>
                  <m:r>
                    <m:t xml:space="preserve">2</m:t>
                  </m:r>
                </m:sup>
              </m:sSubSup>
              <m:r>
                <m:t xml:space="preserve">)</m:t>
              </m:r>
              <m:r>
                <m:t xml:space="preserve">,</m:t>
              </m:r>
            </m:e>
            <m:e>
              <m:r>
                <m:t xml:space="preserve">Y</m:t>
              </m:r>
              <m:r>
                <m:t xml:space="preserve">=</m:t>
              </m:r>
              <m:eqArr>
                <m:e>
                  <m:d>
                    <m:dPr>
                      <m:begChr m:val="{"/>
                      <m:endChr m:val=""/>
                    </m:dPr>
                    <m:e>
                      <m:r>
                        <m:t xml:space="preserve">1</m:t>
                      </m:r>
                      <m:r>
                        <m:t xml:space="preserve"> </m:t>
                      </m:r>
                      <m:r>
                        <m:rPr>
                          <m:lit/>
                          <m:nor/>
                        </m:rPr>
                        <m:t xml:space="preserve">with</m:t>
                      </m:r>
                      <m:r>
                        <m:t xml:space="preserve"> </m:t>
                      </m:r>
                      <m:r>
                        <m:rPr>
                          <m:lit/>
                          <m:nor/>
                        </m:rPr>
                        <m:t xml:space="preserve">probability</m:t>
                      </m:r>
                      <m:r>
                        <m:t xml:space="preserve"> </m:t>
                      </m:r>
                      <m:r>
                        <m:t xml:space="preserve">h</m:t>
                      </m:r>
                    </m:e>
                    <m:e/>
                  </m:d>
                </m:e>
              </m:eqArr>
            </m:e>
            <m:e/>
          </m:eqArr>
        </m:oMath>
      </m:oMathPara>
    </w:p>
    <w:p>
      <w:pPr>
        <w:pStyle w:val="Normal"/>
        <w:ind w:firstLine="360" w:end="0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"/>
        <w:ind w:firstLine="360" w:end="0"/>
        <w:rPr>
          <w:rFonts w:ascii="Tahoma" w:hAnsi="Tahoma" w:cs="Tahoma"/>
          <w:b/>
          <w:i/>
          <w:i/>
        </w:rPr>
      </w:pPr>
      <w:r>
        <w:rPr>
          <w:rFonts w:cs="Tahoma" w:ascii="Tahoma" w:hAnsi="Tahoma"/>
          <w:b/>
          <w:i/>
        </w:rPr>
        <w:t>-</w:t>
        <w:tab/>
        <w:t>Parameters estimation: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080" w:leader="none"/>
        </w:tabs>
        <w:ind w:hanging="360" w:start="1080" w:end="-720"/>
        <w:rPr>
          <w:rFonts w:ascii="Tahoma" w:hAnsi="Tahoma" w:cs="Tahoma"/>
        </w:rPr>
      </w:pPr>
      <w:r>
        <w:rPr>
          <w:rFonts w:cs="Tahoma" w:ascii="Tahoma" w:hAnsi="Tahoma"/>
        </w:rPr>
        <w:t>impossible to estimate from historical data, should be postulated h is decided in advance,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080" w:leader="none"/>
        </w:tabs>
        <w:ind w:hanging="360" w:start="1080" w:end="0"/>
        <w:rPr>
          <w:rFonts w:ascii="Tahoma" w:hAnsi="Tahoma" w:cs="Tahoma"/>
        </w:rPr>
      </w:pPr>
      <w:r>
        <w:rPr>
          <w:rFonts w:cs="Tahoma" w:ascii="Tahoma" w:hAnsi="Tahoma"/>
        </w:rPr>
        <w:t>mean and variance of empirical log-returns are matched exactly;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080" w:leader="none"/>
        </w:tabs>
        <w:ind w:hanging="360" w:start="1080" w:end="0"/>
        <w:rPr>
          <w:rFonts w:ascii="Tahoma" w:hAnsi="Tahoma" w:cs="Tahoma"/>
        </w:rPr>
      </w:pPr>
      <w:r>
        <w:rPr>
          <w:rFonts w:cs="Tahoma" w:ascii="Tahoma" w:hAnsi="Tahoma"/>
        </w:rPr>
        <w:t>4 remaining parameters are estimated by maximizing log-likelihood function;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080" w:leader="none"/>
        </w:tabs>
        <w:ind w:hanging="360" w:start="1080" w:end="0"/>
        <w:rPr>
          <w:rFonts w:ascii="Tahoma" w:hAnsi="Tahoma" w:cs="Tahoma"/>
        </w:rPr>
      </w:pPr>
      <w:r>
        <w:rPr>
          <w:rFonts w:cs="Tahoma" w:ascii="Tahoma" w:hAnsi="Tahoma"/>
        </w:rPr>
        <w:t>Put 2 constrains in the optimization routine to match 2 moments of the empirical distribution;</w:t>
      </w:r>
    </w:p>
    <w:p>
      <w:pPr>
        <w:pStyle w:val="Normal"/>
        <w:ind w:start="720" w:end="0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Normal"/>
        <w:ind w:firstLine="270" w:end="0"/>
        <w:rPr>
          <w:rFonts w:ascii="Tahoma" w:hAnsi="Tahoma" w:cs="Tahoma"/>
        </w:rPr>
      </w:pPr>
      <w:r>
        <w:rPr>
          <w:rFonts w:cs="Tahoma" w:ascii="Tahoma" w:hAnsi="Tahoma"/>
          <w:b/>
          <w:i/>
        </w:rPr>
        <w:t xml:space="preserve">- </w:t>
        <w:tab/>
        <w:t>Results of estimation:</w:t>
      </w:r>
    </w:p>
    <w:p>
      <w:pPr>
        <w:pStyle w:val="Normal"/>
        <w:rPr>
          <w:rFonts w:ascii="Tahoma" w:hAnsi="Tahoma" w:cs="Tahoma"/>
        </w:rPr>
      </w:pPr>
      <w:r>
        <w:rPr>
          <w:rFonts w:cs="Tahoma" w:ascii="Tahoma" w:hAnsi="Tahoma"/>
        </w:rPr>
        <w:t>For COB (R8) based on spot prices from 9/29/00 to 3/27/01 with mean of returns equal to 0.00384 and daily standard deviation equal to 0.283 (annualized volatility 482%)</w:t>
      </w:r>
    </w:p>
    <w:p>
      <w:pPr>
        <w:pStyle w:val="Normal"/>
        <w:rPr>
          <w:rFonts w:ascii="Tahoma" w:hAnsi="Tahoma" w:cs="Tahoma"/>
        </w:rPr>
      </w:pPr>
      <w:r>
        <w:rPr>
          <w:rFonts w:cs="Tahoma" w:ascii="Tahoma" w:hAnsi="Tahoma"/>
        </w:rPr>
      </w:r>
    </w:p>
    <w:tbl>
      <w:tblPr>
        <w:tblW w:w="8130" w:type="dxa"/>
        <w:jc w:val="start"/>
        <w:tblInd w:w="0" w:type="dxa"/>
        <w:tblLayout w:type="fixed"/>
        <w:tblCellMar>
          <w:top w:w="0" w:type="dxa"/>
          <w:start w:w="30" w:type="dxa"/>
          <w:bottom w:w="0" w:type="dxa"/>
          <w:end w:w="30" w:type="dxa"/>
        </w:tblCellMar>
      </w:tblPr>
      <w:tblGrid>
        <w:gridCol w:w="1262"/>
        <w:gridCol w:w="1246"/>
        <w:gridCol w:w="1452"/>
        <w:gridCol w:w="1466"/>
        <w:gridCol w:w="994"/>
        <w:gridCol w:w="1710"/>
      </w:tblGrid>
      <w:tr>
        <w:trPr>
          <w:trHeight w:val="423" w:hRule="atLeast"/>
        </w:trPr>
        <w:tc>
          <w:tcPr>
            <w:tcW w:w="1262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Mean_jump</w:t>
            </w:r>
          </w:p>
        </w:tc>
        <w:tc>
          <w:tcPr>
            <w:tcW w:w="1246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stdev_jump</w:t>
            </w:r>
          </w:p>
        </w:tc>
        <w:tc>
          <w:tcPr>
            <w:tcW w:w="1452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mean_diffusion</w:t>
            </w:r>
          </w:p>
        </w:tc>
        <w:tc>
          <w:tcPr>
            <w:tcW w:w="1466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stdev_diffusion</w:t>
            </w:r>
          </w:p>
        </w:tc>
        <w:tc>
          <w:tcPr>
            <w:tcW w:w="994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eastAsia="Arial" w:cs="Arial" w:ascii="Arial" w:hAnsi="Arial"/>
                <w:color w:val="000000"/>
                <w:lang w:eastAsia="en-US"/>
              </w:rPr>
              <w:t xml:space="preserve">          </w:t>
            </w:r>
            <w:r>
              <w:rPr>
                <w:rFonts w:cs="Arial" w:ascii="Arial" w:hAnsi="Arial"/>
                <w:color w:val="000000"/>
                <w:lang w:eastAsia="en-US"/>
              </w:rPr>
              <w:t>h</w:t>
            </w:r>
          </w:p>
        </w:tc>
        <w:tc>
          <w:tcPr>
            <w:tcW w:w="1710" w:type="dxa"/>
            <w:tcBorders/>
          </w:tcPr>
          <w:p>
            <w:pPr>
              <w:pStyle w:val="Normal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Misfit (empirical  versus theoretical)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0.14918071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0.96315599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-0.00361944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0.18001546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0.05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0.09081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0.04943159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0.73389363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-0.00110357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0.160518676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0.10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0.077994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0.02927183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0.61797601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-0.00055119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0.149842426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0.15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0.074962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0.02034424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0.54587311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-0.00022926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0.142071933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0.20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0.073423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0.01457319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0.49585229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0.000196298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0.13542138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0.25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0.072133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0.00985233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0.45885775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0.000883885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0.129076064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0.30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0.070616</w:t>
            </w:r>
          </w:p>
        </w:tc>
      </w:tr>
      <w:tr>
        <w:trPr>
          <w:trHeight w:val="257" w:hRule="atLeast"/>
        </w:trPr>
        <w:tc>
          <w:tcPr>
            <w:tcW w:w="126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0.01019931</w:t>
            </w:r>
          </w:p>
        </w:tc>
        <w:tc>
          <w:tcPr>
            <w:tcW w:w="124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0.43149355</w:t>
            </w:r>
          </w:p>
        </w:tc>
        <w:tc>
          <w:tcPr>
            <w:tcW w:w="1452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-0.00209862</w:t>
            </w:r>
          </w:p>
        </w:tc>
        <w:tc>
          <w:tcPr>
            <w:tcW w:w="1466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0.119911432</w:t>
            </w:r>
          </w:p>
        </w:tc>
        <w:tc>
          <w:tcPr>
            <w:tcW w:w="994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0.35</w:t>
            </w:r>
          </w:p>
        </w:tc>
        <w:tc>
          <w:tcPr>
            <w:tcW w:w="1710" w:type="dxa"/>
            <w:tcBorders/>
          </w:tcPr>
          <w:p>
            <w:pPr>
              <w:pStyle w:val="Normal"/>
              <w:jc w:val="end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cs="Arial" w:ascii="Arial" w:hAnsi="Arial"/>
                <w:color w:val="000000"/>
                <w:lang w:eastAsia="en-US"/>
              </w:rPr>
              <w:t>0.067312</w:t>
            </w:r>
          </w:p>
        </w:tc>
      </w:tr>
    </w:tbl>
    <w:p>
      <w:pPr>
        <w:pStyle w:val="Normal"/>
        <w:tabs>
          <w:tab w:val="clear" w:pos="720"/>
          <w:tab w:val="left" w:pos="360" w:leader="none"/>
        </w:tabs>
        <w:ind w:hanging="360" w:start="360" w:end="0"/>
        <w:rPr>
          <w:rFonts w:ascii="Tahoma" w:hAnsi="Tahoma" w:cs="Tahoma"/>
          <w:b/>
        </w:rPr>
      </w:pPr>
      <w:r>
        <w:br w:type="page"/>
      </w:r>
      <w:r>
        <w:rPr>
          <w:rFonts w:cs="Tahoma" w:ascii="Tahoma" w:hAnsi="Tahoma"/>
          <w:b/>
        </w:rPr>
        <w:t>3. Correlations implementation: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beyond prompt month: perfect correlation of forward prices across members of a cluter;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for intramonth and prompt prices: 3 different types of correlations: for diffusion parts, for events of jumps, for jump sizes;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Suggestion: within each cluster events of jumps arrive simultaneously, jump sizes are correlated according to historical evidence, diffusion parts are perfectly correlated;</w:t>
      </w:r>
    </w:p>
    <w:p>
      <w:pPr>
        <w:pStyle w:val="Normal"/>
        <w:numPr>
          <w:ilvl w:val="0"/>
          <w:numId w:val="3"/>
        </w:numPr>
        <w:rPr>
          <w:rFonts w:ascii="Tahoma" w:hAnsi="Tahoma" w:cs="Tahoma"/>
        </w:rPr>
      </w:pPr>
      <w:r>
        <w:rPr>
          <w:rFonts w:cs="Tahoma" w:ascii="Tahoma" w:hAnsi="Tahoma"/>
        </w:rPr>
        <w:t>Across clusters jumps arrive independently, diffusion parts are correlated according to historical data;</w:t>
      </w:r>
      <w:r>
        <w:br w:type="page"/>
      </w:r>
    </w:p>
    <w:p>
      <w:pPr>
        <w:pStyle w:val="Normal"/>
        <w:jc w:val="center"/>
        <w:rPr>
          <w:rFonts w:ascii="Tahoma" w:hAnsi="Tahoma" w:cs="Tahoma"/>
          <w:b/>
          <w:sz w:val="24"/>
        </w:rPr>
      </w:pPr>
      <w:r>
        <w:rPr>
          <w:rFonts w:cs="Tahoma" w:ascii="Tahoma" w:hAnsi="Tahoma"/>
          <w:b/>
          <w:sz w:val="24"/>
        </w:rPr>
        <w:t>Capturing correlations across commodities and joint estimation of factor loadings</w:t>
      </w:r>
    </w:p>
    <w:p>
      <w:pPr>
        <w:pStyle w:val="Normal"/>
        <w:jc w:val="center"/>
        <w:rPr>
          <w:rFonts w:ascii="Tahoma" w:hAnsi="Tahoma" w:cs="Tahoma"/>
          <w:b/>
          <w:sz w:val="24"/>
        </w:rPr>
      </w:pPr>
      <w:r>
        <w:rPr>
          <w:rFonts w:cs="Tahoma" w:ascii="Tahoma" w:hAnsi="Tahoma"/>
          <w:b/>
          <w:sz w:val="24"/>
        </w:rPr>
      </w:r>
    </w:p>
    <w:p>
      <w:pPr>
        <w:pStyle w:val="BodyText"/>
        <w:jc w:val="start"/>
        <w:rPr>
          <w:sz w:val="20"/>
        </w:rPr>
      </w:pPr>
      <w:r>
        <w:rPr>
          <w:sz w:val="20"/>
        </w:rPr>
        <w:t>1. What time series to use?</w:t>
      </w:r>
    </w:p>
    <w:p>
      <w:pPr>
        <w:pStyle w:val="Normal"/>
        <w:numPr>
          <w:ilvl w:val="0"/>
          <w:numId w:val="1"/>
        </w:numPr>
        <w:rPr>
          <w:rFonts w:ascii="Tahoma" w:hAnsi="Tahoma" w:cs="Tahoma"/>
          <w:sz w:val="24"/>
        </w:rPr>
      </w:pPr>
      <w:r>
        <w:rPr>
          <w:rFonts w:cs="Tahoma" w:ascii="Tahoma" w:hAnsi="Tahoma"/>
        </w:rPr>
        <w:t>using time series for fixed contracts versus prompt, prompt+1, etc. prices;</w:t>
      </w:r>
    </w:p>
    <w:p>
      <w:pPr>
        <w:pStyle w:val="Normal"/>
        <w:numPr>
          <w:ilvl w:val="0"/>
          <w:numId w:val="1"/>
        </w:numPr>
        <w:rPr>
          <w:rFonts w:ascii="Tahoma" w:hAnsi="Tahoma" w:cs="Tahoma"/>
          <w:sz w:val="24"/>
        </w:rPr>
      </w:pPr>
      <w:r>
        <w:rPr>
          <w:rFonts w:cs="Tahoma" w:ascii="Tahoma" w:hAnsi="Tahoma"/>
        </w:rPr>
        <w:t>normalization of log-returns by estimate of volatility;</w:t>
      </w:r>
    </w:p>
    <w:p>
      <w:pPr>
        <w:pStyle w:val="Normal"/>
        <w:ind w:start="360" w:end="0"/>
        <w:rPr>
          <w:rFonts w:ascii="Tahoma" w:hAnsi="Tahoma" w:cs="Tahoma"/>
          <w:sz w:val="24"/>
          <w:lang w:val="en-CA"/>
        </w:rPr>
      </w:pPr>
      <w:r>
        <w:rPr>
          <w:rFonts w:cs="Tahoma" w:ascii="Tahoma" w:hAnsi="Tahoma"/>
          <w:sz w:val="24"/>
          <w:lang w:val="en-CA"/>
        </w:rP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320040</wp:posOffset>
            </wp:positionH>
            <wp:positionV relativeFrom="paragraph">
              <wp:posOffset>146685</wp:posOffset>
            </wp:positionV>
            <wp:extent cx="4023360" cy="2145030"/>
            <wp:effectExtent l="0" t="0" r="0" b="0"/>
            <wp:wrapNone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Normal"/>
        <w:ind w:start="360" w:end="0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  <w:r>
        <w:br w:type="page"/>
      </w:r>
    </w:p>
    <w:p>
      <w:pPr>
        <w:pStyle w:val="Normal"/>
        <w:ind w:start="360" w:end="0"/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2. Correlations patterns across term-structure for a single commodity</w:t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rPr>
          <w:rFonts w:ascii="Tahoma" w:hAnsi="Tahoma" w:cs="Tahoma"/>
          <w:b/>
          <w:sz w:val="24"/>
          <w:lang w:val="en-CA"/>
        </w:rPr>
      </w:pPr>
      <w:r>
        <w:rPr>
          <w:rFonts w:cs="Tahoma" w:ascii="Tahoma" w:hAnsi="Tahoma"/>
          <w:b/>
          <w:sz w:val="24"/>
          <w:lang w:val="en-CA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-594360</wp:posOffset>
            </wp:positionH>
            <wp:positionV relativeFrom="paragraph">
              <wp:posOffset>21590</wp:posOffset>
            </wp:positionV>
            <wp:extent cx="3108960" cy="2675890"/>
            <wp:effectExtent l="0" t="0" r="0" b="0"/>
            <wp:wrapNone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2971800</wp:posOffset>
            </wp:positionH>
            <wp:positionV relativeFrom="paragraph">
              <wp:posOffset>21590</wp:posOffset>
            </wp:positionV>
            <wp:extent cx="3070225" cy="2642870"/>
            <wp:effectExtent l="0" t="0" r="0" b="0"/>
            <wp:wrapNone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rPr>
          <w:rFonts w:ascii="Tahoma" w:hAnsi="Tahoma" w:cs="Tahoma"/>
          <w:b/>
          <w:sz w:val="24"/>
        </w:rPr>
      </w:pPr>
      <w:r>
        <w:rPr>
          <w:rFonts w:cs="Tahoma" w:ascii="Tahoma" w:hAnsi="Tahoma"/>
          <w:b/>
          <w:sz w:val="24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-685800</wp:posOffset>
            </wp:positionH>
            <wp:positionV relativeFrom="paragraph">
              <wp:posOffset>2855595</wp:posOffset>
            </wp:positionV>
            <wp:extent cx="3200400" cy="2616200"/>
            <wp:effectExtent l="0" t="0" r="0" b="0"/>
            <wp:wrapNone/>
            <wp:docPr id="4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8" r="-7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2880360</wp:posOffset>
            </wp:positionH>
            <wp:positionV relativeFrom="paragraph">
              <wp:posOffset>2880360</wp:posOffset>
            </wp:positionV>
            <wp:extent cx="3474720" cy="2540000"/>
            <wp:effectExtent l="0" t="0" r="0" b="0"/>
            <wp:wrapNone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2880360</wp:posOffset>
            </wp:positionH>
            <wp:positionV relativeFrom="paragraph">
              <wp:posOffset>5855335</wp:posOffset>
            </wp:positionV>
            <wp:extent cx="3474720" cy="2435225"/>
            <wp:effectExtent l="0" t="0" r="0" b="0"/>
            <wp:wrapNone/>
            <wp:docPr id="6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3. Correlations across commodities:</w:t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rPr>
          <w:rFonts w:ascii="Tahoma" w:hAnsi="Tahoma" w:cs="Tahoma"/>
          <w:b/>
          <w:lang w:val="en-CA"/>
        </w:rPr>
      </w:pPr>
      <w:r>
        <w:rPr>
          <w:rFonts w:cs="Tahoma" w:ascii="Tahoma" w:hAnsi="Tahoma"/>
          <w:b/>
          <w:lang w:val="en-CA"/>
        </w:rPr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2880360</wp:posOffset>
            </wp:positionH>
            <wp:positionV relativeFrom="paragraph">
              <wp:posOffset>-2540</wp:posOffset>
            </wp:positionV>
            <wp:extent cx="3200400" cy="2328545"/>
            <wp:effectExtent l="0" t="0" r="0" b="0"/>
            <wp:wrapNone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-777240</wp:posOffset>
            </wp:positionH>
            <wp:positionV relativeFrom="paragraph">
              <wp:posOffset>-2540</wp:posOffset>
            </wp:positionV>
            <wp:extent cx="3291205" cy="2395220"/>
            <wp:effectExtent l="0" t="0" r="0" b="0"/>
            <wp:wrapNone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-777240</wp:posOffset>
            </wp:positionH>
            <wp:positionV relativeFrom="paragraph">
              <wp:posOffset>2625725</wp:posOffset>
            </wp:positionV>
            <wp:extent cx="3383280" cy="2212340"/>
            <wp:effectExtent l="0" t="0" r="0" b="0"/>
            <wp:wrapNone/>
            <wp:docPr id="9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2971800</wp:posOffset>
            </wp:positionH>
            <wp:positionV relativeFrom="paragraph">
              <wp:posOffset>2586990</wp:posOffset>
            </wp:positionV>
            <wp:extent cx="3383280" cy="2212340"/>
            <wp:effectExtent l="0" t="0" r="0" b="0"/>
            <wp:wrapNone/>
            <wp:docPr id="10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2971800</wp:posOffset>
            </wp:positionH>
            <wp:positionV relativeFrom="paragraph">
              <wp:posOffset>5421630</wp:posOffset>
            </wp:positionV>
            <wp:extent cx="3382645" cy="2461260"/>
            <wp:effectExtent l="0" t="0" r="0" b="0"/>
            <wp:wrapNone/>
            <wp:docPr id="11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4. Principal component analysis for a single commodity</w:t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p>
      <w:pPr>
        <w:pStyle w:val="Normal"/>
        <w:numPr>
          <w:ilvl w:val="0"/>
          <w:numId w:val="0"/>
        </w:numPr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posOffset>411480</wp:posOffset>
            </wp:positionH>
            <wp:positionV relativeFrom="paragraph">
              <wp:posOffset>2404110</wp:posOffset>
            </wp:positionV>
            <wp:extent cx="4114800" cy="1986915"/>
            <wp:effectExtent l="0" t="0" r="0" b="0"/>
            <wp:wrapNone/>
            <wp:docPr id="12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8" t="-16" r="-8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15">
            <wp:simplePos x="0" y="0"/>
            <wp:positionH relativeFrom="column">
              <wp:posOffset>411480</wp:posOffset>
            </wp:positionH>
            <wp:positionV relativeFrom="paragraph">
              <wp:posOffset>26670</wp:posOffset>
            </wp:positionV>
            <wp:extent cx="4039870" cy="1950720"/>
            <wp:effectExtent l="0" t="0" r="0" b="0"/>
            <wp:wrapNone/>
            <wp:docPr id="13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16" r="-8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t>5. Joint estimation of factors based on fixed contracts prices</w:t>
      </w:r>
    </w:p>
    <w:p>
      <w:pPr>
        <w:pStyle w:val="Normal"/>
        <w:numPr>
          <w:ilvl w:val="0"/>
          <w:numId w:val="0"/>
        </w:numPr>
        <w:rPr>
          <w:rFonts w:ascii="Tahoma" w:hAnsi="Tahoma" w:cs="Tahoma"/>
          <w:b/>
        </w:rPr>
      </w:pPr>
      <w:r>
        <w:rPr>
          <w:rFonts w:cs="Tahoma" w:ascii="Tahoma" w:hAnsi="Tahoma"/>
          <w:b/>
        </w:rPr>
        <w:drawing>
          <wp:anchor behindDoc="0" distT="0" distB="0" distL="114935" distR="114935" simplePos="0" locked="0" layoutInCell="1" allowOverlap="1" relativeHeight="16">
            <wp:simplePos x="0" y="0"/>
            <wp:positionH relativeFrom="column">
              <wp:posOffset>-137160</wp:posOffset>
            </wp:positionH>
            <wp:positionV relativeFrom="paragraph">
              <wp:posOffset>121285</wp:posOffset>
            </wp:positionV>
            <wp:extent cx="5731510" cy="3448050"/>
            <wp:effectExtent l="0" t="0" r="0" b="0"/>
            <wp:wrapNone/>
            <wp:docPr id="14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17">
            <wp:simplePos x="0" y="0"/>
            <wp:positionH relativeFrom="column">
              <wp:posOffset>-45720</wp:posOffset>
            </wp:positionH>
            <wp:positionV relativeFrom="paragraph">
              <wp:posOffset>4145915</wp:posOffset>
            </wp:positionV>
            <wp:extent cx="5669280" cy="3410585"/>
            <wp:effectExtent l="0" t="0" r="0" b="0"/>
            <wp:wrapNone/>
            <wp:docPr id="15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Tahoma" w:hAnsi="Tahoma" w:cs="Tahoma"/>
          <w:b/>
        </w:rPr>
      </w:pPr>
      <w:r>
        <w:rPr>
          <w:rFonts w:cs="Tahoma" w:ascii="Tahoma" w:hAnsi="Tahoma"/>
          <w:b/>
        </w:rPr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Tahoma">
    <w:charset w:val="00" w:characterSet="windows-1252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start"/>
      <w:pPr>
        <w:tabs>
          <w:tab w:val="num" w:pos="720"/>
        </w:tabs>
        <w:ind w:start="720" w:hanging="360"/>
      </w:pPr>
      <w:rPr>
        <w:rFonts w:ascii="Times New Roman" w:hAnsi="Times New Roman" w:cs="Times New Roman" w:hint="default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360"/>
        </w:tabs>
        <w:ind w:start="360" w:hanging="360"/>
      </w:pPr>
      <w:rPr/>
    </w:lvl>
    <w:lvl w:ilvl="1">
      <w:start w:val="1"/>
      <w:isLgl/>
      <w:numFmt w:val="decimal"/>
      <w:lvlText w:val="%1.%2"/>
      <w:lvlJc w:val="start"/>
      <w:pPr>
        <w:tabs>
          <w:tab w:val="num" w:pos="1080"/>
        </w:tabs>
        <w:ind w:start="1080" w:hanging="720"/>
      </w:pPr>
      <w:rPr/>
    </w:lvl>
    <w:lvl w:ilvl="2">
      <w:start w:val="1"/>
      <w:isLgl/>
      <w:numFmt w:val="decimal"/>
      <w:lvlText w:val="%1.%2.%3"/>
      <w:lvlJc w:val="start"/>
      <w:pPr>
        <w:tabs>
          <w:tab w:val="num" w:pos="1440"/>
        </w:tabs>
        <w:ind w:start="1440" w:hanging="720"/>
      </w:pPr>
      <w:rPr/>
    </w:lvl>
    <w:lvl w:ilvl="3">
      <w:start w:val="1"/>
      <w:isLgl/>
      <w:numFmt w:val="decimal"/>
      <w:lvlText w:val="%1.%2.%3.%4"/>
      <w:lvlJc w:val="start"/>
      <w:pPr>
        <w:tabs>
          <w:tab w:val="num" w:pos="2160"/>
        </w:tabs>
        <w:ind w:start="2160" w:hanging="1080"/>
      </w:pPr>
      <w:rPr/>
    </w:lvl>
    <w:lvl w:ilvl="4">
      <w:start w:val="1"/>
      <w:isLgl/>
      <w:numFmt w:val="decimal"/>
      <w:lvlText w:val="%1.%2.%3.%4.%5"/>
      <w:lvlJc w:val="start"/>
      <w:pPr>
        <w:tabs>
          <w:tab w:val="num" w:pos="2520"/>
        </w:tabs>
        <w:ind w:start="2520" w:hanging="1080"/>
      </w:pPr>
      <w:rPr/>
    </w:lvl>
    <w:lvl w:ilvl="5">
      <w:start w:val="1"/>
      <w:isLgl/>
      <w:numFmt w:val="decimal"/>
      <w:lvlText w:val="%1.%2.%3.%4.%5.%6"/>
      <w:lvlJc w:val="start"/>
      <w:pPr>
        <w:tabs>
          <w:tab w:val="num" w:pos="3240"/>
        </w:tabs>
        <w:ind w:start="3240" w:hanging="1440"/>
      </w:pPr>
      <w:rPr/>
    </w:lvl>
    <w:lvl w:ilvl="6">
      <w:start w:val="1"/>
      <w:isLgl/>
      <w:numFmt w:val="decimal"/>
      <w:lvlText w:val="%1.%2.%3.%4.%5.%6.%7"/>
      <w:lvlJc w:val="start"/>
      <w:pPr>
        <w:tabs>
          <w:tab w:val="num" w:pos="3960"/>
        </w:tabs>
        <w:ind w:start="3960" w:hanging="1800"/>
      </w:pPr>
      <w:rPr/>
    </w:lvl>
    <w:lvl w:ilvl="7">
      <w:start w:val="1"/>
      <w:isLgl/>
      <w:numFmt w:val="decimal"/>
      <w:lvlText w:val="%1.%2.%3.%4.%5.%6.%7.%8"/>
      <w:lvlJc w:val="start"/>
      <w:pPr>
        <w:tabs>
          <w:tab w:val="num" w:pos="4320"/>
        </w:tabs>
        <w:ind w:start="4320" w:hanging="1800"/>
      </w:pPr>
      <w:rPr/>
    </w:lvl>
    <w:lvl w:ilvl="8">
      <w:start w:val="1"/>
      <w:isLgl/>
      <w:numFmt w:val="decimal"/>
      <w:lvlText w:val="%1.%2.%3.%4.%5.%6.%7.%8.%9"/>
      <w:lvlJc w:val="start"/>
      <w:pPr>
        <w:tabs>
          <w:tab w:val="num" w:pos="5040"/>
        </w:tabs>
        <w:ind w:start="5040" w:hanging="2160"/>
      </w:pPr>
      <w:rPr/>
    </w:lvl>
  </w:abstractNum>
  <w:abstractNum w:abstractNumId="3">
    <w:lvl w:ilvl="0">
      <w:start w:val="1"/>
      <w:numFmt w:val="bullet"/>
      <w:lvlText w:val="-"/>
      <w:lvlJc w:val="start"/>
      <w:pPr>
        <w:tabs>
          <w:tab w:val="num" w:pos="720"/>
        </w:tabs>
        <w:ind w:start="720" w:hanging="360"/>
      </w:pPr>
      <w:rPr>
        <w:rFonts w:ascii="Times New Roman" w:hAnsi="Times New Roman" w:cs="Times New Roman" w:hint="default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WW8Num1z0">
    <w:name w:val="WW8Num1z0"/>
    <w:qFormat/>
    <w:rPr>
      <w:rFonts w:ascii="Times New Roman" w:hAnsi="Times New Roman" w:cs="Times New Roman"/>
    </w:rPr>
  </w:style>
  <w:style w:type="character" w:styleId="WW8Num2z0">
    <w:name w:val="WW8Num2z0"/>
    <w:qFormat/>
    <w:rPr/>
  </w:style>
  <w:style w:type="character" w:styleId="WW8Num3z0">
    <w:name w:val="WW8Num3z0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Times New Roman" w:hAnsi="Times New Roman" w:cs="Times New Roman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b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Tahoma" w:hAnsi="Tahoma" w:cs="Tahoma"/>
      <w:b/>
      <w:sz w:val="24"/>
    </w:rPr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V@R" TargetMode="External"/><Relationship Id="rId3" Type="http://schemas.openxmlformats.org/officeDocument/2006/relationships/image" Target="media/image1.wmf"/><Relationship Id="rId4" Type="http://schemas.openxmlformats.org/officeDocument/2006/relationships/image" Target="media/image2.wmf"/><Relationship Id="rId5" Type="http://schemas.openxmlformats.org/officeDocument/2006/relationships/image" Target="media/image3.wmf"/><Relationship Id="rId6" Type="http://schemas.openxmlformats.org/officeDocument/2006/relationships/image" Target="media/image4.wmf"/><Relationship Id="rId7" Type="http://schemas.openxmlformats.org/officeDocument/2006/relationships/image" Target="media/image5.wmf"/><Relationship Id="rId8" Type="http://schemas.openxmlformats.org/officeDocument/2006/relationships/image" Target="media/image6.wmf"/><Relationship Id="rId9" Type="http://schemas.openxmlformats.org/officeDocument/2006/relationships/image" Target="media/image7.wmf"/><Relationship Id="rId10" Type="http://schemas.openxmlformats.org/officeDocument/2006/relationships/image" Target="media/image8.wmf"/><Relationship Id="rId11" Type="http://schemas.openxmlformats.org/officeDocument/2006/relationships/image" Target="media/image9.wmf"/><Relationship Id="rId12" Type="http://schemas.openxmlformats.org/officeDocument/2006/relationships/image" Target="media/image10.wmf"/><Relationship Id="rId13" Type="http://schemas.openxmlformats.org/officeDocument/2006/relationships/image" Target="media/image11.wmf"/><Relationship Id="rId14" Type="http://schemas.openxmlformats.org/officeDocument/2006/relationships/image" Target="media/image12.wmf"/><Relationship Id="rId15" Type="http://schemas.openxmlformats.org/officeDocument/2006/relationships/image" Target="media/image13.wmf"/><Relationship Id="rId16" Type="http://schemas.openxmlformats.org/officeDocument/2006/relationships/image" Target="media/image14.wmf"/><Relationship Id="rId17" Type="http://schemas.openxmlformats.org/officeDocument/2006/relationships/image" Target="media/image15.wmf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68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2001-04-09T15:56:00Z</dcterms:created>
  <dc:creator>ttamarc</dc:creator>
  <dc:description/>
  <dc:language>en-CA</dc:language>
  <cp:lastModifiedBy>ttamarc</cp:lastModifiedBy>
  <cp:lastPrinted>2001-04-09T16:37:00Z</cp:lastPrinted>
  <dcterms:modified xsi:type="dcterms:W3CDTF">2001-04-09T19:23:00Z</dcterms:modified>
  <cp:revision>15</cp:revision>
  <dc:subject/>
  <dc:title>V@R and Credit issues (04/10/01)</dc:title>
</cp:coreProperties>
</file>