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LANGUAGE FOR INCLUSION IN WARRANT SWAPS AND PRIVATE STOCK SWAPS TO ADDRESS MASTER DERIVATIVES AGREEMENT REQUIREMENT 2.03 (II) AND TO PROVIDE FOR THE FINAL PRICE IN THE CONFIRM.</w:t>
      </w:r>
    </w:p>
    <w:p>
      <w:pPr>
        <w:pStyle w:val="Normal"/>
        <w:rPr/>
      </w:pPr>
      <w:r>
        <w:rPr/>
      </w:r>
    </w:p>
    <w:p>
      <w:pPr>
        <w:pStyle w:val="Normal"/>
        <w:ind w:hanging="2880" w:start="2880" w:end="0"/>
        <w:rPr/>
      </w:pPr>
      <w:r>
        <w:rPr/>
        <w:t>Final Price:</w:t>
        <w:tab/>
        <w:t>The price determined by Calculation Agent on the basis of a valuation conducted in accordance with the valuation model consistently applied by Calculation Agent in the valuation of the Shares [Warrants] and approved by Arthur Andersen LLP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/mnt/main-storage/datasets/enron-docs/doc/valuation_language_raptor.doc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2000-08-30T16:45:00Z</dcterms:created>
  <dc:creator>mcook</dc:creator>
  <dc:description/>
  <dc:language>en-CA</dc:language>
  <cp:lastModifiedBy>mcook</cp:lastModifiedBy>
  <dcterms:modified xsi:type="dcterms:W3CDTF">2000-08-30T19:37:00Z</dcterms:modified>
  <cp:revision>3</cp:revision>
  <dc:subject/>
  <dc:title/>
</cp:coreProperties>
</file>