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turnAddress"/>
        <w:rPr/>
      </w:pPr>
      <w:r>
        <w:rPr/>
      </w:r>
    </w:p>
    <w:p>
      <w:pPr>
        <w:pStyle w:val="InsideAddress"/>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pPr>
      <w:r>
        <w:rPr/>
      </w:r>
    </w:p>
    <w:p>
      <w:pPr>
        <w:pStyle w:val="Normal"/>
        <w:rPr/>
      </w:pPr>
      <w:r>
        <w:rPr/>
        <w:t>October 24, 2000</w:t>
      </w:r>
    </w:p>
    <w:p>
      <w:pPr>
        <w:pStyle w:val="Normal"/>
        <w:rPr/>
      </w:pPr>
      <w:r>
        <w:rPr/>
      </w:r>
    </w:p>
    <w:p>
      <w:pPr>
        <w:pStyle w:val="Address"/>
        <w:rPr/>
      </w:pPr>
      <w:bookmarkStart w:id="0" w:name="recipaddr"/>
      <w:bookmarkEnd w:id="0"/>
      <w:r>
        <w:rPr/>
        <w:t>Mr. David Dyck</w:t>
      </w:r>
    </w:p>
    <w:p>
      <w:pPr>
        <w:pStyle w:val="Address"/>
        <w:rPr/>
      </w:pPr>
      <w:r>
        <w:rPr/>
        <w:t>Valero Marketing and Supply Company</w:t>
      </w:r>
    </w:p>
    <w:p>
      <w:pPr>
        <w:pStyle w:val="Address"/>
        <w:rPr/>
      </w:pPr>
      <w:r>
        <w:rPr/>
        <w:t>P.O. Box 500</w:t>
      </w:r>
    </w:p>
    <w:p>
      <w:pPr>
        <w:pStyle w:val="Address"/>
        <w:rPr/>
      </w:pPr>
      <w:r>
        <w:rPr/>
        <w:t>San Antonio, TX  78292</w:t>
      </w:r>
    </w:p>
    <w:p>
      <w:pPr>
        <w:pStyle w:val="Address"/>
        <w:rPr/>
      </w:pPr>
      <w:r>
        <w:rPr/>
      </w:r>
    </w:p>
    <w:p>
      <w:pPr>
        <w:pStyle w:val="Salutation"/>
        <w:rPr/>
      </w:pPr>
      <w:r>
        <w:rPr/>
        <w:t xml:space="preserve">Dear </w:t>
      </w:r>
      <w:bookmarkStart w:id="1" w:name="recipient"/>
      <w:bookmarkEnd w:id="1"/>
      <w:r>
        <w:rPr/>
        <w:t>David:</w:t>
      </w:r>
    </w:p>
    <w:p>
      <w:pPr>
        <w:pStyle w:val="BodyText"/>
        <w:ind w:end="-1440"/>
        <w:rPr/>
      </w:pPr>
      <w:bookmarkStart w:id="2" w:name="letterbody"/>
      <w:bookmarkEnd w:id="2"/>
      <w:r>
        <w:rPr/>
        <w:t>Thank you for the opportunity to serve Valero’s natural gas needs.  David, I think it is a great time to consider a floor on your gas for the winter period.  Volatility is high and gas would have to significantly drop for Valero to begin paying over market.  Let’s discuss in further detail.  I am such a firm believer we could set up an agreement where Enron shares downside with you.  In accordance with your request, Houston Pipe Line Company offers the following gas supply proposal for the three Valero facilities.  This proposal would constitute an amendment to our agreement.</w:t>
      </w:r>
    </w:p>
    <w:p>
      <w:pPr>
        <w:pStyle w:val="BodyText"/>
        <w:rPr/>
      </w:pPr>
      <w:r>
        <w:rPr>
          <w:b/>
        </w:rPr>
        <w:t xml:space="preserve">Type of service: </w:t>
        <w:tab/>
      </w:r>
      <w:r>
        <w:rPr/>
        <w:tab/>
        <w:t>Firm – with pressure control on Houston Pipeline</w:t>
      </w:r>
    </w:p>
    <w:p>
      <w:pPr>
        <w:pStyle w:val="BodyText"/>
        <w:rPr/>
      </w:pPr>
      <w:r>
        <w:rPr>
          <w:b/>
        </w:rPr>
        <w:t>Term:</w:t>
        <w:tab/>
      </w:r>
      <w:r>
        <w:rPr/>
        <w:tab/>
        <w:tab/>
        <w:t>Start date: November 1, 2000 through April 30, 2001</w:t>
      </w:r>
    </w:p>
    <w:p>
      <w:pPr>
        <w:pStyle w:val="BodyText"/>
        <w:rPr>
          <w:b/>
        </w:rPr>
      </w:pPr>
      <w:r>
        <w:rPr>
          <w:b/>
        </w:rPr>
        <w:t>Delivery Location:</w:t>
      </w:r>
      <w:r>
        <w:rPr/>
        <w:tab/>
        <w:t>Dodge Street Houston Ship Channel meter # 1394</w:t>
      </w:r>
    </w:p>
    <w:p>
      <w:pPr>
        <w:pStyle w:val="BodyText"/>
        <w:rPr/>
      </w:pPr>
      <w:r>
        <w:rPr>
          <w:b/>
        </w:rPr>
        <w:t>Quantity:</w:t>
      </w:r>
      <w:r>
        <w:rPr/>
        <w:tab/>
        <w:tab/>
        <w:t>Min DQ: 10,000 mmbtu per day plus 10,000 mmbtu per day swing</w:t>
      </w:r>
    </w:p>
    <w:p>
      <w:pPr>
        <w:pStyle w:val="BodyText"/>
        <w:ind w:hanging="2160" w:start="2160" w:end="-720"/>
        <w:rPr/>
      </w:pPr>
      <w:r>
        <w:rPr>
          <w:b/>
        </w:rPr>
        <w:t xml:space="preserve">Price Options:           </w:t>
      </w:r>
      <w:r>
        <w:rPr/>
        <w:t xml:space="preserve">  </w:t>
        <w:tab/>
        <w:t>For 10,000 mmbtu/d  the price shall be Inside Ferc – Houston Ship Channel (IFHSC) less (.01).  Any gas flowing over 10,000 mmbtu/d will be purchased at GD HSC midpoint.</w:t>
      </w:r>
    </w:p>
    <w:p>
      <w:pPr>
        <w:pStyle w:val="BodyText"/>
        <w:ind w:start="2160" w:end="-720"/>
        <w:rPr/>
      </w:pPr>
      <w:r>
        <w:rPr/>
        <w:t>For 10,000 mmbtu/d the price shall be Inside Ferc – Houston Ship Channel (IFHSC) less (.03) with a floor of $3.00.  Additional gas will be priced at GD HSC midpoint</w:t>
      </w:r>
    </w:p>
    <w:p>
      <w:pPr>
        <w:pStyle w:val="BodyText"/>
        <w:ind w:start="2160" w:end="-720"/>
        <w:rPr/>
      </w:pPr>
      <w:r>
        <w:rPr/>
        <w:t>For 10,000 mmbtu/d the price shall be Inside Ferc – Houston Ship Channel (IFHSC) less (.09) with a floor of $3.50.  Additional gas will be priced at GD HSC midpoint</w:t>
      </w:r>
    </w:p>
    <w:p>
      <w:pPr>
        <w:pStyle w:val="BodyText"/>
        <w:ind w:start="2160" w:end="-720"/>
        <w:rPr/>
      </w:pPr>
      <w:r>
        <w:rPr/>
        <w:t>For 10,000 mmbtu/d the price shall be Inside Ferc – Houston Ship Channel (IFHSC) less (.19) with a floor of $4.00.  Additional gas will be priced at GD HSC midpoint</w:t>
      </w:r>
    </w:p>
    <w:p>
      <w:pPr>
        <w:pStyle w:val="BodyText"/>
        <w:ind w:start="2160" w:end="-720"/>
        <w:rPr/>
      </w:pPr>
      <w:r>
        <w:rPr/>
      </w:r>
    </w:p>
    <w:p>
      <w:pPr>
        <w:pStyle w:val="BodyText"/>
        <w:rPr>
          <w:b/>
        </w:rPr>
      </w:pPr>
      <w:r>
        <w:rPr>
          <w:b/>
        </w:rPr>
        <w:t>Delivery Location:</w:t>
      </w:r>
      <w:r>
        <w:rPr/>
        <w:tab/>
        <w:t>Hoechst Celanese Bayport meter # 8018</w:t>
      </w:r>
    </w:p>
    <w:p>
      <w:pPr>
        <w:pStyle w:val="BodyText"/>
        <w:rPr/>
      </w:pPr>
      <w:r>
        <w:rPr>
          <w:b/>
        </w:rPr>
        <w:t>Quantity:</w:t>
      </w:r>
      <w:r>
        <w:rPr/>
        <w:tab/>
        <w:tab/>
        <w:t>Min DQ: 5,000 mmbtu per day plus 5,000 mmbtu per day swing</w:t>
      </w:r>
    </w:p>
    <w:p>
      <w:pPr>
        <w:pStyle w:val="BodyText"/>
        <w:ind w:hanging="2160" w:start="2160" w:end="-720"/>
        <w:rPr/>
      </w:pPr>
      <w:r>
        <w:rPr>
          <w:b/>
        </w:rPr>
        <w:t xml:space="preserve">Price Options:           </w:t>
      </w:r>
      <w:r>
        <w:rPr/>
        <w:t xml:space="preserve">  </w:t>
        <w:tab/>
        <w:t>For 5,000 mmbtu/d the price shall be Inside Ferc – Houston Ship Channel (IFHSC) flat.   Any gas flowing over 5,000 mmbtu/d will be purchased at GD HSC midpoint.</w:t>
      </w:r>
    </w:p>
    <w:p>
      <w:pPr>
        <w:pStyle w:val="BodyText"/>
        <w:ind w:start="2160" w:end="-720"/>
        <w:rPr/>
      </w:pPr>
      <w:r>
        <w:rPr/>
        <w:t>For 25,000 mmbtu/d the price shall be (IFHSC) less (.0225) with a floor of $3.00.  Additional gas will be priced at GD HSC midpoint</w:t>
      </w:r>
    </w:p>
    <w:p>
      <w:pPr>
        <w:pStyle w:val="BodyText"/>
        <w:ind w:start="2160" w:end="-720"/>
        <w:rPr/>
      </w:pPr>
      <w:r>
        <w:rPr/>
        <w:t>For 25,000 mmbtu/d the price shall  (IFHSC) less (.0825) with a floor of $3.50.  Additional gas will be priced at GD HSC midpoint</w:t>
      </w:r>
    </w:p>
    <w:p>
      <w:pPr>
        <w:pStyle w:val="BodyText"/>
        <w:ind w:start="2160" w:end="-720"/>
        <w:rPr/>
      </w:pPr>
      <w:r>
        <w:rPr/>
        <w:t>For 25,000 mmbtu/d the price shall be  (IFHSC) less (.1825) with a floor of $4.00.  Additional gas will be priced at GD HSC midpoint</w:t>
      </w:r>
    </w:p>
    <w:p>
      <w:pPr>
        <w:pStyle w:val="BodyText"/>
        <w:ind w:start="2160" w:end="-720"/>
        <w:rPr/>
      </w:pPr>
      <w:r>
        <w:rPr/>
      </w:r>
    </w:p>
    <w:p>
      <w:pPr>
        <w:pStyle w:val="BodyText"/>
        <w:rPr>
          <w:b/>
        </w:rPr>
      </w:pPr>
      <w:r>
        <w:rPr>
          <w:b/>
        </w:rPr>
        <w:t>Delivery Location:</w:t>
      </w:r>
      <w:r>
        <w:rPr/>
        <w:tab/>
        <w:t>Texas City Refinery meter # 1233</w:t>
      </w:r>
    </w:p>
    <w:p>
      <w:pPr>
        <w:pStyle w:val="BodyText"/>
        <w:rPr/>
      </w:pPr>
      <w:r>
        <w:rPr>
          <w:b/>
        </w:rPr>
        <w:t>Quantity:</w:t>
      </w:r>
      <w:r>
        <w:rPr/>
        <w:tab/>
        <w:tab/>
        <w:t>Min DQ: 10,000 mmbtu per day plus 15,000 mmbtu per day swing</w:t>
      </w:r>
    </w:p>
    <w:p>
      <w:pPr>
        <w:pStyle w:val="BodyText"/>
        <w:ind w:hanging="2160" w:start="2160" w:end="-720"/>
        <w:rPr/>
      </w:pPr>
      <w:r>
        <w:rPr>
          <w:b/>
        </w:rPr>
        <w:t xml:space="preserve">Price Options:           </w:t>
      </w:r>
      <w:r>
        <w:rPr/>
        <w:t xml:space="preserve">  </w:t>
        <w:tab/>
        <w:t>For 10,000 mmbtu/d the price shall be Inside Ferc – Houston Ship Channel (IFHSC) flat.   Any gas flowing over 10,000 mmbtu/d will be purchased at GD HSC midpoint.</w:t>
      </w:r>
    </w:p>
    <w:p>
      <w:pPr>
        <w:pStyle w:val="BodyText"/>
        <w:ind w:start="2160" w:end="-720"/>
        <w:rPr/>
      </w:pPr>
      <w:r>
        <w:rPr/>
        <w:t>For 15,000 mmbtu/d the price shall be (IFHSC) less (.0225) with a floor of $3.00.  Additional gas will be priced at GD HSC midpoint</w:t>
      </w:r>
    </w:p>
    <w:p>
      <w:pPr>
        <w:pStyle w:val="BodyText"/>
        <w:ind w:start="2160" w:end="-720"/>
        <w:rPr/>
      </w:pPr>
      <w:r>
        <w:rPr/>
        <w:t>For 15,000 mmbtu/d the price shall  (IFHSC) less (.0825) with a floor of $3.50.  Additional gas will be priced at GD HSC midpoint</w:t>
      </w:r>
    </w:p>
    <w:p>
      <w:pPr>
        <w:pStyle w:val="BodyText"/>
        <w:ind w:start="2160" w:end="-720"/>
        <w:rPr/>
      </w:pPr>
      <w:r>
        <w:rPr/>
        <w:t>For 15,000 mmbtu/d the price shall be  (IFHSC) less (.1825) with a floor of $4.00.  Additional gas will be priced at GD HSC midpoint</w:t>
      </w:r>
    </w:p>
    <w:p>
      <w:pPr>
        <w:pStyle w:val="BodyText"/>
        <w:ind w:start="2160" w:end="-720"/>
        <w:rPr/>
      </w:pPr>
      <w:r>
        <w:rPr/>
      </w:r>
    </w:p>
    <w:p>
      <w:pPr>
        <w:pStyle w:val="BodyText"/>
        <w:ind w:start="2160" w:end="-720"/>
        <w:rPr>
          <w:b/>
        </w:rPr>
      </w:pPr>
      <w:r>
        <w:rPr>
          <w:b/>
        </w:rPr>
        <w:t>*ANY DAY GAS FALLS BELOW MIN DQ AT ANY FACILITY, HPL WILL BUY BACK AT GAS DAILY KATY MIDPOINT</w:t>
      </w:r>
    </w:p>
    <w:p>
      <w:pPr>
        <w:pStyle w:val="BodyText"/>
        <w:ind w:end="-1440"/>
        <w:rPr/>
      </w:pPr>
      <w:r>
        <w:rPr/>
        <w:t>This proposal is for discussion purposes only to facilitate the negotiation, preparation and execution of a definite agreement.  Thank you for the opportunity to serve Valero’s natural gas requirements.  I look forward to discussing this transaction with you at your earliest convenience.</w:t>
        <w:tab/>
      </w:r>
    </w:p>
    <w:p>
      <w:pPr>
        <w:pStyle w:val="BodyText"/>
        <w:ind w:end="-1080"/>
        <w:rPr/>
      </w:pPr>
      <w:r>
        <w:rPr/>
        <w:t>Sincerely,</w:t>
      </w:r>
    </w:p>
    <w:p>
      <w:pPr>
        <w:pStyle w:val="Closing"/>
        <w:rPr/>
      </w:pPr>
      <w:r>
        <w:rPr/>
      </w:r>
    </w:p>
    <w:p>
      <w:pPr>
        <w:pStyle w:val="Closing"/>
        <w:rPr/>
      </w:pPr>
      <w:r>
        <w:rPr/>
        <w:t>Gary Lamphier</w:t>
      </w:r>
    </w:p>
    <w:p>
      <w:pPr>
        <w:pStyle w:val="Closing"/>
        <w:keepNext w:val="true"/>
        <w:spacing w:before="0" w:after="160"/>
        <w:rPr/>
      </w:pPr>
      <w:r>
        <w:rPr/>
        <w:t>713 853-3345</w:t>
        <w:tab/>
      </w:r>
    </w:p>
    <w:sectPr>
      <w:type w:val="nextPage"/>
      <w:pgSz w:w="12240" w:h="15840"/>
      <w:pgMar w:left="1800" w:right="216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2"/>
      </w:numPr>
      <w:tabs>
        <w:tab w:val="clear" w:pos="720"/>
      </w:tabs>
      <w:spacing w:before="0" w:after="160"/>
    </w:pPr>
    <w:rPr/>
  </w:style>
  <w:style w:type="paragraph" w:styleId="ListBullet21">
    <w:name w:val="List Bullet 21"/>
    <w:basedOn w:val="ListBullet"/>
    <w:qFormat/>
    <w:pPr>
      <w:numPr>
        <w:ilvl w:val="0"/>
        <w:numId w:val="3"/>
      </w:numPr>
      <w:ind w:hanging="360" w:start="1080" w:end="0"/>
    </w:pPr>
    <w:rPr/>
  </w:style>
  <w:style w:type="paragraph" w:styleId="ListBullet31">
    <w:name w:val="List Bullet 31"/>
    <w:basedOn w:val="ListBullet"/>
    <w:qFormat/>
    <w:pPr>
      <w:numPr>
        <w:ilvl w:val="0"/>
        <w:numId w:val="4"/>
      </w:numPr>
      <w:ind w:hanging="360" w:start="1440" w:end="0"/>
    </w:pPr>
    <w:rPr/>
  </w:style>
  <w:style w:type="paragraph" w:styleId="ListBullet41">
    <w:name w:val="List Bullet 41"/>
    <w:basedOn w:val="ListBullet"/>
    <w:qFormat/>
    <w:pPr>
      <w:numPr>
        <w:ilvl w:val="0"/>
        <w:numId w:val="5"/>
      </w:numPr>
      <w:ind w:hanging="360" w:start="1800" w:end="0"/>
    </w:pPr>
    <w:rPr/>
  </w:style>
  <w:style w:type="paragraph" w:styleId="ListBullet51">
    <w:name w:val="List Bullet 51"/>
    <w:basedOn w:val="ListBullet"/>
    <w:qFormat/>
    <w:pPr>
      <w:numPr>
        <w:ilvl w:val="0"/>
        <w:numId w:val="6"/>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7"/>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8"/>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2000-10-25T11:33:00Z</dcterms:created>
  <dc:creator>glamphi</dc:creator>
  <dc:description/>
  <dc:language>en-CA</dc:language>
  <cp:lastModifiedBy>glamphi</cp:lastModifiedBy>
  <cp:lastPrinted>2000-10-19T13:48:00Z</cp:lastPrinted>
  <dcterms:modified xsi:type="dcterms:W3CDTF">2000-10-27T18:24:00Z</dcterms:modified>
  <cp:revision>6</cp:revision>
  <dc:subject/>
  <dc:title>Creates prewritten letters or helps you design your own</dc:title>
</cp:coreProperties>
</file>