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Enron Broadband Services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Value @ Risk Transaction Policy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June 2000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/>
        <w:t>EBS maintains the following policies for transactions, contracts, commitments and other business arrangements which create or alter Value @ Risk (</w:t>
      </w:r>
      <w:hyperlink r:id="rId2">
        <w:r>
          <w:rPr>
            <w:rStyle w:val="Hyperlink"/>
          </w:rPr>
          <w:t>V@R)</w:t>
        </w:r>
      </w:hyperlink>
      <w:r>
        <w:rPr/>
        <w:t xml:space="preserve"> as defined below. Capital expenditures are executed under EBS’ Capital Expenditure Policy dated June, 2000.</w:t>
      </w:r>
    </w:p>
    <w:p>
      <w:pPr>
        <w:pStyle w:val="Normal"/>
        <w:rPr/>
      </w:pPr>
      <w:r>
        <w:rPr/>
      </w:r>
    </w:p>
    <w:p>
      <w:pPr>
        <w:pStyle w:val="Normal"/>
        <w:rPr/>
      </w:pPr>
      <w:hyperlink r:id="rId3">
        <w:r>
          <w:rPr>
            <w:rStyle w:val="Hyperlink"/>
          </w:rPr>
          <w:t>V@R</w:t>
        </w:r>
      </w:hyperlink>
      <w:r>
        <w:rPr/>
        <w:t xml:space="preserve"> transactions change the value of EBS’s portfolio of assets or contracts.  </w:t>
      </w:r>
      <w:hyperlink r:id="rId4">
        <w:r>
          <w:rPr>
            <w:rStyle w:val="Hyperlink"/>
          </w:rPr>
          <w:t>V@R</w:t>
        </w:r>
      </w:hyperlink>
      <w:r>
        <w:rPr/>
        <w:t xml:space="preserve"> transactions can involve an outside purchase or sale of bandwidth capacity,  content delivery obligations or other future commitments. </w:t>
      </w:r>
      <w:hyperlink r:id="rId5">
        <w:r>
          <w:rPr>
            <w:rStyle w:val="Hyperlink"/>
          </w:rPr>
          <w:t>V@R</w:t>
        </w:r>
      </w:hyperlink>
      <w:r>
        <w:rPr/>
        <w:t xml:space="preserve"> transactions can also involve internal changes or commitments such a reconfiguration of existing points of presence, fiber line configuration, router or switch location or configuration or server location or configuration.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hyperlink r:id="rId6">
        <w:r>
          <w:rPr>
            <w:rStyle w:val="Hyperlink"/>
          </w:rPr>
          <w:t>V@R</w:t>
        </w:r>
      </w:hyperlink>
      <w:r>
        <w:rPr/>
        <w:t xml:space="preserve"> transactions fundamentally impact the capacities and commitments of EBS for commercial services, including bandwidth and content.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All </w:t>
      </w:r>
      <w:hyperlink r:id="rId7">
        <w:r>
          <w:rPr>
            <w:rStyle w:val="Hyperlink"/>
          </w:rPr>
          <w:t>V@R</w:t>
        </w:r>
      </w:hyperlink>
      <w:r>
        <w:rPr/>
        <w:t xml:space="preserve"> transactions are subject to review and approval of appropriate commercial, legal and executive personnel as set forth below:</w:t>
      </w:r>
    </w:p>
    <w:p>
      <w:pPr>
        <w:pStyle w:val="Normal"/>
        <w:rPr/>
      </w:pPr>
      <w:r>
        <w:rPr/>
      </w:r>
    </w:p>
    <w:tbl>
      <w:tblPr>
        <w:tblW w:w="80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708"/>
        <w:gridCol w:w="4050"/>
        <w:gridCol w:w="270"/>
      </w:tblGrid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Total Expenditure</w:t>
            </w:r>
          </w:p>
        </w:tc>
        <w:tc>
          <w:tcPr>
            <w:tcW w:w="4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Approval Required</w:t>
            </w:r>
          </w:p>
        </w:tc>
        <w:tc>
          <w:tcPr>
            <w:tcW w:w="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Bandwidth-</w:t>
            </w:r>
          </w:p>
          <w:p>
            <w:pPr>
              <w:pStyle w:val="Normal"/>
              <w:rPr/>
            </w:pPr>
            <w:r>
              <w:rPr/>
              <w:t>Purchase/Sale of Bandwidth Capacity- Up to 1 year or XX OC-3 equivalents</w:t>
            </w:r>
          </w:p>
        </w:tc>
        <w:tc>
          <w:tcPr>
            <w:tcW w:w="4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??</w:t>
            </w:r>
          </w:p>
        </w:tc>
        <w:tc>
          <w:tcPr>
            <w:tcW w:w="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Over 1 year or over 10XX OC-3 equivalents</w:t>
            </w:r>
          </w:p>
        </w:tc>
        <w:tc>
          <w:tcPr>
            <w:tcW w:w="4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87" w:hRule="atLeast"/>
        </w:trPr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Over 5 years or over 100XX OC-3 equivalents</w:t>
            </w:r>
          </w:p>
        </w:tc>
        <w:tc>
          <w:tcPr>
            <w:tcW w:w="4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Content-</w:t>
            </w:r>
          </w:p>
          <w:p>
            <w:pPr>
              <w:pStyle w:val="Normal"/>
              <w:rPr/>
            </w:pPr>
            <w:r>
              <w:rPr/>
              <w:t>Up to 1 year or XX MB expected delivered streams in the US</w:t>
            </w:r>
          </w:p>
        </w:tc>
        <w:tc>
          <w:tcPr>
            <w:tcW w:w="4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Over 1 year up to 3 years or 10XX MB expected delivered streams in the US and all non-US deliveries</w:t>
            </w:r>
          </w:p>
        </w:tc>
        <w:tc>
          <w:tcPr>
            <w:tcW w:w="4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Points of Presence-</w:t>
            </w:r>
          </w:p>
          <w:p>
            <w:pPr>
              <w:pStyle w:val="Normal"/>
              <w:rPr/>
            </w:pPr>
            <w:r>
              <w:rPr/>
              <w:t xml:space="preserve">All opening and closing plans for all POP’s </w:t>
            </w:r>
          </w:p>
          <w:p>
            <w:pPr>
              <w:pStyle w:val="Normal"/>
              <w:rPr/>
            </w:pPr>
            <w:r>
              <w:rPr/>
              <w:t>(need better definition)</w:t>
            </w:r>
          </w:p>
        </w:tc>
        <w:tc>
          <w:tcPr>
            <w:tcW w:w="4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Fiber Liner Configuration-</w:t>
            </w:r>
          </w:p>
          <w:p>
            <w:pPr>
              <w:pStyle w:val="Normal"/>
              <w:rPr/>
            </w:pPr>
            <w:r>
              <w:rPr/>
              <w:t>All changes in all long-haul fiber configurations, except routing maintenance?</w:t>
            </w:r>
          </w:p>
        </w:tc>
        <w:tc>
          <w:tcPr>
            <w:tcW w:w="4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Router/Switch/Server Configuration and Relocation-</w:t>
            </w:r>
          </w:p>
          <w:p>
            <w:pPr>
              <w:pStyle w:val="Normal"/>
              <w:rPr/>
            </w:pPr>
            <w:r>
              <w:rPr/>
              <w:t xml:space="preserve">All changes in all above equipment </w:t>
            </w:r>
          </w:p>
        </w:tc>
        <w:tc>
          <w:tcPr>
            <w:tcW w:w="4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 V@R Approval Form has been designed to document the business rationale and pro forma economics for </w:t>
      </w:r>
      <w:hyperlink r:id="rId8">
        <w:r>
          <w:rPr>
            <w:rStyle w:val="Hyperlink"/>
          </w:rPr>
          <w:t>V@R</w:t>
        </w:r>
      </w:hyperlink>
      <w:r>
        <w:rPr/>
        <w:t xml:space="preserve"> transaction requests.  (Attachment I)  The form also requires the approval of the originating request for the transaction (Origination, Network or other group).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Structuring is responsible for risk analysis and obtaining pricing from Risk Management for all requests.  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>
          <w:i/>
        </w:rPr>
        <w:t>Likewise, Enron Risk should be consulted early in all transactions involving over $1,000,000 is strongly encouraged.  (stale language)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@R(" TargetMode="External"/><Relationship Id="rId3" Type="http://schemas.openxmlformats.org/officeDocument/2006/relationships/hyperlink" Target="mailto:V@R" TargetMode="External"/><Relationship Id="rId4" Type="http://schemas.openxmlformats.org/officeDocument/2006/relationships/hyperlink" Target="mailto:V@R" TargetMode="External"/><Relationship Id="rId5" Type="http://schemas.openxmlformats.org/officeDocument/2006/relationships/hyperlink" Target="mailto:V@R" TargetMode="External"/><Relationship Id="rId6" Type="http://schemas.openxmlformats.org/officeDocument/2006/relationships/hyperlink" Target="mailto:V@R" TargetMode="External"/><Relationship Id="rId7" Type="http://schemas.openxmlformats.org/officeDocument/2006/relationships/hyperlink" Target="mailto:V@R" TargetMode="External"/><Relationship Id="rId8" Type="http://schemas.openxmlformats.org/officeDocument/2006/relationships/hyperlink" Target="mailto:V@R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2000-06-28T19:40:00Z</dcterms:created>
  <dc:creator>John_echols</dc:creator>
  <dc:description/>
  <dc:language>en-CA</dc:language>
  <cp:lastModifiedBy>John_echols</cp:lastModifiedBy>
  <dcterms:modified xsi:type="dcterms:W3CDTF">2000-06-28T20:07:00Z</dcterms:modified>
  <cp:revision>3</cp:revision>
  <dc:subject/>
  <dc:title>Enron Broadband Services</dc:title>
</cp:coreProperties>
</file>