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spacing w:before="0" w:after="240"/>
        <w:outlineLvl w:val="0"/>
        <w:rPr>
          <w:smallCaps/>
          <w:color w:val="000000"/>
          <w:u w:val="single"/>
        </w:rPr>
      </w:pPr>
      <w:r>
        <w:rPr>
          <w:smallCaps/>
          <w:color w:val="000000"/>
          <w:u w:val="single"/>
        </w:rPr>
        <w:t>RiskMetrics Group Product Subscription And License Agreement</w:t>
      </w:r>
    </w:p>
    <w:p>
      <w:pPr>
        <w:pStyle w:val="Heading"/>
        <w:numPr>
          <w:ilvl w:val="0"/>
          <w:numId w:val="0"/>
        </w:numPr>
        <w:spacing w:before="0" w:after="240"/>
        <w:outlineLvl w:val="0"/>
        <w:rPr>
          <w:smallCaps/>
          <w:color w:val="000000"/>
        </w:rPr>
      </w:pPr>
      <w:r>
        <w:rPr>
          <w:smallCaps/>
          <w:color w:val="000000"/>
        </w:rPr>
        <w:t>____________ __, 2001</w:t>
      </w:r>
    </w:p>
    <w:p>
      <w:pPr>
        <w:pStyle w:val="Heading"/>
        <w:numPr>
          <w:ilvl w:val="0"/>
          <w:numId w:val="0"/>
        </w:numPr>
        <w:spacing w:before="0" w:after="240"/>
        <w:outlineLvl w:val="0"/>
        <w:rPr>
          <w:b w:val="false"/>
          <w:bCs w:val="false"/>
          <w:smallCaps/>
          <w:color w:val="000000"/>
        </w:rPr>
      </w:pPr>
      <w:r>
        <w:rPr>
          <w:b w:val="false"/>
          <w:bCs w:val="false"/>
          <w:smallCaps/>
          <w:color w:val="000000"/>
        </w:rPr>
      </w:r>
    </w:p>
    <w:p>
      <w:pPr>
        <w:pStyle w:val="BodyText"/>
        <w:spacing w:before="0" w:after="480"/>
        <w:rPr/>
      </w:pPr>
      <w:r>
        <w:rPr/>
        <w:t>This agreement (“License Agreement”) is entered into between ____________ (the “Licensee”), having its principal place of business at ______________________ and RiskMetrics Group, Inc. (“RMG”), having its principal place of business at 44 Wall Street, New York, New York 10005, USA.</w:t>
      </w:r>
    </w:p>
    <w:p>
      <w:pPr>
        <w:pStyle w:val="Heading1"/>
        <w:ind w:hanging="0" w:start="0"/>
        <w:rPr/>
      </w:pPr>
      <w:r>
        <w:rPr/>
        <w:t>Product License; Subscriptions</w:t>
      </w:r>
    </w:p>
    <w:p>
      <w:pPr>
        <w:pStyle w:val="BodyText"/>
        <w:rPr/>
      </w:pPr>
      <w:r>
        <w:rPr/>
        <w:t>RMG hereby grants to the Licensee a nonexclusive, nontransferable (except as permitted herein) license (the “License”) for the RMG product</w:t>
      </w:r>
      <w:r>
        <w:rPr>
          <w:b/>
          <w:bCs/>
        </w:rPr>
        <w:t>[s]</w:t>
      </w:r>
      <w:r>
        <w:rPr/>
        <w:t xml:space="preserve"> set forth below (the “Product”), on the terms set forth below: </w:t>
      </w:r>
    </w:p>
    <w:tbl>
      <w:tblPr>
        <w:tblW w:w="8174" w:type="dxa"/>
        <w:jc w:val="start"/>
        <w:tblInd w:w="441" w:type="dxa"/>
        <w:tblLayout w:type="fixed"/>
        <w:tblCellMar>
          <w:top w:w="0" w:type="dxa"/>
          <w:start w:w="115" w:type="dxa"/>
          <w:bottom w:w="0" w:type="dxa"/>
          <w:end w:w="115" w:type="dxa"/>
        </w:tblCellMar>
      </w:tblPr>
      <w:tblGrid>
        <w:gridCol w:w="3814"/>
        <w:gridCol w:w="4360"/>
      </w:tblGrid>
      <w:tr>
        <w:trPr>
          <w:trHeight w:val="547" w:hRule="atLeast"/>
        </w:trPr>
        <w:tc>
          <w:tcPr>
            <w:tcW w:w="3814" w:type="dxa"/>
            <w:tcBorders>
              <w:top w:val="double" w:sz="6" w:space="0" w:color="000000"/>
              <w:start w:val="double" w:sz="6" w:space="0" w:color="000000"/>
              <w:bottom w:val="single" w:sz="6" w:space="0" w:color="000000"/>
              <w:end w:val="single" w:sz="6" w:space="0" w:color="000000"/>
            </w:tcBorders>
            <w:vAlign w:val="center"/>
          </w:tcPr>
          <w:p>
            <w:pPr>
              <w:pStyle w:val="Normal"/>
              <w:jc w:val="center"/>
              <w:rPr/>
            </w:pPr>
            <w:r>
              <w:rPr/>
              <w:t>Product</w:t>
            </w:r>
          </w:p>
        </w:tc>
        <w:tc>
          <w:tcPr>
            <w:tcW w:w="4360" w:type="dxa"/>
            <w:tcBorders>
              <w:top w:val="double" w:sz="6" w:space="0" w:color="000000"/>
              <w:start w:val="single" w:sz="6" w:space="0" w:color="000000"/>
              <w:bottom w:val="single" w:sz="6" w:space="0" w:color="000000"/>
              <w:end w:val="double" w:sz="6" w:space="0" w:color="000000"/>
            </w:tcBorders>
            <w:vAlign w:val="center"/>
          </w:tcPr>
          <w:p>
            <w:pPr>
              <w:pStyle w:val="Normal"/>
              <w:jc w:val="center"/>
              <w:rPr>
                <w:i/>
                <w:i/>
              </w:rPr>
            </w:pPr>
            <w:r>
              <w:rPr>
                <w:i/>
              </w:rPr>
              <w:t>Number of “License Subscriptions”</w:t>
            </w:r>
          </w:p>
        </w:tc>
      </w:tr>
      <w:tr>
        <w:trPr>
          <w:trHeight w:val="420" w:hRule="atLeast"/>
        </w:trPr>
        <w:tc>
          <w:tcPr>
            <w:tcW w:w="3814" w:type="dxa"/>
            <w:tcBorders>
              <w:top w:val="single" w:sz="6" w:space="0" w:color="000000"/>
              <w:start w:val="double" w:sz="6" w:space="0" w:color="000000"/>
              <w:bottom w:val="single" w:sz="6" w:space="0" w:color="000000"/>
              <w:end w:val="single" w:sz="6" w:space="0" w:color="000000"/>
            </w:tcBorders>
            <w:vAlign w:val="center"/>
          </w:tcPr>
          <w:p>
            <w:pPr>
              <w:pStyle w:val="Normal"/>
              <w:rPr>
                <w:b/>
              </w:rPr>
            </w:pPr>
            <w:r>
              <w:rPr>
                <w:b/>
              </w:rPr>
              <w:t>[RiskGrades, Credit Manager, Data]</w:t>
            </w:r>
          </w:p>
        </w:tc>
        <w:tc>
          <w:tcPr>
            <w:tcW w:w="4360" w:type="dxa"/>
            <w:tcBorders>
              <w:top w:val="single" w:sz="6" w:space="0" w:color="000000"/>
              <w:start w:val="single" w:sz="6" w:space="0" w:color="000000"/>
              <w:bottom w:val="single" w:sz="6" w:space="0" w:color="000000"/>
              <w:end w:val="double" w:sz="6" w:space="0" w:color="000000"/>
            </w:tcBorders>
            <w:vAlign w:val="center"/>
          </w:tcPr>
          <w:p>
            <w:pPr>
              <w:pStyle w:val="Normal"/>
              <w:jc w:val="center"/>
              <w:rPr>
                <w:b/>
              </w:rPr>
            </w:pPr>
            <w:r>
              <w:rPr>
                <w:b/>
              </w:rPr>
              <w:t>[Number of License Subscriptions]</w:t>
            </w:r>
          </w:p>
        </w:tc>
      </w:tr>
      <w:tr>
        <w:trPr>
          <w:trHeight w:val="420" w:hRule="atLeast"/>
        </w:trPr>
        <w:tc>
          <w:tcPr>
            <w:tcW w:w="3814" w:type="dxa"/>
            <w:tcBorders>
              <w:top w:val="single" w:sz="6" w:space="0" w:color="000000"/>
              <w:start w:val="double" w:sz="6" w:space="0" w:color="000000"/>
              <w:bottom w:val="double" w:sz="6" w:space="0" w:color="000000"/>
              <w:end w:val="single" w:sz="6" w:space="0" w:color="000000"/>
            </w:tcBorders>
            <w:vAlign w:val="center"/>
          </w:tcPr>
          <w:p>
            <w:pPr>
              <w:pStyle w:val="Normal"/>
              <w:snapToGrid w:val="false"/>
              <w:rPr>
                <w:b/>
                <w:color w:val="000000"/>
              </w:rPr>
            </w:pPr>
            <w:r>
              <w:rPr>
                <w:b/>
                <w:color w:val="000000"/>
              </w:rPr>
            </w:r>
          </w:p>
        </w:tc>
        <w:tc>
          <w:tcPr>
            <w:tcW w:w="4360" w:type="dxa"/>
            <w:tcBorders>
              <w:top w:val="single" w:sz="6" w:space="0" w:color="000000"/>
              <w:start w:val="single" w:sz="6" w:space="0" w:color="000000"/>
              <w:bottom w:val="double" w:sz="6" w:space="0" w:color="000000"/>
              <w:end w:val="double" w:sz="6" w:space="0" w:color="000000"/>
            </w:tcBorders>
            <w:vAlign w:val="center"/>
          </w:tcPr>
          <w:p>
            <w:pPr>
              <w:pStyle w:val="Normal"/>
              <w:snapToGrid w:val="false"/>
              <w:jc w:val="center"/>
              <w:rPr>
                <w:b/>
              </w:rPr>
            </w:pPr>
            <w:r>
              <w:rPr>
                <w:b/>
              </w:rPr>
            </w:r>
          </w:p>
        </w:tc>
      </w:tr>
    </w:tbl>
    <w:p>
      <w:pPr>
        <w:pStyle w:val="BodyText"/>
        <w:rPr/>
      </w:pPr>
      <w:r>
        <w:rPr/>
      </w:r>
    </w:p>
    <w:p>
      <w:pPr>
        <w:pStyle w:val="BodyText"/>
        <w:rPr/>
      </w:pPr>
      <w:r>
        <w:rPr/>
        <w:t>To the extent that the Product includes data, a list of the data modules being licensed under this License Agreement are set forth on Schedule A.</w:t>
      </w:r>
    </w:p>
    <w:p>
      <w:pPr>
        <w:pStyle w:val="Heading1"/>
        <w:tabs>
          <w:tab w:val="clear" w:pos="720"/>
          <w:tab w:val="left" w:pos="1100" w:leader="none"/>
        </w:tabs>
        <w:ind w:hanging="0" w:start="0"/>
        <w:rPr/>
      </w:pPr>
      <w:r>
        <w:rPr/>
        <w:t>Term; Termination</w:t>
      </w:r>
    </w:p>
    <w:p>
      <w:pPr>
        <w:pStyle w:val="BodyText"/>
        <w:rPr/>
      </w:pPr>
      <w:r>
        <w:rPr/>
        <w:t xml:space="preserve">The term (the “Term”) of this License Agreement shall commence on the date of this License Agreement and continue for </w:t>
      </w:r>
      <w:r>
        <w:rPr>
          <w:b/>
          <w:bCs/>
        </w:rPr>
        <w:t>[one year]</w:t>
      </w:r>
      <w:r>
        <w:rPr/>
        <w:t xml:space="preserve">.  The Term shall renew automatically for successive one-year terms on each anniversary of the date of this License Agreement unless either party notifies the other at least sixty days prior to the end of the applicable year of the Term.  Either party may terminate this License Agreement for a material breach by the other party of any obligation under this License Agreement that remains uncured for more than 15 days after written notice to the breaching party.  Upon termination, neither party shall have any obligation to the other party, except for the obligations under Section 10 (Confidentiality), Section 11 (Limitation of Liability), Section 12 (Equitable Relief) and the obligation of Licensee to pay any amounts due under Section 3 that remain unpaid as of the date of termination.  If this License Agreement is automatically renewed as set forth above and if RMG has, in the ordinary course of its business, increased the Subscription Fee (defined below), during the sixty day period prior to the commencement of any additional year of the Term, RMG shall notify Licensee of that increase and Licensee shall either accept or reject the new Subscription Fee for that additional year (in consultation with RMG). If the parties cannot reach agreement on the new Subscription Fee during that sixty day period, either party may terminate this License Agreement by notifying the other party at least five business days prior to the commencement of the additional year of the Term. </w:t>
      </w:r>
    </w:p>
    <w:p>
      <w:pPr>
        <w:pStyle w:val="Heading1"/>
        <w:ind w:hanging="0" w:start="0"/>
        <w:rPr/>
      </w:pPr>
      <w:r>
        <w:rPr/>
        <w:t>Subscription Fees</w:t>
      </w:r>
    </w:p>
    <w:p>
      <w:pPr>
        <w:pStyle w:val="Heading2"/>
        <w:ind w:hanging="0" w:start="0"/>
        <w:rPr/>
      </w:pPr>
      <w:r>
        <w:rPr/>
        <w:t xml:space="preserve">The annual “Subscription Fee” for the License of the Product shall be </w:t>
      </w:r>
      <w:r>
        <w:rPr>
          <w:b/>
          <w:bCs w:val="false"/>
        </w:rPr>
        <w:t>$____________</w:t>
      </w:r>
      <w:r>
        <w:rPr/>
        <w:t>.</w:t>
      </w:r>
    </w:p>
    <w:p>
      <w:pPr>
        <w:pStyle w:val="Normal"/>
        <w:rPr/>
      </w:pPr>
      <w:r>
        <w:rPr/>
        <w:tab/>
      </w:r>
      <w:r>
        <w:rPr>
          <w:b/>
          <w:bCs/>
        </w:rPr>
        <w:t>[Any service bureau arrangements? If so, please contact Helaine to add applicable provisions]</w:t>
      </w:r>
    </w:p>
    <w:p>
      <w:pPr>
        <w:pStyle w:val="Normal"/>
        <w:rPr>
          <w:b/>
          <w:bCs/>
        </w:rPr>
      </w:pPr>
      <w:r>
        <w:rPr>
          <w:b/>
          <w:bCs/>
        </w:rPr>
      </w:r>
    </w:p>
    <w:p>
      <w:pPr>
        <w:pStyle w:val="Heading2"/>
        <w:ind w:hanging="0" w:start="0"/>
        <w:rPr>
          <w:color w:val="000000"/>
        </w:rPr>
      </w:pPr>
      <w:r>
        <w:rPr/>
        <w:t>The Licensee may elect to purchase additional License Subscriptions for the Product under this License Agreement during the Term and in that case the fee for each additional License Subscription shall be $</w:t>
      </w:r>
      <w:r>
        <w:rPr>
          <w:b/>
          <w:bCs w:val="false"/>
        </w:rPr>
        <w:t>___________</w:t>
      </w:r>
      <w:r>
        <w:rPr/>
        <w:t xml:space="preserve"> (prorated for the number of months left in the Term, if applicable).</w:t>
      </w:r>
    </w:p>
    <w:p>
      <w:pPr>
        <w:pStyle w:val="Heading2"/>
        <w:ind w:hanging="0" w:start="0"/>
        <w:rPr>
          <w:color w:val="000000"/>
        </w:rPr>
      </w:pPr>
      <w:r>
        <w:rPr/>
        <w:t>The Subscription Fee for the first year of the Term shall be paid within thirty days after the date of this License Agreement.  If the Term is renewed pursuant to Section 2, the Subscription Fee for any additional year of the Term shall be paid within thirty days after the commencement date of that year.  All payments shall be made by check or wire transfer.</w:t>
      </w:r>
    </w:p>
    <w:p>
      <w:pPr>
        <w:pStyle w:val="Heading2"/>
        <w:ind w:hanging="0" w:start="0"/>
        <w:rPr>
          <w:color w:val="000000"/>
        </w:rPr>
      </w:pPr>
      <w:r>
        <w:rPr/>
        <w:t>At the Licensee’s option, additional RMG products may be added to this License Agreement during the Term for additional subscription fees (at RMG’s customary rates), which fees shall be adjusted on a pro-rata basis according to the number of days remaining in the Term.</w:t>
      </w:r>
    </w:p>
    <w:p>
      <w:pPr>
        <w:pStyle w:val="Heading1"/>
        <w:ind w:hanging="0" w:start="0"/>
        <w:rPr/>
      </w:pPr>
      <w:r>
        <w:rPr/>
        <w:t>Product Support</w:t>
      </w:r>
    </w:p>
    <w:p>
      <w:pPr>
        <w:pStyle w:val="BodyText"/>
        <w:rPr/>
      </w:pPr>
      <w:r>
        <w:rPr/>
        <w:t xml:space="preserve">All License Subscriptions include RMG’s customary support of the Product, Monday through Friday, 8:00 A.M. to 7:00 P.M. (EST, except for any national holidays), by telephone or email through dedicated RMG support channels during the Term.  Support includes, but is not limited to, questions concerning software installation, software use and operation, risk methodologies and techniques, risk data, and risk research and reasonable efforts to resolve problems.  Subject to the foregoing, at the sole discretion of RMG, support may also include on-site visits, software and methodology training, and/or other presentations or consultations (and in some cases RMG’s customary fees may be charged for such support, but only with Licensee’s prior written consent).  </w:t>
      </w:r>
    </w:p>
    <w:p>
      <w:pPr>
        <w:pStyle w:val="Heading1"/>
        <w:ind w:hanging="0" w:start="0"/>
        <w:rPr/>
      </w:pPr>
      <w:r>
        <w:rPr/>
        <w:t>Maintenance Releases and Product Upgrades</w:t>
      </w:r>
    </w:p>
    <w:p>
      <w:pPr>
        <w:pStyle w:val="Heading2"/>
        <w:ind w:hanging="0" w:start="0"/>
        <w:rPr/>
      </w:pPr>
      <w:r>
        <w:rPr/>
        <w:t>The licensed Product shall be the most current release of the Product, except that in the case of any data Product being licensed under this License Agreement, such data Product consists of periodic updates of data, as agreed between the parties.</w:t>
      </w:r>
    </w:p>
    <w:p>
      <w:pPr>
        <w:pStyle w:val="Heading2"/>
        <w:ind w:hanging="0" w:start="0"/>
        <w:rPr/>
      </w:pPr>
      <w:r>
        <w:rPr/>
        <w:t xml:space="preserve">All License Subscriptions under this License Agreement include general “Maintenance Releases” as well as “Product Upgrades” for the Product during the Term.  Maintenance Releases and Product Upgrades may include new software features, new methodologies, new instruments, new reports, new data, and new documentation, as well as patches for existing software versions and datasets.  RMG shall provide reasonable notice to Licensee prior to the release of any Maintenance Release or Product Upgrade.   Software modules, extensions, features, programs, methodologies and/or datasets released by RMG during the Term that are considered by RMG, in its sole discretion, to be new or separate “products” are not Maintenance Releases or Product Upgrades hereunder.  At the Licensee’s option, additional Licenses for these new products may be purchased for additional subscription fees (as provided in Section 3(d)). </w:t>
      </w:r>
    </w:p>
    <w:p>
      <w:pPr>
        <w:pStyle w:val="Heading1"/>
        <w:ind w:hanging="0" w:start="0"/>
        <w:rPr/>
      </w:pPr>
      <w:r>
        <w:rPr/>
        <w:t>Product Implementation</w:t>
      </w:r>
    </w:p>
    <w:p>
      <w:pPr>
        <w:pStyle w:val="BodyText"/>
        <w:rPr/>
      </w:pPr>
      <w:r>
        <w:rPr/>
        <w:t xml:space="preserve">The License granted under this License Agreement does not include the implementation or integration by RMG of the Product into the Licensee’s existing infrastructure.  However, RMG shall use commercially reasonable efforts to aid Licensee in its implementation and integration of the Product through the product support referred to in Section 4 above. </w:t>
      </w:r>
    </w:p>
    <w:p>
      <w:pPr>
        <w:pStyle w:val="Heading1"/>
        <w:ind w:hanging="0" w:start="0"/>
        <w:rPr/>
      </w:pPr>
      <w:r>
        <w:rPr/>
        <w:t>Product License Restrictions; Proprietary Rights</w:t>
      </w:r>
    </w:p>
    <w:p>
      <w:pPr>
        <w:pStyle w:val="BodyText3"/>
        <w:rPr>
          <w:bCs/>
        </w:rPr>
      </w:pPr>
      <w:r>
        <w:rPr>
          <w:bCs/>
        </w:rPr>
        <w:t>[NOTE: If this is a service bureau arrangement, please contact Helaine for appropriate changes to be made to this section. ALSO NOTE this section contemplates one SITE at Licensee’s address set forth on the first page of the agreement, so if the SITE is different, the language needs to be revised accordingly, please contact Helaine for this]]</w:t>
      </w:r>
    </w:p>
    <w:p>
      <w:pPr>
        <w:pStyle w:val="Normal"/>
        <w:rPr>
          <w:b/>
          <w:bCs/>
        </w:rPr>
      </w:pPr>
      <w:r>
        <w:rPr>
          <w:b/>
          <w:bCs/>
        </w:rPr>
      </w:r>
    </w:p>
    <w:p>
      <w:pPr>
        <w:pStyle w:val="Heading2"/>
        <w:ind w:hanging="0" w:start="0"/>
        <w:rPr/>
      </w:pPr>
      <w:r>
        <w:rPr/>
        <w:t xml:space="preserve">The License granted under this License Agreement is a license for the Product for use by the </w:t>
      </w:r>
      <w:r>
        <w:rPr>
          <w:b/>
          <w:bCs w:val="false"/>
        </w:rPr>
        <w:t>[1.</w:t>
      </w:r>
      <w:r>
        <w:rPr>
          <w:b/>
          <w:bCs w:val="false"/>
          <w:u w:val="single"/>
        </w:rPr>
        <w:t xml:space="preserve">           </w:t>
      </w:r>
      <w:r>
        <w:rPr>
          <w:b/>
          <w:bCs w:val="false"/>
        </w:rPr>
        <w:t xml:space="preserve"> [Group] [Department] of]</w:t>
      </w:r>
      <w:r>
        <w:rPr/>
        <w:t xml:space="preserve"> Licensee</w:t>
      </w:r>
      <w:r>
        <w:rPr>
          <w:b/>
          <w:bCs w:val="false"/>
        </w:rPr>
        <w:t>[2.</w:t>
      </w:r>
      <w:r>
        <w:rPr/>
        <w:t xml:space="preserve">, </w:t>
      </w:r>
      <w:r>
        <w:rPr>
          <w:b/>
          <w:bCs w:val="false"/>
        </w:rPr>
        <w:t xml:space="preserve">in the case of non-data Products being licensed under this License Agreement, if any, on [______] separate computer workstations (the “Workstations”) located at] </w:t>
      </w:r>
      <w:r>
        <w:rPr/>
        <w:t xml:space="preserve">Licensee’s address set forth above </w:t>
      </w:r>
      <w:r>
        <w:rPr>
          <w:b/>
          <w:bCs w:val="false"/>
        </w:rPr>
        <w:t>[3., and, in the case of data Products being licensed under this License Agreement, if any, at the address of Licensee set forth above,]</w:t>
      </w:r>
      <w:r>
        <w:rPr/>
        <w:t xml:space="preserve"> and may not be transferred or sub-licensed to any other person or entity, nor may it be used on any other computer workstations other than the Workstations (in the case of non-data Products) or at any other premises (in the case of data Products).  All License Subscriptions grant Licensee the right to use the Product to produce reports, charts, graphs, data, analyses, and other such results based on financial positions, assets, debts, cashflows, or obligations, held by, or directly related to, the general business ("Results") of the Licensee, including secondary analyses and reports derived from the Results and extends to the distribution of the Results by Licensee to Licensee's officers, employees, agents and accountants and other professional advisors (in connection with those accountants and other professional advisors performing services for Licensee).  Licensee may not copy (except as set forth below), translate, convert, decompile, disassemble, modify or change the Product or any portion thereof.  Licensee may not enter into any service, reporting or other agreement or arrangement with any party pursuant to which the Product is used to produce or distribute Results for that party.  Licensee may make one copy for back up purposes only.  In the case of data being licensed under this License Agreement, Licensee may download the data and use it for its internal purposes, subject to the other restrictions contained in this section 7(a)</w:t>
      </w:r>
      <w:r>
        <w:rPr>
          <w:b/>
          <w:bCs w:val="false"/>
        </w:rPr>
        <w:t>[, except, in the case of data being provided for use with the RiskManager software Product, which may not be downloaded and used for any purposes, other than in connection with the RiskManager software application]</w:t>
      </w:r>
      <w:r>
        <w:rPr/>
        <w:t>.</w:t>
      </w:r>
    </w:p>
    <w:p>
      <w:pPr>
        <w:pStyle w:val="Heading2"/>
        <w:ind w:hanging="0" w:start="0"/>
        <w:rPr/>
      </w:pPr>
      <w:r>
        <w:rPr/>
        <w:t xml:space="preserve">Licensee acknowledges that the Product, including any data Product, is the property of RMG or has been licensed to RMG by a third party, title and full ownership rights of the Product are reserved to RMG or such third party, and, except for the License to the Product granted under this License Agreement, Licensee does not obtain any proprietary rights to the Product.  </w:t>
      </w:r>
    </w:p>
    <w:p>
      <w:pPr>
        <w:pStyle w:val="Heading2"/>
        <w:ind w:hanging="0" w:start="0"/>
        <w:rPr/>
      </w:pPr>
      <w:r>
        <w:rPr/>
        <w:t>Upon any termination of this agreement, Licensee shall either return or destroy all copies of the Product that are in Licensee’s possession and, in the case of any data Product, Licensee understands that Licensee’s right to use any of the data received under this License Agreement has terminated and Licensee shall permanently delete such data from Licensee’s computer systems and databases.</w:t>
      </w:r>
    </w:p>
    <w:p>
      <w:pPr>
        <w:pStyle w:val="Heading1"/>
        <w:ind w:hanging="0" w:start="0"/>
        <w:rPr/>
      </w:pPr>
      <w:r>
        <w:rPr/>
        <w:t>Force Majeure; Interruptions</w:t>
      </w:r>
    </w:p>
    <w:p>
      <w:pPr>
        <w:pStyle w:val="BodyText"/>
        <w:rPr/>
      </w:pPr>
      <w:r>
        <w:rPr/>
        <w:t xml:space="preserve">Neither party shall be liable hereunder by reason of any failure or delay in the performance of its obligations hereunder (except for the payment of money) on account of strikes, shortages, riots, insurrection, fires, flood, storm, explosions, earthquakes, acts of God, war, governmental action, or any other cause which is beyond the reasonable control of such party (each a “Force Majeure Event”).  Interruptions in Internet service or telephone service (including due to a virus, electrical delivery problem or similar occurrence) that affect Internet users generally, or in the local area in which RMG is located, shall each be a Force Majeure Event for purposes of this License Agreement.  Each party will use its reasonable best efforts to notify the other party of the occurrence of a Force Majeure Event within three business days of such occurrence. </w:t>
      </w:r>
    </w:p>
    <w:p>
      <w:pPr>
        <w:pStyle w:val="Heading1"/>
        <w:ind w:hanging="0" w:start="0"/>
        <w:rPr/>
      </w:pPr>
      <w:r>
        <w:rPr/>
        <w:t>Indemnity</w:t>
      </w:r>
    </w:p>
    <w:p>
      <w:pPr>
        <w:pStyle w:val="BodyText"/>
        <w:rPr/>
      </w:pPr>
      <w:r>
        <w:rPr/>
        <w:t xml:space="preserve">Each party will defend, indemnify, save and hold harmless the other party, the other party’s affiliates, and their officers, directors, agents, and employees from any and all third-party claims, demands, liabilities, costs or expenses, including reasonable attorneys’ fees (“Liabilities”), resulting from the indemnifying party’s breach of any material duty contained in this License Agreement or from any third party claim of infringement of that third party’s intellectual property (including, but not limited to, trademark, copyright or patent), except there shall be no obligation to indemnify, defend, save and hold harmless where Liabilities result from the gross negligence or willful misconduct of the other party.  Each party agrees to (i) promptly notify the other party in writing of any indemnifiable claim; (ii) give the other party the opportunity to defend or negotiate a settlement of any such claim at such other party’s expense; and (iii) cooperate fully with the other party. </w:t>
      </w:r>
    </w:p>
    <w:p>
      <w:pPr>
        <w:pStyle w:val="Heading1"/>
        <w:ind w:hanging="0" w:start="0"/>
        <w:rPr/>
      </w:pPr>
      <w:r>
        <w:rPr/>
        <w:t>Confidentiality</w:t>
      </w:r>
    </w:p>
    <w:p>
      <w:pPr>
        <w:pStyle w:val="Heading2"/>
        <w:ind w:hanging="0" w:start="0"/>
        <w:rPr>
          <w:sz w:val="22"/>
        </w:rPr>
      </w:pPr>
      <w:r>
        <w:rPr/>
        <w:t>Each party acknowledges and agrees that any and all information relating to the other party’s business and not publicly known including, without limitation, the contents of this License Agreement, except as provided in Section 13(h), technical processes and formulas, source codes, names, address and information about users and advertisers, product designs, sales, costs and other unpublished financial information, product and business plans, and marketing data is confidential and proprietary information (“Confidential Information”).  Each party agrees that it shall take reasonable steps, at least substantially equivalent to the steps as it takes to protect its own Confidential Information, during the Term, and thereafter, to prevent the duplication or disclosure of any such Confidential Information, other than by or to its employees, consultants or agents who must have access to such Confidential Information to perform such party’s obligations hereunder, who shall each treat such Confidential Information as provided herein, and as may be required by either of the parties for public or private financing, provided that the owner of such Confidential Information is given sufficient prior notice to take whatever steps it deems necessary to protect the confidential nature of its information.  To the extent that such information is (i) publicly known, already known by, or in the possession of the non-disclosing party; is independently developed by the non-disclosing party without use or reference to the other party’s Confidential Information; is thereafter rightly obtained by the non-disclosing party from a source other than the disclosing party; or (ii) is required to be disclosed by law, regulation, or court order, provided that sufficient prior notice is given to the disclosing party, the parties take whatever steps are necessary to protect the confidential nature of the Confidential Information at the expense of the disclosing party and the party who is required by law, regulation or court order to disclose the other party’s Confidential Information, discloses only that portion of the information that is required by law, regulation or court order, then, in the case of clause (i), there shall be no restriction of the use of such information and, in the case of clause (ii), such disclosure shall not be considered a breach of this License Agreement.</w:t>
      </w:r>
      <w:r>
        <w:rPr>
          <w:sz w:val="22"/>
        </w:rPr>
        <w:t xml:space="preserve"> </w:t>
      </w:r>
    </w:p>
    <w:p>
      <w:pPr>
        <w:pStyle w:val="Heading2"/>
        <w:ind w:hanging="0" w:start="0"/>
        <w:rPr/>
      </w:pPr>
      <w:r>
        <w:rPr/>
        <w:t xml:space="preserve">Upon any termination of this License Agreement, each party agrees to delete, destroy or return any and all Confidential Information (except copies of this License Agreement to the extent that it is Confidential Information hereunder) to the other party. </w:t>
      </w:r>
    </w:p>
    <w:p>
      <w:pPr>
        <w:pStyle w:val="Heading1"/>
        <w:ind w:hanging="0" w:start="0"/>
        <w:rPr/>
      </w:pPr>
      <w:r>
        <w:rPr/>
        <w:t>Limitation of Liability and Disclaimer</w:t>
      </w:r>
    </w:p>
    <w:p>
      <w:pPr>
        <w:pStyle w:val="Heading2"/>
        <w:ind w:hanging="0" w:start="0"/>
        <w:rPr/>
      </w:pPr>
      <w:r>
        <w:rPr>
          <w:b/>
          <w:bCs w:val="false"/>
        </w:rPr>
        <w:t>LIABILITY</w:t>
      </w:r>
      <w:r>
        <w:rPr/>
        <w:t>. EXCEPT FOR THE INDEMNIFICATION OBLIGATIONS SPECIFICALLY SET FORTH IN SECTION 9 OF THIS LICENSE AGREEMENT RESPECTING INFRINGEMENT CLAIMS OR THE OBLIGATION TO PAY MONEY UNDER THIS LICENSE AGREEMENT, NEITHER PARTY SHALL BE LIABLE TO THE OTHER PARTY FOR DIRECT DAMAGES IN EXCESS OF THE AGGREGATE SUBSCRIPTION FEE PAID TO RMG UNDER THIS AGREEMENT OR ANY INDIRECT, INCIDENTAL, CONSEQUENTIAL, SPECIAL, PUNITIVE OR EXEMPLARY DAMAGES (EVEN IF THAT PARTY HAS BEEN ADVISED OF THE POSSIBILITY OF SUCH DAMAGES) ARISING FROM THIS SUBSCRIPTION AGREEMENT, SUCH AS, BUT NOT LIMITED TO, LOSS OF REVENUE OR ANTICIPATED PROFITS OR LOST BUSINESS.</w:t>
      </w:r>
    </w:p>
    <w:p>
      <w:pPr>
        <w:pStyle w:val="Heading2"/>
        <w:ind w:hanging="0" w:start="0"/>
        <w:rPr/>
      </w:pPr>
      <w:r>
        <w:rPr>
          <w:b/>
          <w:bCs w:val="false"/>
        </w:rPr>
        <w:t>NO WARRANTIES</w:t>
      </w:r>
      <w:r>
        <w:rPr/>
        <w:t>. THE PRODUCT IS PROVIDED BY RMG “AS IS”, ALL EXPRESSED OR IMPLIED WARRANTIES AND REPRESENTATIONS OF ANY KIND WITH RESPECT TO THE PRODUCT ARE HEREBY DISCLAIMED, INCLUDING, BUT NOT LIMITED TO,  (A) WARRANTIES AS TO MERCHANTABILITY OR USE FOR A PARTICULAR PURPOSE (INCLUDING INVESTMENT DECISIONS), WHETHER OR NOT RMG KNOWS OR HAS REASON TO KNOW OR HAS BEEN ADVISED OF ANY SUCH PURPOSE, (B) WARRANTIES AS TO ANY RESULTS TO BE OBTAINED FROM ANY USE OF THE PRODUCT OR INFORMATION DERIVED FROM THE PRODUCT OR (C) ANY REPRESENTATION OR WARRANTY THAT THE PRODUCT IS IN ANY WAY GUIDANCE FOR ANY INVESTOR OR INVESTORS IN GENERAL TO DETERMININE THE SUITABILITY OR DESIRABILITY OF THE INVESTMENT IN A PARTICULAR SECURITY, OR SECURITIES IN GENERAL.  To the extent that any implied warranties cannot be disclaimed under applicable law, any such implied warranties are limited in duration to thirty days from the delivery date.  RMG does not guarantee the sequence, timeliness, accuracy or completeness of the Product or any other RMG products.  All Product results are calculated on the basis of historical observations and should not be relied upon to predict future market movements.  In no event shall RMG or any of its data contributors have any liability for any losses (whether direct or indirect, in contract, tort or otherwise) arising from any decision made or action taken by any party in reliance upon the Product, or for any delays, inaccuracies, errors in, or omissions of the Product.</w:t>
      </w:r>
    </w:p>
    <w:p>
      <w:pPr>
        <w:pStyle w:val="Heading1"/>
        <w:ind w:hanging="0" w:start="0"/>
        <w:rPr/>
      </w:pPr>
      <w:r>
        <w:rPr/>
        <w:t>Equitable Relief</w:t>
      </w:r>
    </w:p>
    <w:p>
      <w:pPr>
        <w:pStyle w:val="BodyText"/>
        <w:rPr/>
      </w:pPr>
      <w:r>
        <w:rPr/>
        <w:t>The parties acknowledge that in the event of any breach of RMG’s intellectual property rights provided in this License Agreement or of the confidentiality provisions set forth in Section 10, RMG (or, Licensee, in the case of a breach of the confidentiality provisions) may not have an adequate remedy at law.  Consequently, the parties agree that each party shall be entitled to seek the remedies of temporary and permanent injunction, specific performance or any other form of equitable relief without the necessity of proving actual damages.  This provision shall not, however, be construed as a waiver of any rights or defenses that RMG or Licensee may have for damages, or any other remedies to which RMG (or Licensee) may be entitled.</w:t>
      </w:r>
    </w:p>
    <w:p>
      <w:pPr>
        <w:pStyle w:val="Heading1"/>
        <w:ind w:hanging="0" w:start="0"/>
        <w:rPr/>
      </w:pPr>
      <w:r>
        <w:rPr/>
        <w:t>Miscellaneous</w:t>
      </w:r>
    </w:p>
    <w:p>
      <w:pPr>
        <w:pStyle w:val="Heading2"/>
        <w:ind w:hanging="0" w:start="0"/>
        <w:rPr/>
      </w:pPr>
      <w:r>
        <w:rPr>
          <w:b/>
        </w:rPr>
        <w:t>Notices</w:t>
      </w:r>
      <w:r>
        <w:rPr/>
        <w:t>.  All notices, demands, requests, or other communications which may be given by any party to the other pursuant to this License Agreement shall be in writing and shall be sent by certified or registered mail, return receipt requested, by Federal Express or similar service that records delivery, or by facsimile transmission combined with any of the foregoing methods of notice, to the addresses set forth below, or to such other address as the parties may designate, from time to time, by written notice to the other:</w:t>
      </w:r>
    </w:p>
    <w:p>
      <w:pPr>
        <w:pStyle w:val="Notices"/>
        <w:rPr/>
      </w:pPr>
      <w:r>
        <w:rPr/>
        <w:t>If to RMG to:</w:t>
        <w:tab/>
        <w:t>RiskMetrics Group, Inc.</w:t>
        <w:br/>
        <w:t>44 Wall Street</w:t>
        <w:br/>
        <w:t>New York, New York 10005</w:t>
        <w:br/>
        <w:t>Attn: Ethan Berman</w:t>
        <w:br/>
        <w:t>Fax: 212-981-7401</w:t>
        <w:br/>
        <w:t xml:space="preserve">E-mail: </w:t>
      </w:r>
      <w:hyperlink r:id="rId2">
        <w:r>
          <w:rPr>
            <w:rStyle w:val="Hyperlink"/>
          </w:rPr>
          <w:t>Ethan.Berman@Riskmetrics.com</w:t>
        </w:r>
      </w:hyperlink>
    </w:p>
    <w:p>
      <w:pPr>
        <w:pStyle w:val="Notices"/>
        <w:rPr/>
      </w:pPr>
      <w:r>
        <w:rPr/>
        <w:tab/>
        <w:t>With a copy to:</w:t>
      </w:r>
    </w:p>
    <w:p>
      <w:pPr>
        <w:pStyle w:val="Notices"/>
        <w:rPr>
          <w:sz w:val="22"/>
        </w:rPr>
      </w:pPr>
      <w:r>
        <w:rPr/>
        <w:tab/>
        <w:t>General Counsel, at the address set forth above.</w:t>
      </w:r>
    </w:p>
    <w:p>
      <w:pPr>
        <w:pStyle w:val="Notices"/>
        <w:rPr>
          <w:sz w:val="22"/>
        </w:rPr>
      </w:pPr>
      <w:r>
        <w:rPr/>
        <w:t>If to Licensee to:</w:t>
        <w:tab/>
      </w:r>
      <w:r>
        <w:rPr>
          <w:b/>
          <w:bCs/>
        </w:rPr>
        <w:t>[Licensee Address]</w:t>
      </w:r>
      <w:r>
        <w:rPr/>
        <w:br/>
        <w:t xml:space="preserve">Attn: </w:t>
        <w:br/>
        <w:t xml:space="preserve">Fax: </w:t>
        <w:br/>
        <w:t xml:space="preserve">E-mail: </w:t>
      </w:r>
    </w:p>
    <w:p>
      <w:pPr>
        <w:pStyle w:val="Normal"/>
        <w:ind w:firstLine="4320" w:end="0"/>
        <w:jc w:val="both"/>
        <w:rPr>
          <w:color w:val="000000"/>
          <w:sz w:val="22"/>
        </w:rPr>
      </w:pPr>
      <w:r>
        <w:rPr>
          <w:color w:val="000000"/>
          <w:sz w:val="22"/>
        </w:rPr>
      </w:r>
    </w:p>
    <w:p>
      <w:pPr>
        <w:pStyle w:val="Heading2"/>
        <w:ind w:hanging="0" w:start="0"/>
        <w:rPr/>
      </w:pPr>
      <w:r>
        <w:rPr>
          <w:b/>
          <w:bCs w:val="false"/>
        </w:rPr>
        <w:t>Choice of Law</w:t>
      </w:r>
      <w:r>
        <w:rPr/>
        <w:t>.  This License Agreement shall be governed by the laws of the State of New York, excluding its conflict of law principles.  Each of the parties hereby submits to the non-exclusive jurisdiction of any federal or state court in New York County for purposes of all legal proceedings arising out of or relating to this License Agreement.  Each of the parties irrevocably waives, to the fullest extent permitted by applicable law, any objection which it may now or hereafter have to the laying of venue of any such proceeding brought in such a court and any claim that any such proceeding brought in such a court has been brought in an inconvenient forum.</w:t>
      </w:r>
    </w:p>
    <w:p>
      <w:pPr>
        <w:pStyle w:val="Heading2"/>
        <w:ind w:hanging="0" w:start="0"/>
        <w:rPr/>
      </w:pPr>
      <w:r>
        <w:rPr>
          <w:b/>
          <w:bCs w:val="false"/>
        </w:rPr>
        <w:t>Relationship of Parties</w:t>
      </w:r>
      <w:r>
        <w:rPr/>
        <w:t xml:space="preserve">.  Neither this License Agreement, nor any terms and conditions contained herein shall be construed as creating or constituting a partnership, joint venture or agency relationship between the parties.  Neither party shall have the power to bind the other or enter into obligations on the other’s behalf without the other’s prior written consent. </w:t>
      </w:r>
    </w:p>
    <w:p>
      <w:pPr>
        <w:pStyle w:val="Heading2"/>
        <w:ind w:hanging="0" w:start="0"/>
        <w:rPr/>
      </w:pPr>
      <w:r>
        <w:rPr>
          <w:b/>
          <w:bCs w:val="false"/>
        </w:rPr>
        <w:t>Assignment.</w:t>
      </w:r>
      <w:r>
        <w:rPr/>
        <w:t xml:space="preserve">  Neither this License Agreement, nor either party’s rights or obligations hereunder shall be assigned or transferred by either party without the prior written consent of the other party.  Notwithstanding the foregoing, no consent shall be necessary in the event of an assignment to a successor or other transferee resulting from a merger, acquisition, consolidation or sale of substantially all assets by either party or assignment to an entity under common control with, controlled by or in control of either party so long as notice is promptly given and such successor or transferee, in the case of a transfer by Licensee, is not a material, direct competitor of RMG.  </w:t>
      </w:r>
    </w:p>
    <w:p>
      <w:pPr>
        <w:pStyle w:val="Heading2"/>
        <w:ind w:hanging="0" w:start="0"/>
        <w:rPr/>
      </w:pPr>
      <w:r>
        <w:rPr>
          <w:b/>
          <w:bCs w:val="false"/>
        </w:rPr>
        <w:t>Taxes</w:t>
      </w:r>
      <w:r>
        <w:rPr/>
        <w:t xml:space="preserve">. </w:t>
      </w:r>
      <w:r>
        <w:rPr>
          <w:b/>
          <w:bCs w:val="false"/>
        </w:rPr>
        <w:t xml:space="preserve"> </w:t>
      </w:r>
      <w:r>
        <w:rPr/>
        <w:t xml:space="preserve">Licensee shall reimburse RMG for, or shall pay directly to the relevant taxing authorities, any sales, use, value-added, excise or other taxes, other than taxes based on RMG’s income, incurred by RMG or which may in the future be incurred by RMG as a result of this License Agreement or on or measured by the prices and other charges of the Product or its use, however designated, levied or based, whenever RMG has paid or shall be liable to pay and/or collect the tax from Licensee pursuant to applicable law, as interpreted by the departmental authorities of the taxing unit.  </w:t>
      </w:r>
    </w:p>
    <w:p>
      <w:pPr>
        <w:pStyle w:val="Heading2"/>
        <w:ind w:hanging="0" w:start="0"/>
        <w:rPr/>
      </w:pPr>
      <w:r>
        <w:rPr>
          <w:b/>
          <w:bCs w:val="false"/>
        </w:rPr>
        <w:t>Entire Agreement</w:t>
      </w:r>
      <w:r>
        <w:rPr/>
        <w:t>.  This License Agreement constitutes the entire agreement and understanding between the parties hereto and supersedes any and all prior agreements and understandings, oral or written, relating to the subject matter hereof.</w:t>
      </w:r>
    </w:p>
    <w:p>
      <w:pPr>
        <w:pStyle w:val="Heading2"/>
        <w:ind w:hanging="0" w:start="0"/>
        <w:rPr/>
      </w:pPr>
      <w:r>
        <w:rPr>
          <w:b/>
          <w:bCs w:val="false"/>
        </w:rPr>
        <w:t>Severability</w:t>
      </w:r>
      <w:r>
        <w:rPr/>
        <w:t>.  In the event any of the terms or provisions of this License Agreement shall be held to be unenforceable, the remaining terms and provisions shall be unimpaired and the unenforceable term or provision shall be replaced by such enforceable term or provision as comes closest to the intention underlying the unenforceable term or provision.</w:t>
      </w:r>
    </w:p>
    <w:p>
      <w:pPr>
        <w:pStyle w:val="Heading2"/>
        <w:ind w:hanging="0" w:start="0"/>
        <w:rPr>
          <w:b/>
          <w:bCs w:val="false"/>
        </w:rPr>
      </w:pPr>
      <w:r>
        <w:rPr>
          <w:b/>
          <w:bCs w:val="false"/>
        </w:rPr>
        <w:t>Publicity; Marketing Materials</w:t>
      </w:r>
      <w:r>
        <w:rPr/>
        <w:t xml:space="preserve">.  RMG may refer to Licensee in a representative list of clients and otherwise, but only to indicate that Licensee is a client of RMG for the Product.  Except as provided in the preceding sentence, neither party shall use the other party’s name, the name of the other party’s products, or the name of the other party’s customers in any marketing, advertising or other publicity without the other party’s written consent, which shall not be unreasonably withheld. Promptly after the date of this agreement, the parties shall determine whether to issue a joint press release and shall mutually agree upon the content and timing of any such press release. </w:t>
      </w:r>
      <w:r>
        <w:rPr>
          <w:b/>
          <w:bCs w:val="false"/>
        </w:rPr>
        <w:t xml:space="preserve"> </w:t>
        <w:tab/>
      </w:r>
    </w:p>
    <w:p>
      <w:pPr>
        <w:pStyle w:val="Heading2"/>
        <w:numPr>
          <w:ilvl w:val="0"/>
          <w:numId w:val="0"/>
        </w:numPr>
        <w:ind w:firstLine="1080" w:start="0" w:end="0"/>
        <w:rPr/>
      </w:pPr>
      <w:r>
        <w:rPr>
          <w:bCs w:val="false"/>
        </w:rPr>
        <w:t>[(i)</w:t>
      </w:r>
      <w:r>
        <w:rPr>
          <w:b/>
        </w:rPr>
        <w:t xml:space="preserve">Audit Rights. </w:t>
      </w:r>
      <w:r>
        <w:rPr/>
        <w:t xml:space="preserve">RMG shall have the right, no more than once in any 12 month period during the Term, to, or to direct its agents or professional advisors to, visit Licensee’s premises at reasonable times and after at least 10 days prior notice to Licensee, for the purpose of confirming that the use of the Product by Licensee , or the payment of the Client Fee, conforms to the terms and conditions of this License Agreement. Licensee shall maintain reasonably detailed records sufficient to permit RMG to conduct an audit under this Section 12(i).] </w:t>
      </w:r>
      <w:r>
        <w:rPr>
          <w:b/>
          <w:bCs w:val="false"/>
        </w:rPr>
        <w:t>[For service bureau arrangements only]</w:t>
      </w:r>
    </w:p>
    <w:p>
      <w:pPr>
        <w:pStyle w:val="Normal"/>
        <w:ind w:start="1080" w:end="0"/>
        <w:rPr>
          <w:b/>
          <w:bCs/>
        </w:rPr>
      </w:pPr>
      <w:r>
        <w:rPr>
          <w:b/>
          <w:bCs/>
        </w:rPr>
      </w:r>
    </w:p>
    <w:p>
      <w:pPr>
        <w:pStyle w:val="BodyText"/>
        <w:ind w:hanging="0" w:end="0"/>
        <w:rPr>
          <w:color w:val="000000"/>
        </w:rPr>
      </w:pPr>
      <w:r>
        <w:rPr/>
        <w:t>The following signatures signify acceptance of this License Agreement by RMG and Licensee.</w:t>
      </w:r>
    </w:p>
    <w:p>
      <w:pPr>
        <w:pStyle w:val="Normal"/>
        <w:keepNext w:val="true"/>
        <w:rPr>
          <w:color w:val="000000"/>
        </w:rPr>
      </w:pPr>
      <w:r>
        <w:rPr>
          <w:color w:val="000000"/>
        </w:rPr>
      </w:r>
    </w:p>
    <w:p>
      <w:pPr>
        <w:pStyle w:val="Signature"/>
        <w:tabs>
          <w:tab w:val="left" w:pos="1000" w:leader="none"/>
          <w:tab w:val="right" w:pos="5040" w:leader="underscore"/>
        </w:tabs>
        <w:rPr/>
      </w:pPr>
      <w:r>
        <w:rPr/>
        <w:t>RISKMETRICS GROUP, INC.</w:t>
      </w:r>
    </w:p>
    <w:p>
      <w:pPr>
        <w:pStyle w:val="Signature"/>
        <w:tabs>
          <w:tab w:val="left" w:pos="900" w:leader="none"/>
          <w:tab w:val="right" w:pos="5040" w:leader="underscore"/>
        </w:tabs>
        <w:rPr/>
      </w:pPr>
      <w:r>
        <w:rPr/>
      </w:r>
    </w:p>
    <w:p>
      <w:pPr>
        <w:pStyle w:val="Signature"/>
        <w:tabs>
          <w:tab w:val="left" w:pos="900" w:leader="none"/>
          <w:tab w:val="right" w:pos="5040" w:leader="underscore"/>
        </w:tabs>
        <w:rPr/>
      </w:pPr>
      <w:r>
        <w:rPr/>
      </w:r>
    </w:p>
    <w:p>
      <w:pPr>
        <w:pStyle w:val="Signature"/>
        <w:tabs>
          <w:tab w:val="left" w:pos="900" w:leader="none"/>
          <w:tab w:val="right" w:pos="5040" w:leader="underscore"/>
        </w:tabs>
        <w:rPr/>
      </w:pPr>
      <w:r>
        <w:rPr/>
        <w:t>By:</w:t>
        <w:tab/>
        <w:tab/>
      </w:r>
    </w:p>
    <w:p>
      <w:pPr>
        <w:pStyle w:val="Signature"/>
        <w:tabs>
          <w:tab w:val="left" w:pos="900" w:leader="none"/>
          <w:tab w:val="right" w:pos="5040" w:leader="underscore"/>
        </w:tabs>
        <w:ind w:start="1000" w:end="0"/>
        <w:rPr>
          <w:bCs/>
        </w:rPr>
      </w:pPr>
      <w:r>
        <w:rPr>
          <w:bCs/>
        </w:rPr>
        <w:t>Stephen Harvey</w:t>
      </w:r>
    </w:p>
    <w:p>
      <w:pPr>
        <w:pStyle w:val="Signature"/>
        <w:tabs>
          <w:tab w:val="left" w:pos="900" w:leader="none"/>
          <w:tab w:val="right" w:pos="5040" w:leader="underscore"/>
        </w:tabs>
        <w:ind w:start="1000" w:end="0"/>
        <w:rPr/>
      </w:pPr>
      <w:r>
        <w:rPr/>
        <w:t>Director of Sales</w:t>
      </w:r>
    </w:p>
    <w:p>
      <w:pPr>
        <w:pStyle w:val="Signature"/>
        <w:tabs>
          <w:tab w:val="left" w:pos="900" w:leader="none"/>
          <w:tab w:val="right" w:pos="5040" w:leader="underscore"/>
        </w:tabs>
        <w:rPr/>
      </w:pPr>
      <w:r>
        <w:rPr/>
      </w:r>
    </w:p>
    <w:p>
      <w:pPr>
        <w:pStyle w:val="Signature"/>
        <w:tabs>
          <w:tab w:val="left" w:pos="900" w:leader="none"/>
          <w:tab w:val="right" w:pos="5040" w:leader="underscore"/>
        </w:tabs>
        <w:rPr/>
      </w:pPr>
      <w:r>
        <w:rPr/>
      </w:r>
    </w:p>
    <w:p>
      <w:pPr>
        <w:pStyle w:val="Signature"/>
        <w:tabs>
          <w:tab w:val="left" w:pos="900" w:leader="none"/>
          <w:tab w:val="right" w:pos="5040" w:leader="underscore"/>
        </w:tabs>
        <w:rPr>
          <w:b/>
          <w:bCs/>
        </w:rPr>
      </w:pPr>
      <w:r>
        <w:rPr>
          <w:b/>
          <w:bCs/>
        </w:rPr>
        <w:t>[Name of Licensee]</w:t>
      </w:r>
    </w:p>
    <w:p>
      <w:pPr>
        <w:pStyle w:val="Signature"/>
        <w:tabs>
          <w:tab w:val="left" w:pos="900" w:leader="none"/>
          <w:tab w:val="right" w:pos="5040" w:leader="underscore"/>
        </w:tabs>
        <w:rPr>
          <w:b/>
          <w:bCs/>
        </w:rPr>
      </w:pPr>
      <w:r>
        <w:rPr>
          <w:b/>
          <w:bCs/>
        </w:rPr>
      </w:r>
    </w:p>
    <w:p>
      <w:pPr>
        <w:pStyle w:val="Signature"/>
        <w:tabs>
          <w:tab w:val="left" w:pos="900" w:leader="none"/>
          <w:tab w:val="right" w:pos="5040" w:leader="underscore"/>
        </w:tabs>
        <w:rPr/>
      </w:pPr>
      <w:r>
        <w:rPr/>
        <w:t>By:</w:t>
        <w:tab/>
        <w:tab/>
      </w:r>
    </w:p>
    <w:p>
      <w:pPr>
        <w:pStyle w:val="Signature"/>
        <w:tabs>
          <w:tab w:val="left" w:pos="900" w:leader="none"/>
          <w:tab w:val="right" w:pos="5040" w:leader="underscore"/>
        </w:tabs>
        <w:ind w:start="1000" w:end="0"/>
        <w:rPr>
          <w:bCs/>
        </w:rPr>
      </w:pPr>
      <w:r>
        <w:rPr>
          <w:bCs/>
        </w:rPr>
        <w:t>Name:</w:t>
      </w:r>
    </w:p>
    <w:p>
      <w:pPr>
        <w:pStyle w:val="Signature"/>
        <w:tabs>
          <w:tab w:val="left" w:pos="900" w:leader="none"/>
          <w:tab w:val="right" w:pos="5040" w:leader="underscore"/>
        </w:tabs>
        <w:ind w:start="1000" w:end="0"/>
        <w:rPr/>
      </w:pPr>
      <w:r>
        <w:rPr/>
        <w:t>Title:</w:t>
      </w:r>
      <w:r>
        <w:br w:type="page"/>
      </w:r>
    </w:p>
    <w:p>
      <w:pPr>
        <w:pStyle w:val="Signature"/>
        <w:tabs>
          <w:tab w:val="left" w:pos="1000" w:leader="none"/>
          <w:tab w:val="right" w:pos="5040" w:leader="underscore"/>
        </w:tabs>
        <w:rPr>
          <w:b/>
        </w:rPr>
      </w:pPr>
      <w:r>
        <w:rPr>
          <w:b/>
        </w:rPr>
      </w:r>
    </w:p>
    <w:p>
      <w:pPr>
        <w:pStyle w:val="Signature"/>
        <w:tabs>
          <w:tab w:val="left" w:pos="1000" w:leader="none"/>
          <w:tab w:val="right" w:pos="5040" w:leader="underscore"/>
        </w:tabs>
        <w:jc w:val="center"/>
        <w:rPr>
          <w:b/>
        </w:rPr>
      </w:pPr>
      <w:r>
        <w:rPr>
          <w:b/>
        </w:rPr>
        <w:t>SCHEDULE A</w:t>
      </w:r>
    </w:p>
    <w:p>
      <w:pPr>
        <w:pStyle w:val="Signature"/>
        <w:tabs>
          <w:tab w:val="left" w:pos="1000" w:leader="none"/>
          <w:tab w:val="right" w:pos="5040" w:leader="underscore"/>
        </w:tabs>
        <w:jc w:val="center"/>
        <w:rPr>
          <w:b/>
        </w:rPr>
      </w:pPr>
      <w:r>
        <w:rPr>
          <w:b/>
        </w:rPr>
        <w:t>DATA MODULES BEING LICENSED, IF ANY</w:t>
      </w:r>
    </w:p>
    <w:p>
      <w:pPr>
        <w:pStyle w:val="Signature"/>
        <w:tabs>
          <w:tab w:val="left" w:pos="1000" w:leader="none"/>
          <w:tab w:val="right" w:pos="5040" w:leader="underscore"/>
        </w:tabs>
        <w:jc w:val="center"/>
        <w:rPr>
          <w:b/>
        </w:rPr>
      </w:pPr>
      <w:r>
        <w:rPr>
          <w:b/>
        </w:rPr>
      </w:r>
    </w:p>
    <w:sectPr>
      <w:headerReference w:type="default" r:id="rId3"/>
      <w:headerReference w:type="first" r:id="rId4"/>
      <w:footerReference w:type="default" r:id="rId5"/>
      <w:footerReference w:type="first" r:id="rId6"/>
      <w:type w:val="nextPage"/>
      <w:pgSz w:w="12240" w:h="15840"/>
      <w:pgMar w:left="1800" w:right="1800" w:gutter="0" w:header="720" w:top="1440" w:footer="1152" w:bottom="2160"/>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Helvetica Neue Condensed">
    <w:altName w:val="Courier Ne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hfine//Lib1/ 19v3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Footer"/>
            <w:snapToGrid w:val="false"/>
            <w:rPr>
              <w:rFonts w:ascii="Helvetica Neue Condensed;Courier New" w:hAnsi="Helvetica Neue Condensed;Courier New" w:cs="Helvetica Neue Condensed;Courier New"/>
              <w:sz w:val="17"/>
            </w:rPr>
          </w:pPr>
          <w:r>
            <w:rPr>
              <w:rFonts w:cs="Helvetica Neue Condensed;Courier New" w:ascii="Helvetica Neue Condensed;Courier New" w:hAnsi="Helvetica Neue Condensed;Courier New"/>
              <w:sz w:val="17"/>
            </w:rPr>
          </w:r>
        </w:p>
      </w:tc>
      <w:tc>
        <w:tcPr>
          <w:tcW w:w="4428" w:type="dxa"/>
          <w:tcBorders/>
        </w:tcPr>
        <w:p>
          <w:pPr>
            <w:pStyle w:val="Footer"/>
            <w:snapToGrid w:val="false"/>
            <w:jc w:val="end"/>
            <w:rPr>
              <w:rFonts w:ascii="Helvetica Neue Condensed;Courier New" w:hAnsi="Helvetica Neue Condensed;Courier New" w:cs="Helvetica Neue Condensed;Courier New"/>
              <w:sz w:val="17"/>
            </w:rPr>
          </w:pPr>
          <w:r>
            <w:rPr>
              <w:rFonts w:cs="Helvetica Neue Condensed;Courier New" w:ascii="Helvetica Neue Condensed;Courier New" w:hAnsi="Helvetica Neue Condensed;Courier New"/>
              <w:sz w:val="17"/>
            </w:rPr>
          </w:r>
        </w:p>
      </w:tc>
    </w:tr>
  </w:tbl>
  <w:p>
    <w:pPr>
      <w:pStyle w:val="Footer"/>
      <w:rPr>
        <w:rFonts w:ascii="Helvetica Neue Condensed;Courier New" w:hAnsi="Helvetica Neue Condensed;Courier New" w:cs="Helvetica Neue Condensed;Courier New"/>
        <w:sz w:val="17"/>
      </w:rPr>
    </w:pPr>
    <w:r>
      <w:rPr>
        <w:rFonts w:cs="Helvetica Neue Condensed;Courier New" w:ascii="Helvetica Neue Condensed;Courier New" w:hAnsi="Helvetica Neue Condensed;Courier New"/>
        <w:sz w:val="17"/>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
      <w:lvlJc w:val="start"/>
      <w:pPr>
        <w:tabs>
          <w:tab w:val="num" w:pos="1080"/>
        </w:tabs>
        <w:ind w:start="0" w:hanging="0"/>
      </w:pPr>
      <w:rPr>
        <w:smallCaps w:val="false"/>
        <w:caps w:val="false"/>
        <w:sz w:val="20"/>
        <w:i w:val="false"/>
        <w:u w:val="none"/>
        <w:b w:val="false"/>
        <w:rFonts w:ascii="Times New Roman" w:hAnsi="Times New Roman" w:cs="Times New Roman"/>
      </w:rPr>
    </w:lvl>
    <w:lvl w:ilvl="1">
      <w:start w:val="1"/>
      <w:pStyle w:val="Heading2"/>
      <w:numFmt w:val="lowerLetter"/>
      <w:lvlText w:val="%2)"/>
      <w:lvlJc w:val="start"/>
      <w:pPr>
        <w:tabs>
          <w:tab w:val="num" w:pos="1440"/>
        </w:tabs>
        <w:ind w:start="0" w:firstLine="1080"/>
      </w:pPr>
      <w:rPr>
        <w:sz w:val="20"/>
        <w:i w:val="false"/>
        <w:b w:val="false"/>
        <w:rFonts w:ascii="Times New Roman" w:hAnsi="Times New Roman" w:cs="Times New Roman"/>
      </w:rPr>
    </w:lvl>
    <w:lvl w:ilvl="2">
      <w:start w:val="1"/>
      <w:pStyle w:val="Heading3"/>
      <w:numFmt w:val="lowerRoman"/>
      <w:lvlText w:val="(%3)   "/>
      <w:lvlJc w:val="start"/>
      <w:pPr>
        <w:tabs>
          <w:tab w:val="num" w:pos="3240"/>
        </w:tabs>
        <w:ind w:start="1440" w:firstLine="720"/>
      </w:pPr>
      <w:rPr>
        <w:sz w:val="24"/>
        <w:i w:val="false"/>
        <w:b w:val="false"/>
        <w:rFonts w:ascii="Times New Roman" w:hAnsi="Times New Roman" w:cs="Times New Roman"/>
      </w:rPr>
    </w:lvl>
    <w:lvl w:ilvl="3">
      <w:start w:val="1"/>
      <w:pStyle w:val="Heading4"/>
      <w:numFmt w:val="lowerRoman"/>
      <w:lvlText w:val="(%4)"/>
      <w:lvlJc w:val="start"/>
      <w:pPr>
        <w:tabs>
          <w:tab w:val="num" w:pos="2160"/>
        </w:tabs>
        <w:ind w:start="720" w:firstLine="720"/>
      </w:pPr>
      <w:rPr>
        <w:sz w:val="24"/>
        <w:i w:val="false"/>
        <w:b w:val="false"/>
        <w:rFonts w:ascii="Times New Roman" w:hAnsi="Times New Roman" w:cs="Times New Roman"/>
      </w:rPr>
    </w:lvl>
    <w:lvl w:ilvl="4">
      <w:start w:val="1"/>
      <w:pStyle w:val="Heading5"/>
      <w:numFmt w:val="upperLetter"/>
      <w:lvlText w:val="(%5)   "/>
      <w:lvlJc w:val="start"/>
      <w:pPr>
        <w:tabs>
          <w:tab w:val="num" w:pos="2880"/>
        </w:tabs>
        <w:ind w:start="1440" w:firstLine="720"/>
      </w:pPr>
      <w:rPr>
        <w:sz w:val="24"/>
        <w:i w:val="false"/>
        <w:b w:val="false"/>
        <w:rFonts w:ascii="Times New Roman" w:hAnsi="Times New Roman" w:cs="Times New Roman"/>
      </w:rPr>
    </w:lvl>
    <w:lvl w:ilvl="5">
      <w:start w:val="1"/>
      <w:pStyle w:val="Heading6"/>
      <w:numFmt w:val="decimal"/>
      <w:lvlText w:val="(%6)   "/>
      <w:lvlJc w:val="start"/>
      <w:pPr>
        <w:tabs>
          <w:tab w:val="num" w:pos="2160"/>
        </w:tabs>
        <w:ind w:start="0" w:firstLine="1440"/>
      </w:pPr>
      <w:rPr>
        <w:sz w:val="24"/>
        <w:i w:val="false"/>
        <w:b w:val="false"/>
        <w:rFonts w:ascii="Times New Roman" w:hAnsi="Times New Roman" w:cs="Times New Roman"/>
      </w:rPr>
    </w:lvl>
    <w:lvl w:ilvl="6">
      <w:start w:val="1"/>
      <w:pStyle w:val="Heading7"/>
      <w:numFmt w:val="decimal"/>
      <w:lvlText w:val="(%7)   "/>
      <w:lvlJc w:val="start"/>
      <w:pPr>
        <w:tabs>
          <w:tab w:val="num" w:pos="2160"/>
        </w:tabs>
        <w:ind w:start="720" w:firstLine="720"/>
      </w:pPr>
      <w:rPr>
        <w:sz w:val="24"/>
        <w:i w:val="false"/>
        <w:b w:val="false"/>
        <w:rFonts w:ascii="Times New Roman" w:hAnsi="Times New Roman" w:cs="Times New Roman"/>
      </w:rPr>
    </w:lvl>
    <w:lvl w:ilvl="7">
      <w:start w:val="1"/>
      <w:pStyle w:val="Heading8"/>
      <w:numFmt w:val="lowerLetter"/>
      <w:lvlText w:val="(%8)"/>
      <w:lvlJc w:val="start"/>
      <w:pPr>
        <w:tabs>
          <w:tab w:val="num" w:pos="5112"/>
        </w:tabs>
        <w:ind w:start="4752" w:hanging="0"/>
      </w:pPr>
      <w:rPr/>
    </w:lvl>
    <w:lvl w:ilvl="8">
      <w:start w:val="1"/>
      <w:pStyle w:val="Heading9"/>
      <w:numFmt w:val="lowerRoman"/>
      <w:lvlText w:val="(%9)"/>
      <w:lvlJc w:val="start"/>
      <w:pPr>
        <w:tabs>
          <w:tab w:val="num" w:pos="5832"/>
        </w:tabs>
        <w:ind w:start="5472" w:hanging="0"/>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Part %1:"/>
      <w:lvlJc w:val="start"/>
      <w:pPr>
        <w:tabs>
          <w:tab w:val="num" w:pos="720"/>
        </w:tabs>
        <w:ind w:start="720" w:hanging="720"/>
      </w:pPr>
      <w:rPr>
        <w:sz w:val="22"/>
        <w:rFonts w:ascii="Times New Roman" w:hAnsi="Times New Roman" w:cs="Times New Roman"/>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u w:val="single"/>
    </w:rPr>
  </w:style>
  <w:style w:type="paragraph" w:styleId="Heading2">
    <w:name w:val="heading 2"/>
    <w:basedOn w:val="Normal"/>
    <w:next w:val="Normal"/>
    <w:qFormat/>
    <w:pPr>
      <w:numPr>
        <w:ilvl w:val="1"/>
        <w:numId w:val="1"/>
      </w:numPr>
      <w:spacing w:before="0" w:after="240"/>
      <w:outlineLvl w:val="1"/>
    </w:pPr>
    <w:rPr>
      <w:bCs/>
    </w:rPr>
  </w:style>
  <w:style w:type="paragraph" w:styleId="Heading3">
    <w:name w:val="heading 3"/>
    <w:basedOn w:val="Normal"/>
    <w:next w:val="Normal"/>
    <w:qFormat/>
    <w:pPr>
      <w:keepNext w:val="true"/>
      <w:numPr>
        <w:ilvl w:val="2"/>
        <w:numId w:val="1"/>
      </w:numPr>
      <w:outlineLvl w:val="2"/>
    </w:pPr>
    <w:rPr>
      <w:b/>
      <w:bCs/>
      <w:smallCaps/>
    </w:rPr>
  </w:style>
  <w:style w:type="paragraph" w:styleId="Heading4">
    <w:name w:val="heading 4"/>
    <w:basedOn w:val="Normal"/>
    <w:next w:val="Normal"/>
    <w:qFormat/>
    <w:pPr>
      <w:keepNext w:val="true"/>
      <w:numPr>
        <w:ilvl w:val="3"/>
        <w:numId w:val="1"/>
      </w:numPr>
      <w:jc w:val="center"/>
      <w:outlineLvl w:val="3"/>
    </w:pPr>
    <w:rPr>
      <w:b/>
      <w:bCs/>
    </w:rPr>
  </w:style>
  <w:style w:type="paragraph" w:styleId="Heading5">
    <w:name w:val="heading 5"/>
    <w:basedOn w:val="Normal"/>
    <w:next w:val="Normal"/>
    <w:qFormat/>
    <w:pPr>
      <w:keepNext w:val="true"/>
      <w:numPr>
        <w:ilvl w:val="4"/>
        <w:numId w:val="1"/>
      </w:numPr>
      <w:jc w:val="center"/>
      <w:outlineLvl w:val="4"/>
    </w:pPr>
    <w:rPr>
      <w:i/>
      <w:iCs/>
      <w:caps/>
    </w:rPr>
  </w:style>
  <w:style w:type="paragraph" w:styleId="Heading6">
    <w:name w:val="heading 6"/>
    <w:basedOn w:val="Normal"/>
    <w:next w:val="Normal"/>
    <w:qFormat/>
    <w:pPr>
      <w:keepNext w:val="true"/>
      <w:numPr>
        <w:ilvl w:val="5"/>
        <w:numId w:val="1"/>
      </w:numPr>
      <w:outlineLvl w:val="5"/>
    </w:pPr>
    <w:rPr>
      <w:b/>
      <w:smallCap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Times New Roman" w:hAnsi="Times New Roman" w:cs="Times New Roman"/>
      <w:b w:val="false"/>
      <w:i w:val="false"/>
      <w:caps w:val="false"/>
      <w:smallCaps w:val="false"/>
      <w:sz w:val="20"/>
      <w:u w:val="none"/>
    </w:rPr>
  </w:style>
  <w:style w:type="character" w:styleId="WW8Num3z1">
    <w:name w:val="WW8Num3z1"/>
    <w:qFormat/>
    <w:rPr>
      <w:rFonts w:ascii="Times New Roman" w:hAnsi="Times New Roman" w:cs="Times New Roman"/>
      <w:b w:val="false"/>
      <w:i w:val="false"/>
      <w:sz w:val="20"/>
    </w:rPr>
  </w:style>
  <w:style w:type="character" w:styleId="WW8Num3z2">
    <w:name w:val="WW8Num3z2"/>
    <w:qFormat/>
    <w:rPr>
      <w:rFonts w:ascii="Times New Roman" w:hAnsi="Times New Roman" w:cs="Times New Roman"/>
      <w:b w:val="false"/>
      <w:i w:val="false"/>
      <w:sz w:val="24"/>
    </w:rPr>
  </w:style>
  <w:style w:type="character" w:styleId="WW8Num3z7">
    <w:name w:val="WW8Num3z7"/>
    <w:qFormat/>
    <w:rPr/>
  </w:style>
  <w:style w:type="character" w:styleId="WW8Num4z0">
    <w:name w:val="WW8Num4z0"/>
    <w:qFormat/>
    <w:rPr/>
  </w:style>
  <w:style w:type="character" w:styleId="WW8Num5z0">
    <w:name w:val="WW8Num5z0"/>
    <w:qFormat/>
    <w:rPr>
      <w:rFonts w:ascii="Times New Roman" w:hAnsi="Times New Roman" w:cs="Times New Roman"/>
      <w:sz w:val="22"/>
    </w:rPr>
  </w:style>
  <w:style w:type="character" w:styleId="WW8Num6z0">
    <w:name w:val="WW8Num6z0"/>
    <w:qFormat/>
    <w:rPr>
      <w:rFonts w:ascii="Symbol" w:hAnsi="Symbol" w:cs="Symbol"/>
    </w:rPr>
  </w:style>
  <w:style w:type="character" w:styleId="WW8Num7z0">
    <w:name w:val="WW8Num7z0"/>
    <w:qFormat/>
    <w:rPr>
      <w:rFonts w:ascii="Times New Roman" w:hAnsi="Times New Roman" w:cs="Times New Roman"/>
      <w:sz w:val="22"/>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sz w:val="28"/>
    </w:rPr>
  </w:style>
  <w:style w:type="paragraph" w:styleId="BodyText">
    <w:name w:val="Body Text"/>
    <w:basedOn w:val="Normal"/>
    <w:pPr>
      <w:spacing w:before="0" w:after="240"/>
      <w:ind w:firstLine="1100" w:start="0" w:end="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Normal"/>
    <w:qFormat/>
    <w:pPr>
      <w:numPr>
        <w:ilvl w:val="0"/>
        <w:numId w:val="3"/>
      </w:numPr>
      <w:tabs>
        <w:tab w:val="clear" w:pos="720"/>
        <w:tab w:val="left" w:pos="1080" w:leader="none"/>
        <w:tab w:val="left" w:pos="1260" w:leader="none"/>
      </w:tabs>
      <w:spacing w:before="240" w:after="240"/>
    </w:pPr>
    <w:rPr>
      <w:b/>
      <w:smallCaps/>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jc w:val="both"/>
    </w:pPr>
    <w:rPr/>
  </w:style>
  <w:style w:type="paragraph" w:styleId="BodyText3">
    <w:name w:val="Body Text 3"/>
    <w:basedOn w:val="Normal"/>
    <w:qFormat/>
    <w:pPr/>
    <w:rPr>
      <w:b/>
    </w:rPr>
  </w:style>
  <w:style w:type="paragraph" w:styleId="ListContinue3">
    <w:name w:val="List Continue 3"/>
    <w:basedOn w:val="Normal"/>
    <w:qFormat/>
    <w:pPr>
      <w:widowControl w:val="false"/>
      <w:autoSpaceDE w:val="false"/>
      <w:spacing w:before="0" w:after="120"/>
      <w:ind w:hanging="0" w:start="1080" w:end="0"/>
    </w:pPr>
    <w:rPr>
      <w:sz w:val="24"/>
      <w:szCs w:val="24"/>
    </w:rPr>
  </w:style>
  <w:style w:type="paragraph" w:styleId="DocumentMap">
    <w:name w:val="Document Map"/>
    <w:basedOn w:val="Normal"/>
    <w:qFormat/>
    <w:pPr>
      <w:shd w:fill="000080" w:val="clear"/>
    </w:pPr>
    <w:rPr>
      <w:rFonts w:ascii="Tahoma" w:hAnsi="Tahoma" w:cs="Tahoma"/>
    </w:rPr>
  </w:style>
  <w:style w:type="paragraph" w:styleId="ListBullet">
    <w:name w:val="List Bullet"/>
    <w:basedOn w:val="List"/>
    <w:qFormat/>
    <w:pPr>
      <w:numPr>
        <w:ilvl w:val="0"/>
        <w:numId w:val="2"/>
      </w:numPr>
      <w:tabs>
        <w:tab w:val="clear" w:pos="720"/>
        <w:tab w:val="left" w:pos="1440" w:leader="none"/>
      </w:tabs>
      <w:spacing w:lineRule="atLeast" w:line="220" w:before="0" w:after="220"/>
      <w:ind w:hanging="360" w:start="1440" w:end="720"/>
      <w:jc w:val="both"/>
    </w:pPr>
    <w:rPr>
      <w:spacing w:val="-5"/>
    </w:rPr>
  </w:style>
  <w:style w:type="paragraph" w:styleId="Notices">
    <w:name w:val="Notices"/>
    <w:basedOn w:val="Normal"/>
    <w:qFormat/>
    <w:pPr>
      <w:spacing w:before="0" w:after="240"/>
      <w:ind w:hanging="1840" w:start="4000" w:end="0"/>
    </w:pPr>
    <w:rPr>
      <w:color w:val="000000"/>
    </w:rPr>
  </w:style>
  <w:style w:type="paragraph" w:styleId="Signature">
    <w:name w:val="Signature"/>
    <w:basedOn w:val="Normal"/>
    <w:pPr>
      <w:tabs>
        <w:tab w:val="clear" w:pos="720"/>
        <w:tab w:val="right" w:pos="5040" w:leader="underscor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than.Berman@Riskmetrics.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2001-06-05T16:09:00Z</dcterms:created>
  <dc:creator>Gregg Berman</dc:creator>
  <dc:description/>
  <dc:language>en-CA</dc:language>
  <cp:lastModifiedBy>Alan Adkins</cp:lastModifiedBy>
  <cp:lastPrinted>2001-03-29T10:54:00Z</cp:lastPrinted>
  <dcterms:modified xsi:type="dcterms:W3CDTF">2001-06-05T16:09:00Z</dcterms:modified>
  <cp:revision>2</cp:revision>
  <dc:subject/>
  <dc:title>RISKMETRICS SUBSCRIPTION AGREEMENT</dc:title>
</cp:coreProperties>
</file>