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STOCKHOLDERS’ AGREEMENT</w:t>
      </w:r>
    </w:p>
    <w:p>
      <w:pPr>
        <w:pStyle w:val="Normal"/>
        <w:rPr>
          <w:b/>
          <w:bCs/>
          <w:u w:val="single"/>
        </w:rPr>
      </w:pPr>
      <w:r>
        <w:rPr>
          <w:b/>
          <w:bCs/>
          <w:u w:val="single"/>
        </w:rPr>
      </w:r>
    </w:p>
    <w:p>
      <w:pPr>
        <w:pStyle w:val="Normal"/>
        <w:rPr/>
      </w:pPr>
      <w:r>
        <w:rPr/>
      </w:r>
    </w:p>
    <w:p>
      <w:pPr>
        <w:pStyle w:val="Normal"/>
        <w:ind w:firstLine="720" w:end="0"/>
        <w:jc w:val="both"/>
        <w:rPr/>
      </w:pPr>
      <w:r>
        <w:rPr/>
        <w:t>STOCKHOLDERS’ AGREEMENT dated as of _____________, 2001, by and among KIODEX, INC., a Delaware corporation (the “</w:t>
      </w:r>
      <w:r>
        <w:rPr>
          <w:u w:val="single"/>
        </w:rPr>
        <w:t>Company</w:t>
      </w:r>
      <w:r>
        <w:rPr/>
        <w:t>”); R. Martin Chavez and Raj Mahajan, (collectively, the “</w:t>
      </w:r>
      <w:r>
        <w:rPr>
          <w:u w:val="single"/>
        </w:rPr>
        <w:t>Founders</w:t>
      </w:r>
      <w:r>
        <w:rPr/>
        <w:t>”); and Enron Net Works Investments LLC, a Delaware limited liability company (the “</w:t>
      </w:r>
      <w:r>
        <w:rPr>
          <w:u w:val="single"/>
        </w:rPr>
        <w:t>Investor</w:t>
      </w:r>
      <w:r>
        <w:rPr/>
        <w:t>”, and together with the Founders, the “</w:t>
      </w:r>
      <w:r>
        <w:rPr>
          <w:u w:val="single"/>
        </w:rPr>
        <w:t>Stockholders</w:t>
      </w:r>
      <w:r>
        <w:rPr/>
        <w:t xml:space="preserve">”).  </w:t>
      </w:r>
      <w:r>
        <w:rPr>
          <w:b/>
          <w:bCs/>
          <w:i/>
          <w:iCs/>
        </w:rPr>
        <w:t>[We may have comments on the parties once we see the revised capitalization table]</w:t>
      </w:r>
      <w:r>
        <w:rPr/>
        <w:t>.</w:t>
      </w:r>
    </w:p>
    <w:p>
      <w:pPr>
        <w:pStyle w:val="Normal"/>
        <w:ind w:firstLine="720" w:end="0"/>
        <w:jc w:val="both"/>
        <w:rPr/>
      </w:pPr>
      <w:r>
        <w:rPr/>
      </w:r>
    </w:p>
    <w:p>
      <w:pPr>
        <w:pStyle w:val="Normal"/>
        <w:ind w:firstLine="720" w:end="0"/>
        <w:jc w:val="both"/>
        <w:rPr/>
      </w:pPr>
      <w:r>
        <w:rPr/>
        <w:t>WHEREAS, the Stockholders are the holders of shares of Common Stock, par value $.001 per share (“</w:t>
      </w:r>
      <w:r>
        <w:rPr>
          <w:u w:val="single"/>
        </w:rPr>
        <w:t>Common Stock</w:t>
      </w:r>
      <w:r>
        <w:rPr/>
        <w:t>”), of the Company;</w:t>
      </w:r>
    </w:p>
    <w:p>
      <w:pPr>
        <w:pStyle w:val="Normal"/>
        <w:ind w:firstLine="720" w:end="0"/>
        <w:jc w:val="both"/>
        <w:rPr/>
      </w:pPr>
      <w:r>
        <w:rPr/>
      </w:r>
    </w:p>
    <w:p>
      <w:pPr>
        <w:pStyle w:val="VEBodyText"/>
        <w:spacing w:before="0" w:after="0"/>
        <w:ind w:firstLine="720" w:end="0"/>
        <w:rPr/>
      </w:pPr>
      <w:r>
        <w:rPr/>
        <w:t>WHEREAS, pursuant to a Common Stock Purchase Agreement, dated as of even date herewith (the “</w:t>
      </w:r>
      <w:r>
        <w:rPr>
          <w:u w:val="single"/>
        </w:rPr>
        <w:t>Stock Purchase Agreement</w:t>
      </w:r>
      <w:r>
        <w:rPr/>
        <w:t>”), between the Company and the Investor, the Company issued and sold to the Investor an aggregate of 3,799,353 shares of Common Stock;</w:t>
      </w:r>
    </w:p>
    <w:p>
      <w:pPr>
        <w:pStyle w:val="VEBodyText"/>
        <w:spacing w:before="0" w:after="0"/>
        <w:ind w:firstLine="720" w:end="0"/>
        <w:rPr/>
      </w:pPr>
      <w:r>
        <w:rPr/>
      </w:r>
    </w:p>
    <w:p>
      <w:pPr>
        <w:pStyle w:val="VEBodyText"/>
        <w:spacing w:before="0" w:after="0"/>
        <w:ind w:firstLine="720" w:end="0"/>
        <w:rPr/>
      </w:pPr>
      <w:r>
        <w:rPr/>
        <w:t>WHEREAS, pursuant to a Co-Marketing Agreement, dated as of even date herewith, between the Company and the Investor (the “</w:t>
      </w:r>
      <w:r>
        <w:rPr>
          <w:u w:val="single"/>
        </w:rPr>
        <w:t>Co-Marketing Agreement</w:t>
      </w:r>
      <w:r>
        <w:rPr/>
        <w:t>”), the Company has issued to the Investor warrants to purchase up to 2,279,613 shares of Common Stock of the Company; and</w:t>
      </w:r>
    </w:p>
    <w:p>
      <w:pPr>
        <w:pStyle w:val="Normal"/>
        <w:ind w:firstLine="720" w:end="0"/>
        <w:jc w:val="both"/>
        <w:rPr/>
      </w:pPr>
      <w:r>
        <w:rPr/>
      </w:r>
    </w:p>
    <w:p>
      <w:pPr>
        <w:pStyle w:val="Normal"/>
        <w:ind w:firstLine="720" w:end="0"/>
        <w:jc w:val="both"/>
        <w:rPr/>
      </w:pPr>
      <w:r>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Normal"/>
        <w:ind w:firstLine="720" w:end="0"/>
        <w:jc w:val="both"/>
        <w:rPr/>
      </w:pPr>
      <w:r>
        <w:rPr/>
      </w:r>
    </w:p>
    <w:p>
      <w:pPr>
        <w:pStyle w:val="Normal"/>
        <w:ind w:firstLine="720" w:end="0"/>
        <w:jc w:val="both"/>
        <w:rPr/>
      </w:pPr>
      <w:r>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Normal"/>
        <w:ind w:firstLine="720" w:end="0"/>
        <w:jc w:val="both"/>
        <w:rPr/>
      </w:pPr>
      <w:r>
        <w:rPr/>
      </w:r>
    </w:p>
    <w:p>
      <w:pPr>
        <w:pStyle w:val="Heading3"/>
        <w:numPr>
          <w:ilvl w:val="2"/>
          <w:numId w:val="2"/>
        </w:numPr>
        <w:ind w:hanging="0" w:start="0"/>
        <w:rPr/>
      </w:pPr>
      <w:r>
        <w:rPr>
          <w:b/>
          <w:bCs/>
          <w:i/>
          <w:iCs/>
          <w:u w:val="single"/>
        </w:rPr>
        <w:t>Certain Defined Terms</w:t>
      </w:r>
      <w:r>
        <w:rPr>
          <w:b/>
          <w:bCs/>
          <w:i/>
          <w:iCs/>
        </w:rPr>
        <w:t>.</w:t>
      </w:r>
      <w:r>
        <w:rPr/>
        <w:t xml:space="preserve">  As used in this Agreement, the following terms shall have the following meanings:</w:t>
      </w:r>
    </w:p>
    <w:p>
      <w:pPr>
        <w:pStyle w:val="Heading4"/>
        <w:numPr>
          <w:ilvl w:val="3"/>
          <w:numId w:val="2"/>
        </w:numPr>
        <w:tabs>
          <w:tab w:val="clear" w:pos="720"/>
        </w:tabs>
        <w:ind w:firstLine="1440" w:start="0" w:end="0"/>
        <w:rPr/>
      </w:pPr>
      <w:r>
        <w:rPr/>
        <w:t>“</w:t>
      </w:r>
      <w:r>
        <w:rPr>
          <w:u w:val="singl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Heading4"/>
        <w:numPr>
          <w:ilvl w:val="3"/>
          <w:numId w:val="2"/>
        </w:numPr>
        <w:tabs>
          <w:tab w:val="clear" w:pos="720"/>
        </w:tabs>
        <w:ind w:firstLine="1440" w:start="0" w:end="0"/>
        <w:rPr/>
      </w:pPr>
      <w:r>
        <w:rPr/>
        <w:t>“</w:t>
      </w:r>
      <w:r>
        <w:rPr>
          <w:u w:val="single"/>
        </w:rPr>
        <w:t>Certificate of Incorporation</w:t>
      </w:r>
      <w:r>
        <w:rPr/>
        <w:t>” shall mean the Amended and Restated Certificate of Incorporation, filed by the Company with the Secretary of State of the State of Delaware on August 28, 2000, as the same may be amended from time to time.</w:t>
      </w:r>
    </w:p>
    <w:p>
      <w:pPr>
        <w:pStyle w:val="Heading4"/>
        <w:numPr>
          <w:ilvl w:val="3"/>
          <w:numId w:val="2"/>
        </w:numPr>
        <w:tabs>
          <w:tab w:val="clear" w:pos="720"/>
        </w:tabs>
        <w:ind w:firstLine="1440" w:start="0" w:end="0"/>
        <w:rPr/>
      </w:pPr>
      <w:r>
        <w:rPr/>
        <w:t>“</w:t>
      </w:r>
      <w:r>
        <w:rPr>
          <w:u w:val="single"/>
        </w:rPr>
        <w:t>Group</w:t>
      </w:r>
      <w:r>
        <w:rPr/>
        <w:t>” shall mean, with respect to a person, any of the following: such person; a spouse, domestic partner, lineal ancestor or descendant, brother or sister of such person; a transferee upon the death of such person by way of will or the laws of descent and distribution; a trust for the benefit of such person or a member of such person’s Group; or a family limited partnership or family limited liability company organized for the benefit of such person’s Group or members thereof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Heading4"/>
        <w:numPr>
          <w:ilvl w:val="3"/>
          <w:numId w:val="2"/>
        </w:numPr>
        <w:tabs>
          <w:tab w:val="clear" w:pos="720"/>
        </w:tabs>
        <w:ind w:firstLine="1440" w:start="0" w:end="0"/>
        <w:rPr/>
      </w:pPr>
      <w:r>
        <w:rPr/>
        <w:t>“</w:t>
      </w:r>
      <w:r>
        <w:rPr>
          <w:u w:val="single"/>
        </w:rPr>
        <w:t>Investor Designee</w:t>
      </w:r>
      <w:r>
        <w:rPr/>
        <w:t>” shall have the meaning set forth in Section 2(a).</w:t>
      </w:r>
    </w:p>
    <w:p>
      <w:pPr>
        <w:pStyle w:val="Heading4"/>
        <w:numPr>
          <w:ilvl w:val="3"/>
          <w:numId w:val="2"/>
        </w:numPr>
        <w:tabs>
          <w:tab w:val="clear" w:pos="720"/>
        </w:tabs>
        <w:ind w:firstLine="1440" w:start="0" w:end="0"/>
        <w:rPr/>
      </w:pPr>
      <w:r>
        <w:rPr/>
        <w:t>“</w:t>
      </w:r>
      <w:r>
        <w:rPr>
          <w:u w:val="single"/>
        </w:rPr>
        <w:t>Securities</w:t>
      </w:r>
      <w:r>
        <w:rPr/>
        <w:t>” shall mean all Shares and all other securities of the Company which shall at any time be exercisable for, convertible into or exchangeable for Common Stock of the Company, or entitled to vote together with shares of Common Stock, or issued in exchange for or in respect of shares of Common Stock (whether by way of stock split, stock dividend, combination, reclassification or any other means).</w:t>
      </w:r>
    </w:p>
    <w:p>
      <w:pPr>
        <w:pStyle w:val="Heading4"/>
        <w:numPr>
          <w:ilvl w:val="3"/>
          <w:numId w:val="2"/>
        </w:numPr>
        <w:tabs>
          <w:tab w:val="clear" w:pos="720"/>
        </w:tabs>
        <w:ind w:firstLine="1440" w:start="0" w:end="0"/>
        <w:rPr/>
      </w:pPr>
      <w:r>
        <w:rPr/>
        <w:t>“</w:t>
      </w:r>
      <w:r>
        <w:rPr>
          <w:u w:val="single"/>
        </w:rPr>
        <w:t>Shares</w:t>
      </w:r>
      <w:r>
        <w:rPr/>
        <w:t>” shall mean all shares of Common Stock now owned or hereafter acquired by any Stockholder and, with respect to Section 2 hereof, any shares of Common Stock which a Stockholder has the right or power to vote.</w:t>
      </w:r>
    </w:p>
    <w:p>
      <w:pPr>
        <w:pStyle w:val="Heading4"/>
        <w:numPr>
          <w:ilvl w:val="3"/>
          <w:numId w:val="2"/>
        </w:numPr>
        <w:tabs>
          <w:tab w:val="clear" w:pos="720"/>
        </w:tabs>
        <w:ind w:firstLine="1440" w:start="0" w:end="0"/>
        <w:rPr/>
      </w:pPr>
      <w:r>
        <w:rPr/>
        <w:t>“</w:t>
      </w:r>
      <w:r>
        <w:rPr>
          <w:u w:val="single"/>
        </w:rPr>
        <w:t>Total Stock</w:t>
      </w:r>
      <w:r>
        <w:rPr/>
        <w:t xml:space="preserve">” shall mean Securities then outstanding at the date of determination, and then exercisable for, convertible into, exchangeable for or entitled to vote together with shares of Common Stock, calculated with respect to the number of votes to which such Securities are entitled on an as-converted and as-exercised basis. </w:t>
      </w:r>
    </w:p>
    <w:p>
      <w:pPr>
        <w:pStyle w:val="Heading4"/>
        <w:numPr>
          <w:ilvl w:val="3"/>
          <w:numId w:val="2"/>
        </w:numPr>
        <w:tabs>
          <w:tab w:val="clear" w:pos="720"/>
        </w:tabs>
        <w:ind w:firstLine="1440" w:start="0" w:end="0"/>
        <w:rPr/>
      </w:pPr>
      <w:r>
        <w:rPr/>
        <w:t>“</w:t>
      </w:r>
      <w:r>
        <w:rPr>
          <w:u w:val="single"/>
        </w:rPr>
        <w:t>Transfer</w:t>
      </w:r>
      <w:r>
        <w:rPr/>
        <w:t>” shall mean to transfer, sell, assign, pledge, hypothecate, give, create a security interest in or lien on, place in trust (voting or otherwise), assign or in any way encumber or dispose of for value.</w:t>
      </w:r>
    </w:p>
    <w:p>
      <w:pPr>
        <w:pStyle w:val="Heading3"/>
        <w:numPr>
          <w:ilvl w:val="2"/>
          <w:numId w:val="2"/>
        </w:numPr>
        <w:ind w:hanging="0" w:start="0"/>
        <w:rPr>
          <w:b/>
          <w:bCs/>
          <w:i/>
          <w:i/>
          <w:iCs/>
        </w:rPr>
      </w:pPr>
      <w:r>
        <w:rPr>
          <w:b/>
          <w:bCs/>
          <w:i/>
          <w:iCs/>
          <w:u w:val="single"/>
        </w:rPr>
        <w:t>Election of Directors</w:t>
      </w:r>
      <w:r>
        <w:rPr>
          <w:b/>
          <w:bCs/>
          <w:i/>
          <w:iCs/>
        </w:rPr>
        <w:t>.</w:t>
      </w:r>
    </w:p>
    <w:p>
      <w:pPr>
        <w:pStyle w:val="Heading4"/>
        <w:numPr>
          <w:ilvl w:val="3"/>
          <w:numId w:val="2"/>
        </w:numPr>
        <w:ind w:hanging="0" w:start="0"/>
        <w:rPr/>
      </w:pPr>
      <w:r>
        <w:rPr/>
        <w:t>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Securities owned by them (or any Securities which they have the power to vote) (or act by written consent with respect to such Securities) for the election of a Board of Directors of the Company, in the following manner:</w:t>
      </w:r>
    </w:p>
    <w:p>
      <w:pPr>
        <w:pStyle w:val="Heading5"/>
        <w:numPr>
          <w:ilvl w:val="4"/>
          <w:numId w:val="2"/>
        </w:numPr>
        <w:tabs>
          <w:tab w:val="clear" w:pos="720"/>
        </w:tabs>
        <w:ind w:firstLine="720" w:start="1440" w:end="0"/>
        <w:jc w:val="both"/>
        <w:rPr/>
      </w:pPr>
      <w:r>
        <w:rPr/>
        <w:t>four persons designated by the Founders holding a plurality of the Shares held by all Founders (the “</w:t>
      </w:r>
      <w:r>
        <w:rPr>
          <w:u w:val="single"/>
        </w:rPr>
        <w:t>Founder Designees</w:t>
      </w:r>
      <w:r>
        <w:rPr/>
        <w:t>”), which designees shall initially be R. Martin Chavez, Raj Mahajan, Addison Armstrong and Scott Marinchek; and</w:t>
      </w:r>
    </w:p>
    <w:p>
      <w:pPr>
        <w:pStyle w:val="Heading5"/>
        <w:numPr>
          <w:ilvl w:val="4"/>
          <w:numId w:val="2"/>
        </w:numPr>
        <w:tabs>
          <w:tab w:val="clear" w:pos="720"/>
        </w:tabs>
        <w:ind w:firstLine="720" w:start="1440" w:end="0"/>
        <w:jc w:val="both"/>
        <w:rPr/>
      </w:pPr>
      <w:r>
        <w:rPr/>
        <w:t>one person to be designated by the Investor (the “</w:t>
      </w:r>
      <w:r>
        <w:rPr>
          <w:u w:val="single"/>
        </w:rPr>
        <w:t>Investor Designee</w:t>
      </w:r>
      <w:r>
        <w:rPr/>
        <w:t>”), so long as the Investor (or an Affiliate of the Investor) shall continue to hold at least 50% of the Shares issued to the Investor pursuant to the Stock Purchase Agreement, as adjusted for stock splits, stock dividends, recapitalizations and similar events.</w:t>
      </w:r>
    </w:p>
    <w:p>
      <w:pPr>
        <w:pStyle w:val="Normal"/>
        <w:spacing w:before="0" w:after="240"/>
        <w:jc w:val="both"/>
        <w:rPr/>
      </w:pPr>
      <w:r>
        <w:rPr/>
        <w:t>For purposes of this Agreement, the Founders and the Investor are hereinafter each referred to as the “</w:t>
      </w:r>
      <w:r>
        <w:rPr>
          <w:u w:val="single"/>
        </w:rPr>
        <w:t>Designating Party</w:t>
      </w:r>
      <w:r>
        <w:rPr/>
        <w:t>,” as the case may be.</w:t>
      </w:r>
    </w:p>
    <w:p>
      <w:pPr>
        <w:pStyle w:val="Heading4"/>
        <w:numPr>
          <w:ilvl w:val="3"/>
          <w:numId w:val="2"/>
        </w:numPr>
        <w:ind w:hanging="0" w:start="0"/>
        <w:rPr/>
      </w:pPr>
      <w:r>
        <w:rPr/>
        <w:t>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Securities to remove any member of the Board of Directors designated in accordance with Section 2(a) hereof unless (x) in the case of the Investor Designee, the Investor votes for the removal of a director which the Investor previously designated for election, and if the Investor votes for such a removal, then the Stockholders shall likewise vote for such a removal and for the election of a replacement director designated by the Investor and (y)  in the case of the Founder Designees, a Designating Party votes for the removal of a director which such Designating Party previously designated for election, and if such Designating Party votes for such a removal, then the Stockholders shall likewise vote for such a removal and for the election of a replacement director designated by such Designating Party.  In the event of any vacancy on the Board of Directors created by the resignation, removal, incapacity or death of any person designated under this Section 2 by a Designating Party, the Stockholders shall vote their Securities to fill such vacancy with another person designated by such Designating Party.  Unless and until such Designating Party designates a person to fill any such vacancy, the Stockholders shall not vote their Securities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u w:val="single"/>
        </w:rPr>
        <w:t>Disavowing Director</w:t>
      </w:r>
      <w:r>
        <w:rPr/>
        <w:t>”), the Stockholders hereby agree to vote all of their Securities in favor of convening a special meeting of the stockholders of the Company to remove the Disavowing Director and removing the Disavowing Director at such special meeting or consenting to such removal.  The Designating Party that designated any Disavowing Director so removed shall be entitled to appoint such Disavowing Director’s replacement pursuant to the fourth sentence of this subsection (b).</w:t>
      </w:r>
    </w:p>
    <w:p>
      <w:pPr>
        <w:pStyle w:val="Heading4"/>
        <w:numPr>
          <w:ilvl w:val="3"/>
          <w:numId w:val="2"/>
        </w:numPr>
        <w:ind w:hanging="0" w:start="0"/>
        <w:rPr/>
      </w:pPr>
      <w:r>
        <w:rPr/>
        <w:t>In the event that any Stockholder shall fail at any time to vote or act by written consent with respect to any of such Stockholder’s Securities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Securities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Heading4"/>
        <w:numPr>
          <w:ilvl w:val="3"/>
          <w:numId w:val="2"/>
        </w:numPr>
        <w:ind w:hanging="0" w:start="0"/>
        <w:rPr/>
      </w:pPr>
      <w:r>
        <w:rPr/>
        <w:t>All references in this Agreement to “voting” or “vote” shall be deemed to include actions of the Board of Directors by written consent in accordance with Section 141 of the Delaware General Corporation Law.</w:t>
      </w:r>
    </w:p>
    <w:p>
      <w:pPr>
        <w:pStyle w:val="Heading4"/>
        <w:numPr>
          <w:ilvl w:val="3"/>
          <w:numId w:val="2"/>
        </w:numPr>
        <w:ind w:hanging="0" w:start="0"/>
        <w:rPr/>
      </w:pPr>
      <w:r>
        <w:rPr/>
        <w:t>In the event that the Investor elects not to designate a person for election to the Board of Directors, the Investor shall be entitled, so long as the Investor is entitled to designate a person for election to the Board of Directors, to appoint a non-voting representative (the “</w:t>
      </w:r>
      <w:r>
        <w:rPr>
          <w:u w:val="single"/>
        </w:rPr>
        <w:t>Investor Representative</w:t>
      </w:r>
      <w:r>
        <w:rPr/>
        <w:t>”) to observe meetings, proceedings and other actions of the Board of Directors and all committees thereof.  The Investor Representative shall be appointed by the Investor by delivering a written notice to the Company specifying the name and notice address of the Investor Representative.  The Investor Representative shall be entitled to receive, at the same time and by the same delivery method as the other members of the Board of Directors (or committee thereof), all notices of meetings of the Board of Directors or a committee thereof and copies of all materials distributed to the Board of Directors or a committee thereof (whether for consideration at a meeting, by written consent in lieu thereof or otherwise), including without limitation, copies of all resolutions and other actions presented to the Board of Directors or a committee thereof and all management reports and similar documents.  The Company shall reimburse the Investor for the participation of the Investor Representative on the same basis as the Company reimburses members of the Board of Directors.  At such time as the Investor shall determine to appoint a representative to the Board of Directors pursuant to Section 2(a)(ii) hereof, the Company and the Founders will cause a special meeting of the Stockholders to be called or take such other steps as are necessary, including voting securities pursuant to Section 2(a) hereof, in order that the person designated by the Investor to the Board of Directors may be elected to the Board of Directors as promptly as possible.</w:t>
      </w:r>
    </w:p>
    <w:p>
      <w:pPr>
        <w:pStyle w:val="Heading3"/>
        <w:numPr>
          <w:ilvl w:val="2"/>
          <w:numId w:val="2"/>
        </w:numPr>
        <w:ind w:hanging="0" w:start="0"/>
        <w:rPr>
          <w:b/>
          <w:bCs/>
          <w:i/>
          <w:i/>
          <w:iCs/>
        </w:rPr>
      </w:pPr>
      <w:r>
        <w:rPr>
          <w:b/>
          <w:bCs/>
          <w:i/>
          <w:iCs/>
          <w:u w:val="single"/>
        </w:rPr>
        <w:t>Right of First Refusal on Company Issuance</w:t>
      </w:r>
      <w:r>
        <w:rPr>
          <w:b/>
          <w:bCs/>
          <w:i/>
          <w:iCs/>
        </w:rPr>
        <w:t>.</w:t>
      </w:r>
    </w:p>
    <w:p>
      <w:pPr>
        <w:pStyle w:val="Heading4"/>
        <w:numPr>
          <w:ilvl w:val="3"/>
          <w:numId w:val="2"/>
        </w:numPr>
        <w:ind w:hanging="0" w:start="0"/>
        <w:rPr/>
      </w:pPr>
      <w:r>
        <w:rPr/>
        <w:t>The Company shall, prior to any proposed issuance by the Company of any equity securities, securities that are convertible into or exercisable or exchangeable for equity securities or any other rights to acquire equity securities (“</w:t>
      </w:r>
      <w:r>
        <w:rPr>
          <w:u w:val="single"/>
        </w:rPr>
        <w:t>New Securities</w:t>
      </w:r>
      <w:r>
        <w:rPr/>
        <w:t>”)</w:t>
      </w:r>
      <w:r>
        <w:rPr>
          <w:rStyle w:val="FootnoteCharacters"/>
        </w:rPr>
        <w:t xml:space="preserve">, offer to </w:t>
      </w:r>
      <w:r>
        <w:rPr/>
        <w:t xml:space="preserve">the Investor </w:t>
      </w:r>
      <w:r>
        <w:rPr>
          <w:rStyle w:val="FootnoteCharacters"/>
        </w:rPr>
        <w:t xml:space="preserve">by written notice the right, for a period of 20 days, to purchase for cash at an amount equal to the price or other consideration for which such </w:t>
      </w:r>
      <w:r>
        <w:rPr/>
        <w:t xml:space="preserve">New Securities are to be issued, and on other terms not less favorable than the terms on which any third party purchaser shall be offered such New Securities, </w:t>
      </w:r>
      <w:r>
        <w:rPr>
          <w:rStyle w:val="FootnoteCharacters"/>
        </w:rPr>
        <w:t xml:space="preserve">a </w:t>
      </w:r>
      <w:r>
        <w:rPr/>
        <w:t xml:space="preserve">portion </w:t>
      </w:r>
      <w:r>
        <w:rPr>
          <w:rStyle w:val="FootnoteCharacters"/>
        </w:rPr>
        <w:t xml:space="preserve">of such </w:t>
      </w:r>
      <w:r>
        <w:rPr/>
        <w:t>New S</w:t>
      </w:r>
      <w:r>
        <w:rPr>
          <w:rStyle w:val="FootnoteCharacters"/>
        </w:rPr>
        <w:t xml:space="preserve">ecurities </w:t>
      </w:r>
      <w:r>
        <w:rPr/>
        <w:t>up to an amount equal to a fraction, the numerator of which shall be the number of Securities then owned by the Investor and the denominator of which shall be the number of shares of Total Stock immediately prior to the issuance of the New Securities (such fraction being referred to in this Section 3 as a “</w:t>
      </w:r>
      <w:r>
        <w:rPr>
          <w:u w:val="single"/>
        </w:rPr>
        <w:t>Pro Rata Fraction</w:t>
      </w:r>
      <w:r>
        <w:rPr/>
        <w:t xml:space="preserve">”).  </w:t>
      </w:r>
      <w:r>
        <w:rPr>
          <w:b/>
          <w:bCs/>
          <w:i/>
          <w:iCs/>
        </w:rPr>
        <w:t>[We may have comments on this formula once we see the revised capitalization table]</w:t>
      </w:r>
      <w:r>
        <w:rPr/>
        <w:t>.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  The fair market value per share of such non-cash consideration shall be reasonably determined by the Company’s Board of Directors in good faith using a customary valuation method; provided, however, that if the Investor disagrees with the determination by the Board of Directors of the fair market value, then the fair market value shall be the fair market value as determined by an independent third-party appraiser mutually acceptable to the Company and the Investor.</w:t>
      </w:r>
    </w:p>
    <w:p>
      <w:pPr>
        <w:pStyle w:val="Heading4"/>
        <w:numPr>
          <w:ilvl w:val="3"/>
          <w:numId w:val="2"/>
        </w:numPr>
        <w:ind w:hanging="0" w:start="0"/>
        <w:rPr/>
      </w:pPr>
      <w:r>
        <w:rPr/>
        <w:t>Notwithstanding paragraph (a) above,</w:t>
      </w:r>
      <w:r>
        <w:rPr>
          <w:rStyle w:val="FootnoteCharacters"/>
        </w:rPr>
        <w:t xml:space="preserve"> the rights of the </w:t>
      </w:r>
      <w:r>
        <w:rPr/>
        <w:t xml:space="preserve">Investor </w:t>
      </w:r>
      <w:r>
        <w:rPr>
          <w:rStyle w:val="FootnoteCharacters"/>
        </w:rPr>
        <w:t xml:space="preserve">pursuant to this Section </w:t>
      </w:r>
      <w:r>
        <w:rPr/>
        <w:t>3</w:t>
      </w:r>
      <w:r>
        <w:rPr>
          <w:rStyle w:val="FootnoteCharacters"/>
        </w:rPr>
        <w:t xml:space="preserve"> shall not apply to </w:t>
      </w:r>
      <w:r>
        <w:rPr/>
        <w:t xml:space="preserve">Securities issued or issuable </w:t>
      </w:r>
      <w:r>
        <w:rPr>
          <w:rStyle w:val="FootnoteCharacters"/>
        </w:rPr>
        <w:t>(</w:t>
      </w:r>
      <w:r>
        <w:rPr/>
        <w:t>A</w:t>
      </w:r>
      <w:r>
        <w:rPr>
          <w:rStyle w:val="FootnoteCharacters"/>
        </w:rPr>
        <w:t>) as a stock dividend</w:t>
      </w:r>
      <w:r>
        <w:rPr/>
        <w:t xml:space="preserve"> which is equally applicable to all of the Investor’s Securities or,</w:t>
      </w:r>
      <w:r>
        <w:rPr>
          <w:rStyle w:val="FootnoteCharacters"/>
        </w:rPr>
        <w:t xml:space="preserve"> upon any subdivision of </w:t>
      </w:r>
      <w:r>
        <w:rPr/>
        <w:t xml:space="preserve">all </w:t>
      </w:r>
      <w:r>
        <w:rPr>
          <w:rStyle w:val="FootnoteCharacters"/>
        </w:rPr>
        <w:t>shares of Common Stock</w:t>
      </w:r>
      <w:r>
        <w:rPr/>
        <w:t xml:space="preserve"> or recapitalization of the Company with respect to which the Investor’s Securities are affected in the same manner as the other Securities of the Company</w:t>
      </w:r>
      <w:r>
        <w:rPr>
          <w:rStyle w:val="FootnoteCharacters"/>
        </w:rPr>
        <w:t xml:space="preserve">, </w:t>
      </w:r>
      <w:r>
        <w:rPr/>
        <w:t xml:space="preserve">(B) in the form of Common Stock in an aggregate amount not to exceed 10,000,000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(provided, that 7,250,000 of such 10,000,000 shares have already been reserved for issuance pursuant to the Company’s 2000 Incentive Stock Plan and that 5,429,667 of such 7,250,000 reserved shares have already been granted pursuant to option awards under such 2000 Incentive Stock Plan), (C) </w:t>
      </w:r>
      <w:r>
        <w:rPr>
          <w:rStyle w:val="FootnoteCharacters"/>
        </w:rPr>
        <w:t xml:space="preserve">solely in consideration for </w:t>
      </w:r>
      <w:r>
        <w:rPr/>
        <w:t>an</w:t>
      </w:r>
      <w:r>
        <w:rPr>
          <w:rStyle w:val="FootnoteCharacters"/>
        </w:rPr>
        <w:t xml:space="preserve"> acquisition by the Company or any of its subsidiaries </w:t>
      </w:r>
      <w:r>
        <w:rPr/>
        <w:t xml:space="preserve">of </w:t>
      </w:r>
      <w:r>
        <w:rPr>
          <w:rStyle w:val="FootnoteCharacters"/>
        </w:rPr>
        <w:t xml:space="preserve">the stock or assets of any other </w:t>
      </w:r>
      <w:r>
        <w:rPr/>
        <w:t xml:space="preserve">business (whether by merger or otherwise) which acquisition has been approved by the Board of Directors, (D) in the case of the issuance of warrants to acquire shares of Common Stock issued to lending institutions or equipment leasing companies in connection with the leasing or financing of purchases by the Company of tangible assets or equipment in bona fide arms-length transactions, (E) in connection with a public offering  pursuant to an effective registration statement under the Securities Act covering the offer and sale of Common Stock for the account of the Company to the public </w:t>
      </w:r>
      <w:r>
        <w:rPr>
          <w:b/>
          <w:bCs/>
          <w:i/>
          <w:iCs/>
        </w:rPr>
        <w:t>[IPO qualifications to come]</w:t>
      </w:r>
      <w:r>
        <w:rPr/>
        <w:t>, (F) to strategic or commercial partners in connection with any technology transfer agreement, distribution agreement, marketing agreement, collaborative agreement or any other agreement similar thereto with the Company which has been approved by the Board of Directors of the Company, (G) upon the issuance of warrants to the Investor pursuant to the Co-Marketing Agreement, dated as of even date herewith, between the Company and the Investor, or upon the issuance of shares of Common Stock issuable upon the exercise of such warrants, (H) upon the exercise of any security of the Company which was not in itself issued in violation of this Section 3 and (I) in transactions with respect to which rights granted under this Section 3 shall have been waived by holders of a majority of the Shares originally issued to the Investor.</w:t>
      </w:r>
    </w:p>
    <w:p>
      <w:pPr>
        <w:pStyle w:val="Heading4"/>
        <w:numPr>
          <w:ilvl w:val="3"/>
          <w:numId w:val="2"/>
        </w:numPr>
        <w:ind w:hanging="0" w:start="0"/>
        <w:rPr/>
      </w:pPr>
      <w:r>
        <w:rPr>
          <w:rStyle w:val="FootnoteCharacters"/>
        </w:rPr>
        <w:t xml:space="preserve">The Company’s written notice to </w:t>
      </w:r>
      <w:r>
        <w:rPr/>
        <w:t>the Investor described in paragraph (a) above shall de</w:t>
      </w:r>
      <w:r>
        <w:rPr>
          <w:rStyle w:val="FootnoteCharacters"/>
        </w:rPr>
        <w:t xml:space="preserve">scribe the </w:t>
      </w:r>
      <w:r>
        <w:rPr/>
        <w:t>New S</w:t>
      </w:r>
      <w:r>
        <w:rPr>
          <w:rStyle w:val="FootnoteCharacters"/>
        </w:rPr>
        <w:t xml:space="preserve">ecurities proposed to be issued by the Company and specify the number, price and payment terms.  </w:t>
      </w:r>
      <w:r>
        <w:rPr/>
        <w:t xml:space="preserve">The Investor </w:t>
      </w:r>
      <w:r>
        <w:rPr>
          <w:rStyle w:val="FootnoteCharacters"/>
        </w:rPr>
        <w:t>may accept the Company’s offer by written notice thereof given by it to the Company prior to the expiration of 20 day</w:t>
      </w:r>
      <w:r>
        <w:rPr/>
        <w:t>s</w:t>
      </w:r>
      <w:r>
        <w:rPr>
          <w:rStyle w:val="FootnoteCharacters"/>
        </w:rPr>
        <w:t xml:space="preserve"> after receipt of such notice, in which event the Company shall promptly sell and the</w:t>
      </w:r>
      <w:r>
        <w:rPr/>
        <w:t xml:space="preserve"> Investor </w:t>
      </w:r>
      <w:r>
        <w:rPr>
          <w:rStyle w:val="FootnoteCharacters"/>
        </w:rPr>
        <w:t xml:space="preserve">shall buy, upon the terms specified, the number of </w:t>
      </w:r>
      <w:r>
        <w:rPr/>
        <w:t xml:space="preserve">New </w:t>
      </w:r>
      <w:r>
        <w:rPr>
          <w:rStyle w:val="FootnoteCharacters"/>
        </w:rPr>
        <w:t xml:space="preserve">Securities agreed to be purchased by </w:t>
      </w:r>
      <w:r>
        <w:rPr/>
        <w:t>the Investor</w:t>
      </w:r>
      <w:r>
        <w:rPr>
          <w:rStyle w:val="FootnoteCharacters"/>
        </w:rPr>
        <w:t>.</w:t>
      </w:r>
    </w:p>
    <w:p>
      <w:pPr>
        <w:pStyle w:val="Heading4"/>
        <w:numPr>
          <w:ilvl w:val="3"/>
          <w:numId w:val="2"/>
        </w:numPr>
        <w:ind w:hanging="0" w:start="0"/>
        <w:rPr/>
      </w:pPr>
      <w:r>
        <w:rPr>
          <w:rStyle w:val="FootnoteCharacters"/>
        </w:rPr>
        <w:t xml:space="preserve">The Company shall be </w:t>
      </w:r>
      <w:r>
        <w:rPr/>
        <w:t>free</w:t>
      </w:r>
      <w:r>
        <w:rPr>
          <w:rStyle w:val="FootnoteCharacters"/>
        </w:rPr>
        <w:t xml:space="preserve"> at any time prior to </w:t>
      </w:r>
      <w:r>
        <w:rPr/>
        <w:t xml:space="preserve">180 </w:t>
      </w:r>
      <w:r>
        <w:rPr>
          <w:rStyle w:val="FootnoteCharacters"/>
        </w:rPr>
        <w:t xml:space="preserve">days after the date of its notice of offer to </w:t>
      </w:r>
      <w:r>
        <w:rPr/>
        <w:t>the Investor</w:t>
      </w:r>
      <w:r>
        <w:rPr>
          <w:rStyle w:val="FootnoteCharacters"/>
        </w:rPr>
        <w:t xml:space="preserve">, to offer and sell to any third party or parties the remainder of such </w:t>
      </w:r>
      <w:r>
        <w:rPr/>
        <w:t xml:space="preserve">New </w:t>
      </w:r>
      <w:r>
        <w:rPr>
          <w:rStyle w:val="FootnoteCharacters"/>
        </w:rPr>
        <w:t xml:space="preserve">Securities proposed to be issued by the Company (including but not limited to the </w:t>
      </w:r>
      <w:r>
        <w:rPr/>
        <w:t xml:space="preserve">New </w:t>
      </w:r>
      <w:r>
        <w:rPr>
          <w:rStyle w:val="FootnoteCharacters"/>
        </w:rPr>
        <w:t xml:space="preserve">Securities not agreed by </w:t>
      </w:r>
      <w:r>
        <w:rPr/>
        <w:t xml:space="preserve">the Investor </w:t>
      </w:r>
      <w:r>
        <w:rPr>
          <w:rStyle w:val="FootnoteCharacters"/>
        </w:rPr>
        <w:t xml:space="preserve">to be purchased by it), at a price and on payment terms no less favorable to the Company than those specified in such notice of offer to </w:t>
      </w:r>
      <w:r>
        <w:rPr/>
        <w:t>the Investor</w:t>
      </w:r>
      <w:r>
        <w:rPr>
          <w:rStyle w:val="FootnoteCharacters"/>
        </w:rPr>
        <w:t xml:space="preserve">.  However, if such third party sale or sales are not consummated within such </w:t>
      </w:r>
      <w:r>
        <w:rPr/>
        <w:t>180-</w:t>
      </w:r>
      <w:r>
        <w:rPr>
          <w:rStyle w:val="FootnoteCharacters"/>
        </w:rPr>
        <w:t xml:space="preserve">day period, the Company shall not sell such </w:t>
      </w:r>
      <w:r>
        <w:rPr/>
        <w:t xml:space="preserve">New </w:t>
      </w:r>
      <w:r>
        <w:rPr>
          <w:rStyle w:val="FootnoteCharacters"/>
        </w:rPr>
        <w:t xml:space="preserve">Securities that have </w:t>
      </w:r>
      <w:r>
        <w:rPr/>
        <w:t xml:space="preserve">not </w:t>
      </w:r>
      <w:r>
        <w:rPr>
          <w:rStyle w:val="FootnoteCharacters"/>
        </w:rPr>
        <w:t xml:space="preserve">been purchased within such period without again complying with this Section </w:t>
      </w:r>
      <w:r>
        <w:rPr/>
        <w:t>3</w:t>
      </w:r>
      <w:r>
        <w:rPr>
          <w:rStyle w:val="FootnoteCharacters"/>
        </w:rPr>
        <w:t>.</w:t>
      </w:r>
    </w:p>
    <w:p>
      <w:pPr>
        <w:pStyle w:val="Heading3"/>
        <w:numPr>
          <w:ilvl w:val="2"/>
          <w:numId w:val="2"/>
        </w:numPr>
        <w:ind w:hanging="0" w:start="0"/>
        <w:rPr>
          <w:b/>
          <w:bCs/>
          <w:i/>
          <w:i/>
          <w:iCs/>
        </w:rPr>
      </w:pPr>
      <w:r>
        <w:rPr>
          <w:b/>
          <w:bCs/>
          <w:i/>
          <w:iCs/>
          <w:u w:val="single"/>
        </w:rPr>
        <w:t>Prohibited Transfers</w:t>
      </w:r>
      <w:r>
        <w:rPr>
          <w:b/>
          <w:bCs/>
          <w:i/>
          <w:iCs/>
        </w:rPr>
        <w:t>.</w:t>
      </w:r>
    </w:p>
    <w:p>
      <w:pPr>
        <w:pStyle w:val="Heading4"/>
        <w:numPr>
          <w:ilvl w:val="3"/>
          <w:numId w:val="2"/>
        </w:numPr>
        <w:ind w:hanging="0" w:start="0"/>
        <w:rPr/>
      </w:pPr>
      <w:r>
        <w:rPr/>
        <w:t>None of the Stockholders shall Transfer all or any of his or its Securities except (i) as expressly provided in Sections 5 and 6 of this Agreement, or (ii) under the following circumstances, none of which would require compliance with Sections 5 and 6 below:  (A) a Founder may Transfer the Securities he holds to the Company upon termination of employment, (B) each Founder may Transfer all or any of his Securities to a member of his Group, (C) the Investor may Transfer all or any of its Securities to an Affiliate of the Investor and (D) each Founder and the Investor may Transfer up to an aggregate of 2.5% of all or any of his or its Securities held on the date hereof, provided that, in the case of clauses (B), (C) and (D),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w:t>
      </w:r>
    </w:p>
    <w:p>
      <w:pPr>
        <w:pStyle w:val="Heading4"/>
        <w:numPr>
          <w:ilvl w:val="3"/>
          <w:numId w:val="2"/>
        </w:numPr>
        <w:ind w:hanging="0" w:start="0"/>
        <w:rPr/>
      </w:pPr>
      <w:r>
        <w:rPr/>
        <w:t>Notwithstanding the foregoing, no Stockholder may Transfer any Securities to a person or entity whose annual revenues (along with its Affiliates annual revenues) during each of the two years immediately preceding the most recently ended fiscal year prior to such transfer are greater than 75% derived from the sale or license of a risk management analysis and reporting product that incorporates substantially all the features and characteristics set forth on Exhibit A to the Co-Marketing Agreement.</w:t>
      </w:r>
    </w:p>
    <w:p>
      <w:pPr>
        <w:pStyle w:val="Heading4"/>
        <w:numPr>
          <w:ilvl w:val="3"/>
          <w:numId w:val="2"/>
        </w:numPr>
        <w:ind w:hanging="0" w:start="0"/>
        <w:rPr/>
      </w:pPr>
      <w:r>
        <w:rPr/>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Heading3"/>
        <w:keepNext w:val="true"/>
        <w:numPr>
          <w:ilvl w:val="2"/>
          <w:numId w:val="2"/>
        </w:numPr>
        <w:ind w:hanging="0" w:start="0"/>
        <w:rPr>
          <w:b/>
          <w:bCs/>
          <w:i/>
          <w:i/>
          <w:iCs/>
        </w:rPr>
      </w:pPr>
      <w:r>
        <w:rPr>
          <w:b/>
          <w:bCs/>
          <w:i/>
          <w:iCs/>
          <w:u w:val="single"/>
        </w:rPr>
        <w:t>Right of First Refusal on Dispositions by the Investor</w:t>
      </w:r>
      <w:r>
        <w:rPr>
          <w:b/>
          <w:bCs/>
          <w:i/>
          <w:iCs/>
        </w:rPr>
        <w:t>.</w:t>
      </w:r>
    </w:p>
    <w:p>
      <w:pPr>
        <w:pStyle w:val="Heading4"/>
        <w:numPr>
          <w:ilvl w:val="3"/>
          <w:numId w:val="2"/>
        </w:numPr>
        <w:ind w:hanging="0" w:start="0"/>
        <w:rPr/>
      </w:pPr>
      <w:r>
        <w:rPr/>
        <w:t>If at any time the Investor proposes to Transfer (other than a Transfer or sale that is permitted under clause (ii) of Section 4(a)) all or any part of its Securities (for purposes of this Section 5, the “</w:t>
      </w:r>
      <w:r>
        <w:rPr>
          <w:u w:val="single"/>
        </w:rPr>
        <w:t>Offered Securities</w:t>
      </w:r>
      <w:r>
        <w:rPr/>
        <w:t>”) pursuant to a bona fide written offer (the “</w:t>
      </w:r>
      <w:r>
        <w:rPr>
          <w:u w:val="single"/>
        </w:rPr>
        <w:t>Offer</w:t>
      </w:r>
      <w:r>
        <w:rPr/>
        <w:t>”) from a third party (a “</w:t>
      </w:r>
      <w:r>
        <w:rPr>
          <w:u w:val="single"/>
        </w:rPr>
        <w:t>Proposed Transferee</w:t>
      </w:r>
      <w:r>
        <w:rPr/>
        <w:t>”), the Investor shall so notify in writing the Company of the offer of such Securities (the “</w:t>
      </w:r>
      <w:r>
        <w:rPr>
          <w:u w:val="single"/>
        </w:rPr>
        <w:t>Offered Securities</w:t>
      </w:r>
      <w:r>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u w:val="single"/>
        </w:rPr>
        <w:t>Notice</w:t>
      </w:r>
      <w:r>
        <w:rPr/>
        <w:t>”).  The Notice shall further state that the Company shall have the right to acquire all (but not less than all) of such Offered Securities.  If the Company desires to purchase all (but not less than all) of the Offered Securities, the Company shall communicate in writing (the “</w:t>
      </w:r>
      <w:r>
        <w:rPr>
          <w:u w:val="single"/>
        </w:rPr>
        <w:t>Company Notice</w:t>
      </w:r>
      <w:r>
        <w:rPr/>
        <w:t>”) its election to purchase to the Investor, which communication shall be given to the Investor within twenty (20) days of receipt by the Company of the Notice.</w:t>
      </w:r>
    </w:p>
    <w:p>
      <w:pPr>
        <w:pStyle w:val="Heading4"/>
        <w:numPr>
          <w:ilvl w:val="3"/>
          <w:numId w:val="2"/>
        </w:numPr>
        <w:ind w:hanging="0" w:start="0"/>
        <w:rPr/>
      </w:pPr>
      <w:r>
        <w:rPr/>
        <w:t>Such communication shall, when taken in conjunction with the Company Notice, be deemed to constitute a valid, legally binding and enforceable agreement for the sale and purchase of such Offered Securities.  Sales of such Offered Securities to be sold to the Company pursuant to this Section 5 shall be made, subject to regulatory approvals if necessary, within 30 days following receipt by the Investor of the Company Notice (or if such 30th day shall not be a business day, then on the next succeeding business day).</w:t>
      </w:r>
    </w:p>
    <w:p>
      <w:pPr>
        <w:pStyle w:val="Heading4"/>
        <w:numPr>
          <w:ilvl w:val="3"/>
          <w:numId w:val="2"/>
        </w:numPr>
        <w:ind w:hanging="0" w:start="0"/>
        <w:rPr/>
      </w:pPr>
      <w:r>
        <w:rPr/>
        <w:t>If the Company does not elect to purchase all of the Offered Securities, then the Offered Securities may be sold by the Investor at any time within 180 days after the date the Offer was made.  Any such sale shall be at a price and upon other terms and conditions, if any, not more favorable to the proposed transferee than those specified in the Offer.  Any Offered Securities not sold within such 180-day period shall continue to be subject to the requirements of this Section 5.</w:t>
      </w:r>
    </w:p>
    <w:p>
      <w:pPr>
        <w:pStyle w:val="Heading4"/>
        <w:numPr>
          <w:ilvl w:val="3"/>
          <w:numId w:val="2"/>
        </w:numPr>
        <w:ind w:hanging="0" w:start="0"/>
        <w:rPr/>
      </w:pPr>
      <w:r>
        <w:rPr/>
        <w:t>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Heading3"/>
        <w:keepNext w:val="true"/>
        <w:keepLines/>
        <w:numPr>
          <w:ilvl w:val="2"/>
          <w:numId w:val="2"/>
        </w:numPr>
        <w:ind w:hanging="0" w:start="0"/>
        <w:rPr>
          <w:b/>
          <w:bCs/>
          <w:i/>
          <w:i/>
          <w:iCs/>
        </w:rPr>
      </w:pPr>
      <w:r>
        <w:rPr>
          <w:b/>
          <w:bCs/>
          <w:i/>
          <w:iCs/>
          <w:u w:val="single"/>
        </w:rPr>
        <w:t>Right to Participate in Sales</w:t>
      </w:r>
      <w:r>
        <w:rPr>
          <w:b/>
          <w:bCs/>
          <w:i/>
          <w:iCs/>
        </w:rPr>
        <w:t>.</w:t>
      </w:r>
    </w:p>
    <w:p>
      <w:pPr>
        <w:pStyle w:val="Heading4"/>
        <w:numPr>
          <w:ilvl w:val="3"/>
          <w:numId w:val="2"/>
        </w:numPr>
        <w:ind w:hanging="0" w:start="0"/>
        <w:rPr/>
      </w:pPr>
      <w:r>
        <w:rPr/>
        <w:t>If at any time a Founder (for purposes of this Section 6, a “</w:t>
      </w:r>
      <w:r>
        <w:rPr>
          <w:u w:val="single"/>
        </w:rPr>
        <w:t>Selling Restricted Stockholder</w:t>
      </w:r>
      <w:r>
        <w:rPr/>
        <w:t>”) desires to Transfer (other than a Transfer or sale that is permitted under clause (ii) of Section 4(a)) all or any part of the Securities owned by such Selling Restricted Stockholder (for purposes of this Section 6, the “Offered Securities”) to a third party (for purposes of this Section 6, a “</w:t>
      </w:r>
      <w:r>
        <w:rPr>
          <w:u w:val="single"/>
        </w:rPr>
        <w:t>Proposed Transferee</w:t>
      </w:r>
      <w:r>
        <w:rPr/>
        <w:t xml:space="preserve">”), then such Selling Restricted Stockholder shall not sell any such Offered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(free and clear of the provisions of Section 5) all or any part of the number of Securities equal to the product obtained by multiplying (x) the aggregate number of Securities covered by the Offer by (y) a fraction, the numerator of which is the number of Securities owned by the Investor and the denominator of which is the number of shares of Total Stock then outstanding.  </w:t>
      </w:r>
      <w:r>
        <w:rPr>
          <w:b/>
          <w:bCs/>
          <w:i/>
          <w:iCs/>
        </w:rPr>
        <w:t>[We may have comments on this formula once we see the revised capitalization table].</w:t>
      </w:r>
    </w:p>
    <w:p>
      <w:pPr>
        <w:pStyle w:val="Heading4"/>
        <w:numPr>
          <w:ilvl w:val="3"/>
          <w:numId w:val="2"/>
        </w:numPr>
        <w:ind w:hanging="0" w:start="0"/>
        <w:rPr/>
      </w:pPr>
      <w:r>
        <w:rPr/>
        <w:t>The Selling Restricted Stockholder who wishes to make a sale to a Proposed Transferee shall give the Investor notice (the “</w:t>
      </w:r>
      <w:r>
        <w:rPr>
          <w:u w:val="single"/>
        </w:rPr>
        <w:t>Sale Notice</w:t>
      </w:r>
      <w:r>
        <w:rPr/>
        <w:t>”) of such proposed sale stating the number of Offered Securities.  Such notice shall be given at least 20 days prior to the date of the proposed sale to the Proposed Transferee.  If the Investor wishes to so participate in any sale under this Section 6, it shall notify the Selling Restricted Holder in writing of such intention within 20 days after its receipt of the Sale Notice.</w:t>
      </w:r>
    </w:p>
    <w:p>
      <w:pPr>
        <w:pStyle w:val="Heading4"/>
        <w:numPr>
          <w:ilvl w:val="3"/>
          <w:numId w:val="2"/>
        </w:numPr>
        <w:ind w:hanging="0" w:start="0"/>
        <w:rPr/>
      </w:pPr>
      <w:r>
        <w:rPr/>
        <w:t xml:space="preserve">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Sale Notice; provided that, any purchase of less than all of such Securities by the Proposed Transferee shall be made from the Selling Restricted Stockholder and the Investor pro rata based upon the relative number of Securities that the Selling Restricted Stockholder and the Investor have otherwise agreed to sell pursuant to Section 6(a).  </w:t>
      </w:r>
      <w:r>
        <w:rPr>
          <w:b/>
          <w:bCs/>
          <w:i/>
          <w:iCs/>
        </w:rPr>
        <w:t>[We may have comments on this formula once we see the revised capitalization table].</w:t>
      </w:r>
    </w:p>
    <w:p>
      <w:pPr>
        <w:pStyle w:val="Heading4"/>
        <w:numPr>
          <w:ilvl w:val="3"/>
          <w:numId w:val="2"/>
        </w:numPr>
        <w:ind w:hanging="0" w:start="0"/>
        <w:rPr/>
      </w:pPr>
      <w:r>
        <w:rPr/>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Heading3"/>
        <w:numPr>
          <w:ilvl w:val="2"/>
          <w:numId w:val="2"/>
        </w:numPr>
        <w:ind w:firstLine="1440" w:start="0" w:end="0"/>
        <w:rPr/>
      </w:pPr>
      <w:r>
        <w:rPr>
          <w:b/>
          <w:bCs/>
          <w:i/>
          <w:iCs/>
          <w:u w:val="single"/>
        </w:rPr>
        <w:t>Term</w:t>
      </w:r>
      <w:r>
        <w:rPr>
          <w:b/>
          <w:bCs/>
          <w:i/>
          <w:iCs/>
        </w:rPr>
        <w:t xml:space="preserve">.  </w:t>
      </w:r>
      <w:r>
        <w:rPr/>
        <w:t xml:space="preserve">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w:t>
      </w:r>
      <w:r>
        <w:rPr>
          <w:b/>
          <w:bCs/>
          <w:i/>
          <w:iCs/>
        </w:rPr>
        <w:t>[IPO qualifications to come]</w:t>
      </w:r>
      <w:r>
        <w:rPr/>
        <w:t xml:space="preserve">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the consummation of any other transaction or series of related transactions in which more than fifty percent (50%) of the voting power of the Company is disposed of; provided, however, that, in the event of the termination of this Agreement pursuant to clause (i) above, Section 6 hereof shall survive so as to permit the Investor to sell Securities in such public offering pursuant to such Section.</w:t>
      </w:r>
    </w:p>
    <w:p>
      <w:pPr>
        <w:pStyle w:val="Heading3"/>
        <w:numPr>
          <w:ilvl w:val="2"/>
          <w:numId w:val="2"/>
        </w:numPr>
        <w:ind w:firstLine="1440" w:start="0" w:end="0"/>
        <w:rPr/>
      </w:pPr>
      <w:r>
        <w:rPr>
          <w:b/>
          <w:bCs/>
          <w:i/>
          <w:iCs/>
          <w:u w:val="single"/>
        </w:rPr>
        <w:t>Specific Enforcement</w:t>
      </w:r>
      <w:r>
        <w:rPr>
          <w:b/>
          <w:bCs/>
          <w:i/>
          <w:iCs/>
        </w:rPr>
        <w:t xml:space="preserve">.  </w:t>
      </w:r>
      <w:r>
        <w:rPr/>
        <w:t>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Heading3"/>
        <w:numPr>
          <w:ilvl w:val="2"/>
          <w:numId w:val="2"/>
        </w:numPr>
        <w:ind w:firstLine="1440" w:start="0" w:end="0"/>
        <w:rPr/>
      </w:pPr>
      <w:r>
        <w:rPr>
          <w:b/>
          <w:bCs/>
          <w:i/>
          <w:iCs/>
          <w:u w:val="single"/>
        </w:rPr>
        <w:t>Legend</w:t>
      </w:r>
      <w:r>
        <w:rPr>
          <w:b/>
          <w:bCs/>
          <w:i/>
          <w:iCs/>
        </w:rPr>
        <w:t xml:space="preserve">.  </w:t>
      </w:r>
      <w:r>
        <w:rPr/>
        <w:t>Each certificate evidencing any of the Securities now owned or hereafter acquired by the Stockholders shall bear a legend that includes the following provision:</w:t>
      </w:r>
    </w:p>
    <w:p>
      <w:pPr>
        <w:pStyle w:val="Normal"/>
        <w:spacing w:before="120" w:after="240"/>
        <w:ind w:start="720" w:end="720"/>
        <w:jc w:val="both"/>
        <w:rPr/>
      </w:pPr>
      <w:r>
        <w:rPr/>
        <w:t>ANY SALE, ASSIGNMENT, TRANSFER OR OTHER DISPOSITION OF THE SHARES REPRESENTED BY THIS CERTIFICATE IS RESTRICTED BY, AND SUBJECT TO, THE TERMS AND PROVISIONS OF A CERTAIN STOCKHOLDERS’ AGREEMENT DATED AS OF [</w:t>
      </w:r>
      <w:r>
        <w:rPr>
          <w:u w:val="single"/>
        </w:rPr>
        <w:tab/>
        <w:tab/>
      </w:r>
      <w:r>
        <w:rPr/>
        <w:t>], 2001.  A COPY OF SUCH AGREEMENT IS ON FILE WITH THE SECRETARY OF THE COMPANY.</w:t>
      </w:r>
    </w:p>
    <w:p>
      <w:pPr>
        <w:pStyle w:val="Normal"/>
        <w:spacing w:before="120" w:after="240"/>
        <w:ind w:firstLine="810" w:end="0"/>
        <w:jc w:val="both"/>
        <w:rPr/>
      </w:pPr>
      <w:r>
        <w:rPr/>
        <w:t>The Company shall cause the foregoing legend to be removed from such certificate, at the request of the holder thereof, at such time as the Securities evidenced by such certificates cease to be subject to this Agreement.</w:t>
      </w:r>
    </w:p>
    <w:p>
      <w:pPr>
        <w:pStyle w:val="Heading3"/>
        <w:numPr>
          <w:ilvl w:val="2"/>
          <w:numId w:val="2"/>
        </w:numPr>
        <w:ind w:firstLine="1440" w:start="0" w:end="0"/>
        <w:rPr/>
      </w:pPr>
      <w:r>
        <w:rPr>
          <w:b/>
          <w:bCs/>
          <w:i/>
          <w:iCs/>
          <w:u w:val="single"/>
        </w:rPr>
        <w:t>Notices</w:t>
      </w:r>
      <w:r>
        <w:rPr>
          <w:b/>
          <w:bCs/>
          <w:i/>
          <w:iCs/>
        </w:rPr>
        <w:t>.</w:t>
      </w:r>
      <w:r>
        <w:rPr/>
        <w:t xml:space="preserve">  Notices given hereunder shall be deemed to have been duly given on the date of personal delivery; or on the date of electronic confirmation of receipt, if sent by telecopier; or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Heading3"/>
        <w:numPr>
          <w:ilvl w:val="2"/>
          <w:numId w:val="2"/>
        </w:numPr>
        <w:ind w:firstLine="1440" w:start="0" w:end="0"/>
        <w:rPr/>
      </w:pPr>
      <w:r>
        <w:rPr>
          <w:b/>
          <w:bCs/>
          <w:i/>
          <w:iCs/>
          <w:u w:val="single"/>
        </w:rPr>
        <w:t>Entire Agreement</w:t>
      </w:r>
      <w:r>
        <w:rPr>
          <w:b/>
          <w:bCs/>
          <w:i/>
          <w:iCs/>
        </w:rPr>
        <w:t xml:space="preserve">.  </w:t>
      </w:r>
      <w:r>
        <w:rPr/>
        <w:t>This Agreement constitutes the entire agreement among the Stockholders with respect to the subject matter hereof and supersedes all prior agreements and understandings between them or any of them with respect to such subject matter.</w:t>
      </w:r>
    </w:p>
    <w:p>
      <w:pPr>
        <w:pStyle w:val="Heading3"/>
        <w:numPr>
          <w:ilvl w:val="2"/>
          <w:numId w:val="2"/>
        </w:numPr>
        <w:ind w:firstLine="1440" w:start="0" w:end="0"/>
        <w:rPr/>
      </w:pPr>
      <w:r>
        <w:rPr>
          <w:b/>
          <w:bCs/>
          <w:i/>
          <w:iCs/>
          <w:u w:val="single"/>
        </w:rPr>
        <w:t>Amendments</w:t>
      </w:r>
      <w:r>
        <w:rPr>
          <w:b/>
          <w:bCs/>
          <w:i/>
          <w:iCs/>
        </w:rPr>
        <w:t xml:space="preserve">.  </w:t>
      </w:r>
      <w:r>
        <w:rPr/>
        <w:t xml:space="preserve">Neither this Agreement nor any provision hereof may be waived, modified, amended or terminated except by a written agreement signed by each of the parties hereto; </w:t>
      </w:r>
      <w:r>
        <w:rPr>
          <w:u w:val="single"/>
        </w:rPr>
        <w:t>provided</w:t>
      </w:r>
      <w:r>
        <w:rPr/>
        <w:t xml:space="preserve">, </w:t>
      </w:r>
      <w:r>
        <w:rPr>
          <w:u w:val="single"/>
        </w:rPr>
        <w:t>however</w:t>
      </w:r>
      <w:r>
        <w:rPr/>
        <w:t xml:space="preserve">, that (i) holders of a majority of the Securities held by the Founders and their respective Groups, in the aggregate, may effect any such waiver, modification, amendment or termination on behalf of the Founders and (ii) holders of a majority of the Securities held by Investor and its Affiliates may effect any such waiver, modification, amendment or termination on behalf of such holders; </w:t>
      </w:r>
      <w:r>
        <w:rPr>
          <w:u w:val="single"/>
        </w:rPr>
        <w:t>provided</w:t>
      </w:r>
      <w:r>
        <w:rPr/>
        <w:t xml:space="preserve"> that the rights of any Designating Party as provided in Section 2 hereof may not be waived, modified, amended or terminated without the written consent of such Designating Party; and </w:t>
      </w:r>
      <w:r>
        <w:rPr>
          <w:u w:val="single"/>
        </w:rPr>
        <w:t>provided</w:t>
      </w:r>
      <w:r>
        <w:rPr/>
        <w:t xml:space="preserve">, </w:t>
      </w:r>
      <w:r>
        <w:rPr>
          <w:u w:val="single"/>
        </w:rPr>
        <w:t>further</w:t>
      </w:r>
      <w:r>
        <w:rPr/>
        <w:t>, that, without the consent of all parties to this Agreement who own Securities, no amendment, waiver or addition to this Agreement may be made which modifies this Section 12.</w:t>
      </w:r>
    </w:p>
    <w:p>
      <w:pPr>
        <w:pStyle w:val="Heading3"/>
        <w:keepNext w:val="true"/>
        <w:numPr>
          <w:ilvl w:val="2"/>
          <w:numId w:val="2"/>
        </w:numPr>
        <w:ind w:firstLine="1440" w:start="0" w:end="0"/>
        <w:rPr/>
      </w:pPr>
      <w:r>
        <w:rPr>
          <w:b/>
          <w:bCs/>
          <w:i/>
          <w:iCs/>
          <w:u w:val="single"/>
        </w:rPr>
        <w:t>Governing Law; Venue</w:t>
      </w:r>
      <w:r>
        <w:rPr>
          <w:b/>
          <w:bCs/>
          <w:i/>
          <w:iCs/>
        </w:rPr>
        <w:t>.</w:t>
      </w:r>
    </w:p>
    <w:p>
      <w:pPr>
        <w:pStyle w:val="Heading4"/>
        <w:numPr>
          <w:ilvl w:val="3"/>
          <w:numId w:val="2"/>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4"/>
        <w:numPr>
          <w:ilvl w:val="3"/>
          <w:numId w:val="2"/>
        </w:numPr>
        <w:ind w:hanging="0" w:start="0"/>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3"/>
        <w:numPr>
          <w:ilvl w:val="2"/>
          <w:numId w:val="2"/>
        </w:numPr>
        <w:ind w:firstLine="1440" w:start="0" w:end="0"/>
        <w:rPr/>
      </w:pPr>
      <w:r>
        <w:rPr>
          <w:b/>
          <w:bCs/>
          <w:i/>
          <w:iCs/>
          <w:u w:val="single"/>
        </w:rPr>
        <w:t>Successors and Assigns</w:t>
      </w:r>
      <w:r>
        <w:rPr>
          <w:b/>
          <w:bCs/>
          <w:i/>
          <w:iCs/>
        </w:rPr>
        <w:t xml:space="preserve">.  </w:t>
      </w:r>
      <w:r>
        <w:rPr/>
        <w:t xml:space="preserve">Except as otherwise provided herein, this Agreement shall be binding upon, and shall inure to the benefit of, the heirs, personal representatives, executors, administrators, successors and assigns of the parties. </w:t>
      </w:r>
    </w:p>
    <w:p>
      <w:pPr>
        <w:pStyle w:val="Heading3"/>
        <w:numPr>
          <w:ilvl w:val="2"/>
          <w:numId w:val="2"/>
        </w:numPr>
        <w:ind w:firstLine="1440" w:start="0" w:end="0"/>
        <w:rPr/>
      </w:pPr>
      <w:r>
        <w:rPr>
          <w:b/>
          <w:bCs/>
          <w:i/>
          <w:iCs/>
          <w:u w:val="single"/>
        </w:rPr>
        <w:t>Aggregation of Stock</w:t>
      </w:r>
      <w:r>
        <w:rPr>
          <w:b/>
          <w:bCs/>
          <w:i/>
          <w:iCs/>
        </w:rPr>
        <w:t xml:space="preserve">.  </w:t>
      </w:r>
      <w:r>
        <w:rPr/>
        <w:t>All Securities held or acquired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Heading3"/>
        <w:numPr>
          <w:ilvl w:val="2"/>
          <w:numId w:val="2"/>
        </w:numPr>
        <w:ind w:firstLine="1440" w:start="0" w:end="0"/>
        <w:rPr/>
      </w:pPr>
      <w:r>
        <w:rPr>
          <w:b/>
          <w:bCs/>
          <w:i/>
          <w:iCs/>
          <w:u w:val="single"/>
        </w:rPr>
        <w:t>Severability</w:t>
      </w:r>
      <w:r>
        <w:rPr>
          <w:b/>
          <w:bCs/>
          <w:i/>
          <w:iCs/>
        </w:rPr>
        <w:t>.</w:t>
      </w:r>
      <w:r>
        <w:rPr/>
        <w:t xml:space="preserve">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Heading3"/>
        <w:numPr>
          <w:ilvl w:val="2"/>
          <w:numId w:val="2"/>
        </w:numPr>
        <w:ind w:firstLine="1440" w:start="0" w:end="0"/>
        <w:rPr/>
      </w:pPr>
      <w:r>
        <w:rPr>
          <w:b/>
          <w:bCs/>
          <w:i/>
          <w:iCs/>
          <w:u w:val="single"/>
        </w:rPr>
        <w:t>Captions</w:t>
      </w:r>
      <w:r>
        <w:rPr>
          <w:b/>
          <w:bCs/>
          <w:i/>
          <w:iCs/>
        </w:rPr>
        <w:t xml:space="preserve">.  </w:t>
      </w:r>
      <w:r>
        <w:rPr/>
        <w:t>Captions are for convenience only and are not deemed to be part of this Agreement.</w:t>
      </w:r>
    </w:p>
    <w:p>
      <w:pPr>
        <w:pStyle w:val="Heading3"/>
        <w:numPr>
          <w:ilvl w:val="2"/>
          <w:numId w:val="2"/>
        </w:numPr>
        <w:ind w:firstLine="1440" w:start="0" w:end="0"/>
        <w:rPr/>
      </w:pPr>
      <w:r>
        <w:rPr>
          <w:b/>
          <w:bCs/>
          <w:i/>
          <w:iCs/>
          <w:u w:val="single"/>
        </w:rPr>
        <w:t>Counterparts</w:t>
      </w:r>
      <w:r>
        <w:rPr>
          <w:b/>
          <w:bCs/>
          <w:i/>
          <w:iCs/>
        </w:rPr>
        <w:t xml:space="preserve">.  </w:t>
      </w:r>
      <w:r>
        <w:rPr/>
        <w:t>This Agreement may be executed in two or more counterparts, each of which shall be deemed an original, but all of which together shall constitute one and the same instrument.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pPr>
      <w:r>
        <w:rPr/>
        <w:t>[REMAINDER OF PAGE INTENTIONALLY LEFT BLANK]</w:t>
      </w:r>
    </w:p>
    <w:p>
      <w:pPr>
        <w:pStyle w:val="Normal"/>
        <w:ind w:firstLine="1440" w:end="0"/>
        <w:jc w:val="both"/>
        <w:rPr/>
      </w:pPr>
      <w:r>
        <w:rPr/>
        <w:t>IN WITNESS WHEREOF, this Agreement has been executed as of the date and year first above written.</w:t>
      </w:r>
    </w:p>
    <w:p>
      <w:pPr>
        <w:pStyle w:val="Normal"/>
        <w:ind w:firstLine="1440" w:end="0"/>
        <w:rPr/>
      </w:pPr>
      <w:r>
        <w:rPr/>
      </w:r>
    </w:p>
    <w:p>
      <w:pPr>
        <w:pStyle w:val="Normal"/>
        <w:ind w:start="4320" w:end="0"/>
        <w:rPr>
          <w:b/>
          <w:bCs/>
        </w:rPr>
      </w:pPr>
      <w:r>
        <w:rPr>
          <w:b/>
          <w:bCs/>
        </w:rPr>
        <w:t>KIODEX, INC.</w:t>
      </w:r>
    </w:p>
    <w:p>
      <w:pPr>
        <w:pStyle w:val="Normal"/>
        <w:spacing w:before="720" w:after="0"/>
        <w:ind w:start="4320" w:end="0"/>
        <w:rPr/>
      </w:pPr>
      <w:r>
        <w:rPr/>
        <w:t>By:</w:t>
        <w:tab/>
      </w:r>
      <w:r>
        <w:rPr>
          <w:u w:val="single"/>
        </w:rPr>
        <w:tab/>
        <w:tab/>
        <w:tab/>
        <w:tab/>
        <w:tab/>
        <w:tab/>
      </w:r>
    </w:p>
    <w:p>
      <w:pPr>
        <w:pStyle w:val="Normal"/>
        <w:ind w:start="4320" w:end="0"/>
        <w:rPr/>
      </w:pPr>
      <w:r>
        <w:rPr/>
        <w:t>Name:</w:t>
        <w:tab/>
      </w:r>
      <w:r>
        <w:rPr>
          <w:u w:val="single"/>
        </w:rPr>
        <w:tab/>
        <w:tab/>
        <w:tab/>
        <w:tab/>
        <w:tab/>
        <w:tab/>
      </w:r>
    </w:p>
    <w:p>
      <w:pPr>
        <w:pStyle w:val="Normal"/>
        <w:ind w:hanging="720" w:start="5040" w:end="0"/>
        <w:rPr/>
      </w:pPr>
      <w:r>
        <w:rPr/>
        <w:t>Title:</w:t>
        <w:tab/>
      </w:r>
      <w:r>
        <w:rPr>
          <w:u w:val="single"/>
        </w:rPr>
        <w:tab/>
        <w:tab/>
        <w:tab/>
        <w:tab/>
        <w:tab/>
        <w:tab/>
      </w:r>
    </w:p>
    <w:p>
      <w:pPr>
        <w:pStyle w:val="Normal"/>
        <w:spacing w:before="720" w:after="0"/>
        <w:ind w:start="4320" w:end="0"/>
        <w:rPr>
          <w:u w:val="single"/>
        </w:rPr>
      </w:pPr>
      <w:r>
        <w:rPr>
          <w:u w:val="single"/>
        </w:rPr>
        <w:tab/>
        <w:tab/>
        <w:tab/>
        <w:tab/>
        <w:tab/>
        <w:tab/>
        <w:tab/>
      </w:r>
    </w:p>
    <w:p>
      <w:pPr>
        <w:pStyle w:val="Normal"/>
        <w:ind w:start="4320" w:end="0"/>
        <w:rPr/>
      </w:pPr>
      <w:r>
        <w:rPr/>
        <w:t>R. Martin Chavez</w:t>
      </w:r>
    </w:p>
    <w:p>
      <w:pPr>
        <w:pStyle w:val="Normal"/>
        <w:ind w:start="4320" w:end="0"/>
        <w:rPr/>
      </w:pPr>
      <w:r>
        <w:rPr/>
      </w:r>
    </w:p>
    <w:p>
      <w:pPr>
        <w:pStyle w:val="Normal"/>
        <w:ind w:hanging="720" w:start="5040" w:end="0"/>
        <w:rPr/>
      </w:pPr>
      <w:r>
        <w:rPr/>
      </w:r>
    </w:p>
    <w:p>
      <w:pPr>
        <w:pStyle w:val="Normal"/>
        <w:tabs>
          <w:tab w:val="clear" w:pos="720"/>
          <w:tab w:val="left" w:pos="-720" w:leader="none"/>
        </w:tabs>
        <w:suppressAutoHyphens w:val="true"/>
        <w:ind w:start="4320" w:end="0"/>
        <w:rPr>
          <w:u w:val="single"/>
        </w:rPr>
      </w:pPr>
      <w:r>
        <w:rPr>
          <w:u w:val="single"/>
        </w:rPr>
        <w:tab/>
        <w:tab/>
        <w:tab/>
        <w:tab/>
        <w:tab/>
        <w:tab/>
        <w:tab/>
      </w:r>
    </w:p>
    <w:p>
      <w:pPr>
        <w:pStyle w:val="Normal"/>
        <w:tabs>
          <w:tab w:val="clear" w:pos="720"/>
          <w:tab w:val="left" w:pos="-720" w:leader="none"/>
        </w:tabs>
        <w:suppressAutoHyphens w:val="true"/>
        <w:ind w:start="4320" w:end="0"/>
        <w:rPr/>
      </w:pPr>
      <w:r>
        <w:rPr/>
        <w:t>Raj Mahajan</w:t>
      </w:r>
    </w:p>
    <w:p>
      <w:pPr>
        <w:pStyle w:val="Normal"/>
        <w:ind w:hanging="720" w:start="5040" w:end="0"/>
        <w:rPr/>
      </w:pPr>
      <w:r>
        <w:rPr/>
      </w:r>
    </w:p>
    <w:p>
      <w:pPr>
        <w:pStyle w:val="Normal"/>
        <w:ind w:hanging="720" w:start="5040" w:end="0"/>
        <w:rPr/>
      </w:pPr>
      <w:r>
        <w:rPr/>
      </w:r>
    </w:p>
    <w:p>
      <w:pPr>
        <w:pStyle w:val="Normal"/>
        <w:ind w:start="4320" w:end="0"/>
        <w:rPr/>
      </w:pPr>
      <w:r>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b/>
          <w:bCs/>
        </w:rPr>
      </w:pPr>
      <w:r>
        <w:rPr>
          <w:b/>
          <w:bCs/>
        </w:rPr>
        <w:t>ENRON NET WORKS INVESTMENTS LLC</w:t>
      </w:r>
    </w:p>
    <w:p>
      <w:pPr>
        <w:pStyle w:val="Normal"/>
        <w:tabs>
          <w:tab w:val="clear" w:pos="720"/>
          <w:tab w:val="left" w:pos="-720" w:leader="none"/>
        </w:tabs>
        <w:suppressAutoHyphens w:val="true"/>
        <w:ind w:start="4320" w:end="0"/>
        <w:rPr>
          <w:b/>
          <w:bCs/>
        </w:rPr>
      </w:pPr>
      <w:r>
        <w:rPr>
          <w:b/>
          <w:bCs/>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pPr>
      <w:r>
        <w:rPr/>
        <w:t>By:</w:t>
        <w:tab/>
      </w:r>
      <w:r>
        <w:rPr>
          <w:u w:val="single"/>
        </w:rPr>
        <w:tab/>
        <w:tab/>
        <w:tab/>
        <w:tab/>
        <w:tab/>
        <w:tab/>
      </w:r>
    </w:p>
    <w:p>
      <w:pPr>
        <w:pStyle w:val="Normal"/>
        <w:tabs>
          <w:tab w:val="clear" w:pos="720"/>
          <w:tab w:val="left" w:pos="-720" w:leader="none"/>
        </w:tabs>
        <w:suppressAutoHyphens w:val="true"/>
        <w:ind w:start="4320" w:end="0"/>
        <w:rPr/>
      </w:pPr>
      <w:r>
        <w:rPr/>
        <w:t>Name:</w:t>
        <w:tab/>
      </w:r>
      <w:r>
        <w:rPr>
          <w:u w:val="single"/>
        </w:rPr>
        <w:tab/>
        <w:tab/>
        <w:tab/>
        <w:tab/>
        <w:tab/>
        <w:tab/>
      </w:r>
    </w:p>
    <w:p>
      <w:pPr>
        <w:pStyle w:val="Normal"/>
        <w:tabs>
          <w:tab w:val="clear" w:pos="720"/>
          <w:tab w:val="left" w:pos="-720" w:leader="none"/>
        </w:tabs>
        <w:suppressAutoHyphens w:val="true"/>
        <w:ind w:start="4320" w:end="0"/>
        <w:rPr/>
      </w:pPr>
      <w:r>
        <w:rPr/>
        <w:t>Title:</w:t>
        <w:tab/>
      </w:r>
      <w:r>
        <w:rPr>
          <w:u w:val="single"/>
        </w:rPr>
        <w:tab/>
        <w:tab/>
        <w:tab/>
        <w:tab/>
        <w:tab/>
        <w:tab/>
      </w:r>
    </w:p>
    <w:p>
      <w:pPr>
        <w:pStyle w:val="Normal"/>
        <w:tabs>
          <w:tab w:val="clear" w:pos="720"/>
          <w:tab w:val="left" w:pos="-720" w:leader="none"/>
        </w:tabs>
        <w:suppressAutoHyphens w:val="true"/>
        <w:ind w:start="4320" w:end="0"/>
        <w:rPr>
          <w:u w:val="single"/>
        </w:rPr>
      </w:pPr>
      <w:r>
        <w:rPr>
          <w:u w:val="single"/>
        </w:rPr>
      </w:r>
    </w:p>
    <w:p>
      <w:pPr>
        <w:pStyle w:val="Normal"/>
        <w:tabs>
          <w:tab w:val="clear" w:pos="720"/>
          <w:tab w:val="left" w:pos="-720" w:leader="none"/>
        </w:tabs>
        <w:suppressAutoHyphens w:val="true"/>
        <w:ind w:start="4320" w:end="0"/>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jc w:val="center"/>
        <w:rPr>
          <w:b/>
          <w:bCs/>
          <w:u w:val="single"/>
        </w:rPr>
      </w:pPr>
      <w:r>
        <w:rPr>
          <w:b/>
          <w:bCs/>
          <w:u w:val="single"/>
        </w:rPr>
        <w:t>STOCKHOLDERS</w:t>
      </w:r>
    </w:p>
    <w:p>
      <w:pPr>
        <w:pStyle w:val="Normal"/>
        <w:tabs>
          <w:tab w:val="clear" w:pos="720"/>
          <w:tab w:val="left" w:pos="-720" w:leader="none"/>
        </w:tabs>
        <w:suppressAutoHyphens w:val="true"/>
        <w:rPr>
          <w:b/>
          <w:bCs/>
          <w:u w:val="single"/>
        </w:rPr>
      </w:pPr>
      <w:r>
        <w:rPr>
          <w:b/>
          <w:bCs/>
          <w:u w:val="single"/>
        </w:rPr>
      </w:r>
    </w:p>
    <w:tbl>
      <w:tblPr>
        <w:tblW w:w="9576" w:type="dxa"/>
        <w:jc w:val="center"/>
        <w:tblInd w:w="0" w:type="dxa"/>
        <w:tblLayout w:type="fixed"/>
        <w:tblCellMar>
          <w:top w:w="0" w:type="dxa"/>
          <w:start w:w="108" w:type="dxa"/>
          <w:bottom w:w="0" w:type="dxa"/>
          <w:end w:w="108" w:type="dxa"/>
        </w:tblCellMar>
      </w:tblPr>
      <w:tblGrid>
        <w:gridCol w:w="2495"/>
        <w:gridCol w:w="3708"/>
        <w:gridCol w:w="3373"/>
      </w:tblGrid>
      <w:tr>
        <w:trPr>
          <w:tblHeader w:val="true"/>
        </w:trPr>
        <w:tc>
          <w:tcPr>
            <w:tcW w:w="2495" w:type="dxa"/>
            <w:tcBorders>
              <w:top w:val="single" w:sz="12" w:space="0" w:color="008000"/>
              <w:bottom w:val="single" w:sz="6" w:space="0" w:color="008000"/>
            </w:tcBorders>
          </w:tcPr>
          <w:p>
            <w:pPr>
              <w:pStyle w:val="Normal"/>
              <w:tabs>
                <w:tab w:val="clear" w:pos="720"/>
                <w:tab w:val="left" w:pos="-720" w:leader="none"/>
              </w:tabs>
              <w:suppressAutoHyphens w:val="true"/>
              <w:snapToGrid w:val="false"/>
              <w:rPr>
                <w:sz w:val="22"/>
              </w:rPr>
            </w:pPr>
            <w:r>
              <w:rPr>
                <w:sz w:val="22"/>
              </w:rPr>
            </w:r>
          </w:p>
        </w:tc>
        <w:tc>
          <w:tcPr>
            <w:tcW w:w="3708" w:type="dxa"/>
            <w:tcBorders>
              <w:top w:val="single" w:sz="12" w:space="0" w:color="008000"/>
              <w:bottom w:val="single" w:sz="6" w:space="0" w:color="008000"/>
            </w:tcBorders>
            <w:vAlign w:val="bottom"/>
          </w:tcPr>
          <w:p>
            <w:pPr>
              <w:pStyle w:val="Normal"/>
              <w:tabs>
                <w:tab w:val="clear" w:pos="720"/>
                <w:tab w:val="right" w:pos="2862" w:leader="none"/>
              </w:tabs>
              <w:suppressAutoHyphens w:val="true"/>
              <w:rPr>
                <w:sz w:val="22"/>
                <w:u w:val="single"/>
              </w:rPr>
            </w:pPr>
            <w:r>
              <w:rPr>
                <w:sz w:val="22"/>
                <w:u w:val="single"/>
              </w:rPr>
              <w:t>Name</w:t>
              <w:tab/>
            </w:r>
          </w:p>
        </w:tc>
        <w:tc>
          <w:tcPr>
            <w:tcW w:w="3373" w:type="dxa"/>
            <w:tcBorders>
              <w:top w:val="single" w:sz="12" w:space="0" w:color="008000"/>
              <w:bottom w:val="single" w:sz="6" w:space="0" w:color="008000"/>
            </w:tcBorders>
            <w:vAlign w:val="bottom"/>
          </w:tcPr>
          <w:p>
            <w:pPr>
              <w:pStyle w:val="Normal"/>
              <w:tabs>
                <w:tab w:val="clear" w:pos="720"/>
                <w:tab w:val="left" w:pos="-720" w:leader="none"/>
                <w:tab w:val="right" w:pos="1692" w:leader="none"/>
              </w:tabs>
              <w:suppressAutoHyphens w:val="true"/>
              <w:ind w:end="342"/>
              <w:rPr>
                <w:sz w:val="22"/>
              </w:rPr>
            </w:pPr>
            <w:r>
              <w:rPr>
                <w:sz w:val="22"/>
              </w:rPr>
              <w:t xml:space="preserve">Shares of Common Stock </w:t>
            </w:r>
            <w:r>
              <w:rPr>
                <w:sz w:val="22"/>
                <w:u w:val="single"/>
              </w:rPr>
              <w:t>Owned</w:t>
              <w:tab/>
            </w:r>
          </w:p>
        </w:tc>
      </w:tr>
      <w:tr>
        <w:trPr/>
        <w:tc>
          <w:tcPr>
            <w:tcW w:w="2495" w:type="dxa"/>
            <w:tcBorders/>
          </w:tcPr>
          <w:p>
            <w:pPr>
              <w:pStyle w:val="Normal"/>
              <w:tabs>
                <w:tab w:val="clear" w:pos="720"/>
                <w:tab w:val="left" w:pos="-720" w:leader="none"/>
              </w:tabs>
              <w:suppressAutoHyphens w:val="true"/>
              <w:snapToGrid w:val="false"/>
              <w:rPr>
                <w:sz w:val="22"/>
              </w:rPr>
            </w:pPr>
            <w:r>
              <w:rPr>
                <w:sz w:val="22"/>
              </w:rPr>
            </w:r>
          </w:p>
        </w:tc>
        <w:tc>
          <w:tcPr>
            <w:tcW w:w="3708" w:type="dxa"/>
            <w:tcBorders/>
          </w:tcPr>
          <w:p>
            <w:pPr>
              <w:pStyle w:val="Normal"/>
              <w:tabs>
                <w:tab w:val="clear" w:pos="720"/>
                <w:tab w:val="right" w:pos="2862" w:leader="none"/>
              </w:tabs>
              <w:suppressAutoHyphens w:val="true"/>
              <w:snapToGrid w:val="false"/>
              <w:rPr>
                <w:sz w:val="22"/>
              </w:rPr>
            </w:pPr>
            <w:r>
              <w:rPr>
                <w:sz w:val="22"/>
              </w:rPr>
            </w:r>
          </w:p>
        </w:tc>
        <w:tc>
          <w:tcPr>
            <w:tcW w:w="3373" w:type="dxa"/>
            <w:tcBorders/>
          </w:tcPr>
          <w:p>
            <w:pPr>
              <w:pStyle w:val="Normal"/>
              <w:tabs>
                <w:tab w:val="clear" w:pos="720"/>
                <w:tab w:val="left" w:pos="-720" w:leader="none"/>
                <w:tab w:val="right" w:pos="1692" w:leader="none"/>
              </w:tabs>
              <w:suppressAutoHyphens w:val="true"/>
              <w:snapToGrid w:val="false"/>
              <w:ind w:end="342"/>
              <w:rPr>
                <w:sz w:val="22"/>
              </w:rPr>
            </w:pPr>
            <w:r>
              <w:rPr>
                <w:sz w:val="22"/>
              </w:rPr>
            </w:r>
          </w:p>
        </w:tc>
      </w:tr>
      <w:tr>
        <w:trPr/>
        <w:tc>
          <w:tcPr>
            <w:tcW w:w="2495" w:type="dxa"/>
            <w:tcBorders/>
          </w:tcPr>
          <w:p>
            <w:pPr>
              <w:pStyle w:val="Normal"/>
              <w:tabs>
                <w:tab w:val="clear" w:pos="720"/>
                <w:tab w:val="left" w:pos="-720" w:leader="none"/>
              </w:tabs>
              <w:suppressAutoHyphens w:val="true"/>
              <w:rPr>
                <w:sz w:val="22"/>
              </w:rPr>
            </w:pPr>
            <w:r>
              <w:rPr>
                <w:sz w:val="22"/>
              </w:rPr>
              <w:t>FOUNDERS</w:t>
            </w:r>
          </w:p>
        </w:tc>
        <w:tc>
          <w:tcPr>
            <w:tcW w:w="3708" w:type="dxa"/>
            <w:tcBorders/>
          </w:tcPr>
          <w:p>
            <w:pPr>
              <w:pStyle w:val="Normal"/>
              <w:tabs>
                <w:tab w:val="clear" w:pos="720"/>
                <w:tab w:val="left" w:pos="-720" w:leader="none"/>
              </w:tabs>
              <w:suppressAutoHyphens w:val="true"/>
              <w:rPr>
                <w:sz w:val="22"/>
              </w:rPr>
            </w:pPr>
            <w:r>
              <w:rPr>
                <w:sz w:val="22"/>
              </w:rPr>
              <w:t>R. Martin Chavez</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Raj Mahajan</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tc>
        <w:tc>
          <w:tcPr>
            <w:tcW w:w="3373" w:type="dxa"/>
            <w:tcBorders/>
          </w:tcPr>
          <w:p>
            <w:pPr>
              <w:pStyle w:val="Normal"/>
              <w:tabs>
                <w:tab w:val="clear" w:pos="720"/>
                <w:tab w:val="left" w:pos="-720" w:leader="none"/>
                <w:tab w:val="decimal" w:pos="1422" w:leader="none"/>
              </w:tabs>
              <w:suppressAutoHyphens w:val="true"/>
              <w:snapToGrid w:val="false"/>
              <w:rPr>
                <w:sz w:val="22"/>
              </w:rPr>
            </w:pPr>
            <w:r>
              <w:rPr>
                <w:sz w:val="22"/>
              </w:rPr>
            </w:r>
          </w:p>
        </w:tc>
      </w:tr>
      <w:tr>
        <w:trPr/>
        <w:tc>
          <w:tcPr>
            <w:tcW w:w="2495" w:type="dxa"/>
            <w:tcBorders>
              <w:bottom w:val="single" w:sz="12" w:space="0" w:color="008000"/>
            </w:tcBorders>
          </w:tcPr>
          <w:p>
            <w:pPr>
              <w:pStyle w:val="Normal"/>
              <w:tabs>
                <w:tab w:val="clear" w:pos="720"/>
                <w:tab w:val="left" w:pos="-720" w:leader="none"/>
              </w:tabs>
              <w:suppressAutoHyphens w:val="true"/>
              <w:snapToGrid w:val="false"/>
              <w:rPr>
                <w:sz w:val="22"/>
              </w:rPr>
            </w:pPr>
            <w:r>
              <w:rPr>
                <w:sz w:val="22"/>
              </w:rPr>
            </w:r>
          </w:p>
          <w:p>
            <w:pPr>
              <w:pStyle w:val="Normal"/>
              <w:tabs>
                <w:tab w:val="clear" w:pos="720"/>
                <w:tab w:val="left" w:pos="-720" w:leader="none"/>
              </w:tabs>
              <w:suppressAutoHyphens w:val="true"/>
              <w:rPr>
                <w:sz w:val="22"/>
              </w:rPr>
            </w:pPr>
            <w:r>
              <w:rPr>
                <w:sz w:val="22"/>
              </w:rPr>
              <w:t>INVESTOR</w:t>
            </w:r>
          </w:p>
        </w:tc>
        <w:tc>
          <w:tcPr>
            <w:tcW w:w="3708" w:type="dxa"/>
            <w:tcBorders>
              <w:bottom w:val="single" w:sz="12" w:space="0" w:color="008000"/>
            </w:tcBorders>
          </w:tcPr>
          <w:p>
            <w:pPr>
              <w:pStyle w:val="Normal"/>
              <w:tabs>
                <w:tab w:val="clear" w:pos="720"/>
                <w:tab w:val="left" w:pos="7200" w:leader="none"/>
              </w:tabs>
              <w:rPr>
                <w:sz w:val="22"/>
              </w:rPr>
            </w:pPr>
            <w:r>
              <w:rPr>
                <w:sz w:val="22"/>
              </w:rPr>
              <w:br/>
              <w:t>Enron Net Works LLC</w:t>
            </w:r>
          </w:p>
          <w:p>
            <w:pPr>
              <w:pStyle w:val="Normal"/>
              <w:tabs>
                <w:tab w:val="clear" w:pos="720"/>
                <w:tab w:val="left" w:pos="7200" w:leader="none"/>
              </w:tabs>
              <w:rPr>
                <w:sz w:val="22"/>
              </w:rPr>
            </w:pPr>
            <w:r>
              <w:rPr>
                <w:sz w:val="22"/>
              </w:rPr>
              <w:t>780 Third Avenue</w:t>
            </w:r>
          </w:p>
          <w:p>
            <w:pPr>
              <w:pStyle w:val="Normal"/>
              <w:tabs>
                <w:tab w:val="clear" w:pos="720"/>
                <w:tab w:val="left" w:pos="7200" w:leader="none"/>
              </w:tabs>
              <w:rPr>
                <w:sz w:val="22"/>
              </w:rPr>
            </w:pPr>
            <w:r>
              <w:rPr>
                <w:sz w:val="22"/>
              </w:rPr>
              <w:t>25th Floor</w:t>
            </w:r>
          </w:p>
          <w:p>
            <w:pPr>
              <w:pStyle w:val="Normal"/>
              <w:tabs>
                <w:tab w:val="clear" w:pos="720"/>
                <w:tab w:val="left" w:pos="7200" w:leader="none"/>
              </w:tabs>
              <w:rPr>
                <w:sz w:val="22"/>
              </w:rPr>
            </w:pPr>
            <w:r>
              <w:rPr>
                <w:sz w:val="22"/>
              </w:rPr>
              <w:t>New York, New York  10017</w:t>
            </w:r>
          </w:p>
          <w:p>
            <w:pPr>
              <w:pStyle w:val="Normal"/>
              <w:tabs>
                <w:tab w:val="clear" w:pos="720"/>
                <w:tab w:val="left" w:pos="7200" w:leader="none"/>
              </w:tabs>
              <w:rPr>
                <w:sz w:val="22"/>
              </w:rPr>
            </w:pPr>
            <w:r>
              <w:rPr>
                <w:sz w:val="22"/>
              </w:rPr>
              <w:t>Attn:  Jay Fitzgerald</w:t>
            </w:r>
          </w:p>
          <w:p>
            <w:pPr>
              <w:pStyle w:val="Normal"/>
              <w:tabs>
                <w:tab w:val="clear" w:pos="720"/>
                <w:tab w:val="left" w:pos="7200" w:leader="none"/>
              </w:tabs>
              <w:rPr>
                <w:sz w:val="22"/>
              </w:rPr>
            </w:pPr>
            <w:r>
              <w:rPr>
                <w:sz w:val="22"/>
              </w:rPr>
              <w:t>Phone (212) 702-3934</w:t>
            </w:r>
          </w:p>
          <w:p>
            <w:pPr>
              <w:pStyle w:val="Normal"/>
              <w:tabs>
                <w:tab w:val="clear" w:pos="720"/>
                <w:tab w:val="left" w:pos="7200" w:leader="none"/>
              </w:tabs>
              <w:rPr>
                <w:sz w:val="22"/>
              </w:rPr>
            </w:pPr>
            <w:r>
              <w:rPr>
                <w:sz w:val="22"/>
              </w:rPr>
              <w:t>Facsimile (212) 702-3950</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with a copy to:</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Enron Net Works Investments LLC</w:t>
            </w:r>
          </w:p>
          <w:p>
            <w:pPr>
              <w:pStyle w:val="Normal"/>
              <w:tabs>
                <w:tab w:val="clear" w:pos="720"/>
                <w:tab w:val="left" w:pos="7200" w:leader="none"/>
              </w:tabs>
              <w:rPr>
                <w:sz w:val="22"/>
              </w:rPr>
            </w:pPr>
            <w:r>
              <w:rPr>
                <w:sz w:val="22"/>
              </w:rPr>
              <w:t>1400 Smith Street</w:t>
            </w:r>
          </w:p>
          <w:p>
            <w:pPr>
              <w:pStyle w:val="Normal"/>
              <w:tabs>
                <w:tab w:val="clear" w:pos="720"/>
                <w:tab w:val="left" w:pos="7200" w:leader="none"/>
              </w:tabs>
              <w:rPr>
                <w:sz w:val="22"/>
              </w:rPr>
            </w:pPr>
            <w:r>
              <w:rPr>
                <w:sz w:val="22"/>
              </w:rPr>
              <w:t>Houston Texas, 77002-7361</w:t>
            </w:r>
          </w:p>
          <w:p>
            <w:pPr>
              <w:pStyle w:val="Normal"/>
              <w:tabs>
                <w:tab w:val="clear" w:pos="720"/>
                <w:tab w:val="left" w:pos="565" w:leader="none"/>
                <w:tab w:val="left" w:pos="7200" w:leader="none"/>
              </w:tabs>
              <w:rPr>
                <w:sz w:val="22"/>
              </w:rPr>
            </w:pPr>
            <w:r>
              <w:rPr>
                <w:sz w:val="22"/>
              </w:rPr>
              <w:t>Attn:</w:t>
              <w:tab/>
              <w:t xml:space="preserve">Compliance Department, </w:t>
            </w:r>
          </w:p>
          <w:p>
            <w:pPr>
              <w:pStyle w:val="Normal"/>
              <w:tabs>
                <w:tab w:val="clear" w:pos="720"/>
                <w:tab w:val="left" w:pos="565" w:leader="none"/>
                <w:tab w:val="left" w:pos="7200" w:leader="none"/>
              </w:tabs>
              <w:rPr>
                <w:sz w:val="22"/>
              </w:rPr>
            </w:pPr>
            <w:r>
              <w:rPr>
                <w:sz w:val="22"/>
              </w:rPr>
              <w:tab/>
              <w:t>Donna Lowry</w:t>
            </w:r>
          </w:p>
          <w:p>
            <w:pPr>
              <w:pStyle w:val="Normal"/>
              <w:tabs>
                <w:tab w:val="clear" w:pos="720"/>
                <w:tab w:val="left" w:pos="7200" w:leader="none"/>
              </w:tabs>
              <w:rPr>
                <w:sz w:val="22"/>
              </w:rPr>
            </w:pPr>
            <w:r>
              <w:rPr>
                <w:sz w:val="22"/>
              </w:rPr>
              <w:t>Phone (713) 853-1939</w:t>
            </w:r>
          </w:p>
          <w:p>
            <w:pPr>
              <w:pStyle w:val="Normal"/>
              <w:tabs>
                <w:tab w:val="clear" w:pos="720"/>
                <w:tab w:val="left" w:pos="7200" w:leader="none"/>
              </w:tabs>
              <w:rPr>
                <w:sz w:val="22"/>
              </w:rPr>
            </w:pPr>
            <w:r>
              <w:rPr>
                <w:sz w:val="22"/>
              </w:rPr>
              <w:t>Facsimile (713) 646-4039</w:t>
            </w:r>
          </w:p>
          <w:p>
            <w:pPr>
              <w:pStyle w:val="Normal"/>
              <w:tabs>
                <w:tab w:val="clear" w:pos="720"/>
                <w:tab w:val="left" w:pos="-720" w:leader="none"/>
              </w:tabs>
              <w:suppressAutoHyphens w:val="true"/>
              <w:rPr>
                <w:sz w:val="22"/>
              </w:rPr>
            </w:pPr>
            <w:r>
              <w:rPr>
                <w:sz w:val="22"/>
              </w:rPr>
            </w:r>
          </w:p>
        </w:tc>
        <w:tc>
          <w:tcPr>
            <w:tcW w:w="3373" w:type="dxa"/>
            <w:tcBorders>
              <w:bottom w:val="single" w:sz="12" w:space="0" w:color="008000"/>
            </w:tcBorders>
          </w:tcPr>
          <w:p>
            <w:pPr>
              <w:pStyle w:val="Normal"/>
              <w:tabs>
                <w:tab w:val="clear" w:pos="720"/>
                <w:tab w:val="left" w:pos="-720" w:leader="none"/>
                <w:tab w:val="decimal" w:pos="1422" w:leader="none"/>
              </w:tabs>
              <w:suppressAutoHyphens w:val="true"/>
              <w:snapToGrid w:val="false"/>
              <w:spacing w:before="240" w:after="0"/>
              <w:rPr>
                <w:sz w:val="22"/>
              </w:rPr>
            </w:pPr>
            <w:r>
              <w:rPr>
                <w:sz w:val="22"/>
              </w:rPr>
            </w:r>
          </w:p>
        </w:tc>
      </w:tr>
    </w:tbl>
    <w:p>
      <w:pPr>
        <w:pStyle w:val="Normal"/>
        <w:rPr>
          <w:sz w:val="22"/>
        </w:rPr>
      </w:pPr>
      <w:r>
        <w:rPr>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v5_Stockholders_Agreement_2_16-eea36787c346683fcb1db965589d5e83b8e3b8ae7ea3d6830b234d0305bf91e8.DOC</w:t>
    </w:r>
    <w:r>
      <w:rPr>
        <w:rStyle w:val="VEDocumentInformation"/>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v5_Stockholders_Agreement_2_16-eea36787c346683fcb1db965589d5e83b8e3b8ae7ea3d6830b234d0305bf91e8.DOC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t>[Signature Page to Kick.com Stockholders’ Agreement]</w:t>
    </w:r>
  </w:p>
  <w:p>
    <w:pPr>
      <w:pStyle w:val="Footer"/>
      <w:spacing w:lineRule="atLeast" w:line="1"/>
      <w:rPr/>
    </w:pPr>
    <w:r>
      <w:rPr>
        <w:vanish/>
        <w:sz w:val="20"/>
      </w:rPr>
      <w:t>|</w:t>
    </w:r>
    <w:r>
      <w:rPr>
        <w:sz w:val="20"/>
      </w:rPr>
      <w:t>ny-320578</w:t>
    </w:r>
    <w:r>
      <w:rPr>
        <w:vanish/>
        <w:sz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v5_Stockholders_Agreement_2_16-eea36787c346683fcb1db965589d5e83b8e3b8ae7ea3d6830b234d0305bf91e8.DOC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p>
  <w:p>
    <w:pPr>
      <w:pStyle w:val="Footer"/>
      <w:spacing w:lineRule="atLeast" w:line="1"/>
      <w:rPr/>
    </w:pPr>
    <w:r>
      <w:rPr>
        <w:vanish/>
        <w:sz w:val="20"/>
      </w:rPr>
      <w:t>|</w:t>
    </w:r>
    <w:r>
      <w:rPr>
        <w:sz w:val="20"/>
      </w:rPr>
      <w:t>ny-320578</w:t>
    </w:r>
    <w:r>
      <w:rPr>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v5_Stockholders_Agreement_2_16-eea36787c346683fcb1db965589d5e83b8e3b8ae7ea3d6830b234d0305bf91e8.DOC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450" w:start="5040" w:end="0"/>
      <w:jc w:val="end"/>
      <w:rPr>
        <w:b/>
      </w:rPr>
    </w:pPr>
    <w:r>
      <mc:AlternateContent>
        <mc:Choice Requires="wps">
          <w:drawing>
            <wp:anchor behindDoc="0" distT="0" distB="0" distL="114935" distR="114935" simplePos="0" locked="0" layoutInCell="0" allowOverlap="1" relativeHeight="11">
              <wp:simplePos x="0" y="0"/>
              <wp:positionH relativeFrom="column">
                <wp:posOffset>-822960</wp:posOffset>
              </wp:positionH>
              <wp:positionV relativeFrom="paragraph">
                <wp:posOffset>635</wp:posOffset>
              </wp:positionV>
              <wp:extent cx="91440" cy="91440"/>
              <wp:effectExtent l="5080" t="5080" r="5080" b="5080"/>
              <wp:wrapTopAndBottom/>
              <wp:docPr id="1" name="ODMA fix"/>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ODMA fix" fillcolor="white" stroked="t" o:allowincell="f" style="position:absolute;margin-left:-64.8pt;margin-top:0pt;width:7.15pt;height:7.15pt;mso-wrap-style:none;v-text-anchor:middle">
              <v:fill o:detectmouseclick="t" type="solid" color2="black"/>
              <v:stroke color="white" weight="9360" joinstyle="miter" endcap="flat"/>
              <w10:wrap type="topAndBottom"/>
            </v:rect>
          </w:pict>
        </mc:Fallback>
      </mc:AlternateContent>
    </w:r>
    <w:r>
      <w:rPr>
        <w:b/>
      </w:rPr>
      <w:t>Enron version</w:t>
    </w:r>
  </w:p>
  <w:p>
    <w:pPr>
      <w:pStyle w:val="Normal"/>
      <w:ind w:firstLine="720" w:start="5040" w:end="0"/>
      <w:jc w:val="end"/>
      <w:rPr>
        <w:b/>
      </w:rPr>
    </w:pPr>
    <w:r>
      <w:rPr>
        <w:b/>
      </w:rPr>
      <w:t>02/22/01</w:t>
    </w:r>
  </w:p>
  <w:p>
    <w:pPr>
      <w:pStyle w:val="Normal"/>
      <w:rPr>
        <w:b/>
      </w:rPr>
    </w:pPr>
    <w:r>
      <w:rPr>
        <w:b/>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rPr>
        <w:i/>
        <w:b/>
      </w:rPr>
    </w:lvl>
    <w:lvl w:ilvl="3">
      <w:start w:val="1"/>
      <w:numFmt w:val="lowerLetter"/>
      <w:lvlText w:val="(%4)"/>
      <w:lvlJc w:val="start"/>
      <w:pPr>
        <w:tabs>
          <w:tab w:val="num" w:pos="720"/>
        </w:tabs>
        <w:ind w:start="0" w:firstLine="2160"/>
      </w:pPr>
      <w:rPr/>
    </w:lvl>
    <w:lvl w:ilvl="4">
      <w:start w:val="1"/>
      <w:numFmt w:val="lowerRoman"/>
      <w:lvlText w:val="(%5)"/>
      <w:lvlJc w:val="start"/>
      <w:pPr>
        <w:tabs>
          <w:tab w:val="num" w:pos="3600"/>
        </w:tabs>
        <w:ind w:start="3600" w:hanging="72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docVars>
    <w:docVar w:name="DATASET" w:val="LEGAL"/>
    <w:docVar w:name="DOCNUM" w:val="284721"/>
    <w:docVar w:name="LevelSaved" w:val=" 3"/>
    <w:docVar w:name="lstLevel1" w:val=" 0"/>
    <w:docVar w:name="lstLevel2" w:val=" 1"/>
    <w:docVar w:name="lstLevel3" w:val=" 4"/>
    <w:docVar w:name="lstLevel4" w:val=" 5"/>
    <w:docVar w:name="lstLevel5" w:val=" 0"/>
    <w:docVar w:name="lstLevel6" w:val=" 0"/>
    <w:docVar w:name="lstLevel7" w:val=" 0"/>
    <w:docVar w:name="lstLevel8" w:val=" 0"/>
    <w:docVar w:name="lstLevel9" w:val=" 0"/>
    <w:docVar w:name="ShowPrintedCheckBox" w:val="TRUE"/>
    <w:docVar w:name="ShowScreenCheckBox" w:val="TRUE"/>
    <w:docVar w:name="trailer" w:val="Final"/>
    <w:docVar w:name="txtL2After" w:val="."/>
    <w:docVar w:name="txtL3After" w:val=")"/>
    <w:docVar w:name="txtL3Before" w:val="("/>
    <w:docVar w:name="txtL4After" w:val=")"/>
    <w:docVar w:name="txtL4Before" w:val="("/>
    <w:docVar w:name="VERSION" w:val="0"/>
    <w:docVar w:name="VERSION2"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2"/>
      </w:numPr>
      <w:spacing w:before="240" w:after="240"/>
      <w:jc w:val="center"/>
      <w:outlineLvl w:val="0"/>
    </w:pPr>
    <w:rPr>
      <w:rFonts w:ascii="Times New Roman" w:hAnsi="Times New Roman" w:cs="Times New Roman"/>
      <w:kern w:val="2"/>
      <w:sz w:val="24"/>
    </w:rPr>
  </w:style>
  <w:style w:type="paragraph" w:styleId="Heading2">
    <w:name w:val="heading 2"/>
    <w:basedOn w:val="Normal"/>
    <w:next w:val="BodyText"/>
    <w:qFormat/>
    <w:pPr>
      <w:numPr>
        <w:ilvl w:val="0"/>
        <w:numId w:val="2"/>
      </w:numPr>
      <w:tabs>
        <w:tab w:val="left" w:pos="720" w:leader="none"/>
      </w:tabs>
      <w:spacing w:before="0" w:after="240"/>
      <w:jc w:val="both"/>
      <w:outlineLvl w:val="1"/>
    </w:pPr>
    <w:rPr>
      <w:rFonts w:ascii="Times New Roman" w:hAnsi="Times New Roman" w:cs="Times New Roman"/>
      <w:sz w:val="24"/>
    </w:rPr>
  </w:style>
  <w:style w:type="paragraph" w:styleId="Heading3">
    <w:name w:val="heading 3"/>
    <w:basedOn w:val="Normal"/>
    <w:next w:val="BodyText"/>
    <w:qFormat/>
    <w:pPr>
      <w:numPr>
        <w:ilvl w:val="0"/>
        <w:numId w:val="2"/>
      </w:numPr>
      <w:tabs>
        <w:tab w:val="clear" w:pos="720"/>
        <w:tab w:val="left" w:pos="1440" w:leader="none"/>
      </w:tabs>
      <w:spacing w:before="0" w:after="240"/>
      <w:jc w:val="both"/>
      <w:outlineLvl w:val="2"/>
    </w:pPr>
    <w:rPr>
      <w:rFonts w:ascii="Times New Roman" w:hAnsi="Times New Roman" w:cs="Times New Roman"/>
      <w:sz w:val="24"/>
    </w:rPr>
  </w:style>
  <w:style w:type="paragraph" w:styleId="Heading4">
    <w:name w:val="heading 4"/>
    <w:basedOn w:val="Normal"/>
    <w:next w:val="Normal"/>
    <w:qFormat/>
    <w:pPr>
      <w:numPr>
        <w:ilvl w:val="0"/>
        <w:numId w:val="2"/>
      </w:numPr>
      <w:spacing w:before="0" w:after="240"/>
      <w:jc w:val="both"/>
      <w:outlineLvl w:val="3"/>
    </w:pPr>
    <w:rPr/>
  </w:style>
  <w:style w:type="paragraph" w:styleId="Heading5">
    <w:name w:val="heading 5"/>
    <w:basedOn w:val="Normal"/>
    <w:next w:val="BodyText"/>
    <w:qFormat/>
    <w:pPr>
      <w:numPr>
        <w:ilvl w:val="0"/>
        <w:numId w:val="2"/>
      </w:numPr>
      <w:spacing w:before="0" w:after="240"/>
      <w:ind w:hanging="0" w:start="0" w:end="1440"/>
      <w:outlineLvl w:val="4"/>
    </w:pPr>
    <w:rPr>
      <w:rFonts w:ascii="Times New Roman" w:hAnsi="Times New Roman" w:cs="Times New Roman"/>
      <w:sz w:val="24"/>
    </w:rPr>
  </w:style>
  <w:style w:type="paragraph" w:styleId="Heading6">
    <w:name w:val="heading 6"/>
    <w:basedOn w:val="Normal"/>
    <w:next w:val="Normal"/>
    <w:qFormat/>
    <w:pPr>
      <w:numPr>
        <w:ilvl w:val="0"/>
        <w:numId w:val="2"/>
      </w:numPr>
      <w:spacing w:before="0" w:after="240"/>
      <w:outlineLvl w:val="5"/>
    </w:pPr>
    <w:rPr>
      <w:rFonts w:ascii="Times New Roman" w:hAnsi="Times New Roman" w:cs="Times New Roman"/>
      <w:sz w:val="24"/>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2z0">
    <w:name w:val="WW8Num2z0"/>
    <w:qFormat/>
    <w:rPr>
      <w:rFonts w:ascii="Times New Roman" w:hAnsi="Times New Roman" w:cs="Times New Roman"/>
      <w:sz w:val="24"/>
    </w:rPr>
  </w:style>
  <w:style w:type="character" w:styleId="WW8Num3z0">
    <w:name w:val="WW8Num3z0"/>
    <w:qFormat/>
    <w:rPr>
      <w:b/>
      <w:i w:val="false"/>
      <w:sz w:val="28"/>
    </w:rPr>
  </w:style>
  <w:style w:type="character" w:styleId="WW8Num3z1">
    <w:name w:val="WW8Num3z1"/>
    <w:qFormat/>
    <w:rPr>
      <w:rFonts w:ascii="Times New Roman" w:hAnsi="Times New Roman" w:cs="Times New Roman"/>
      <w:b w:val="false"/>
      <w:i w:val="false"/>
      <w:sz w:val="24"/>
    </w:rPr>
  </w:style>
  <w:style w:type="character" w:styleId="WW8Num3z2">
    <w:name w:val="WW8Num3z2"/>
    <w:qFormat/>
    <w:rPr>
      <w:b/>
      <w:i/>
    </w:rPr>
  </w:style>
  <w:style w:type="character" w:styleId="WW8Num3z3">
    <w:name w:val="WW8Num3z3"/>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EquationCaption">
    <w:name w:val="_Equation Caption"/>
    <w:qForma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spacing w:before="0" w:after="480"/>
      <w:jc w:val="center"/>
      <w:outlineLvl w:val="0"/>
    </w:pPr>
    <w:rPr>
      <w:b/>
      <w:kern w:val="2"/>
    </w:rPr>
  </w:style>
  <w:style w:type="paragraph" w:styleId="BodyText">
    <w:name w:val="Body Text"/>
    <w:basedOn w:val="Normal"/>
    <w:pPr>
      <w:spacing w:before="0" w:after="240"/>
      <w:ind w:firstLine="720" w:start="0" w:end="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rPr>
  </w:style>
  <w:style w:type="paragraph" w:styleId="FootnoteText">
    <w:name w:val="footnote text"/>
    <w:basedOn w:val="Normal"/>
    <w:pPr/>
    <w:rPr/>
  </w:style>
  <w:style w:type="paragraph" w:styleId="BodyText2">
    <w:name w:val="Body Text 2"/>
    <w:basedOn w:val="Normal"/>
    <w:qFormat/>
    <w:pPr>
      <w:ind w:firstLine="720" w:start="0" w:end="0"/>
    </w:pPr>
    <w:rPr/>
  </w:style>
  <w:style w:type="paragraph" w:styleId="Paraiii">
    <w:name w:val="Para (iii)"/>
    <w:basedOn w:val="Normal"/>
    <w:qFormat/>
    <w:pPr>
      <w:spacing w:before="240" w:after="0"/>
      <w:ind w:firstLine="720" w:start="216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firstLine="720" w:start="144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Headera">
    <w:name w:val="Header (a)"/>
    <w:basedOn w:val="Normal"/>
    <w:qFormat/>
    <w:pPr>
      <w:tabs>
        <w:tab w:val="clear" w:pos="720"/>
        <w:tab w:val="left" w:pos="2160" w:leader="none"/>
      </w:tabs>
      <w:spacing w:before="0" w:after="240"/>
      <w:ind w:firstLine="1440" w:start="0" w:end="0"/>
      <w:jc w:val="both"/>
    </w:pPr>
    <w:rPr/>
  </w:style>
  <w:style w:type="paragraph" w:styleId="Style11">
    <w:name w:val="Style1"/>
    <w:basedOn w:val="Headera"/>
    <w:qFormat/>
    <w:pPr>
      <w:tabs>
        <w:tab w:val="left" w:pos="720" w:leader="none"/>
        <w:tab w:val="left" w:pos="2160" w:leader="none"/>
      </w:tabs>
      <w:ind w:hanging="360" w:start="720" w:end="0"/>
    </w:pPr>
    <w:rPr/>
  </w:style>
  <w:style w:type="paragraph" w:styleId="Style21">
    <w:name w:val="Style2"/>
    <w:basedOn w:val="Normal"/>
    <w:qFormat/>
    <w:pPr>
      <w:spacing w:before="120" w:after="240"/>
      <w:ind w:firstLine="720" w:start="0" w:end="0"/>
      <w:jc w:val="both"/>
    </w:pPr>
    <w:rPr/>
  </w:style>
  <w:style w:type="paragraph" w:styleId="BodyTextIndent">
    <w:name w:val="Body Text Indent"/>
    <w:basedOn w:val="Normal"/>
    <w:pPr>
      <w:tabs>
        <w:tab w:val="clear" w:pos="720"/>
        <w:tab w:val="left" w:pos="-720" w:leader="none"/>
      </w:tabs>
      <w:suppressAutoHyphens w:val="true"/>
      <w:spacing w:before="240" w:after="0"/>
      <w:ind w:hanging="720" w:start="720" w:end="0"/>
    </w:pPr>
    <w:rPr>
      <w:rFonts w:ascii="Times New Roman" w:hAnsi="Times New Roman" w:cs="Times New Roman"/>
      <w:sz w:val="22"/>
    </w:rPr>
  </w:style>
  <w:style w:type="paragraph" w:styleId="afterquote">
    <w:name w:val="after quote"/>
    <w:basedOn w:val="Normal"/>
    <w:qFormat/>
    <w:pPr>
      <w:spacing w:before="0" w:after="240"/>
    </w:pPr>
    <w:rPr>
      <w:rFonts w:ascii="Times New Roman" w:hAnsi="Times New Roman" w:cs="Times New Roman"/>
      <w:sz w:val="24"/>
    </w:rPr>
  </w:style>
  <w:style w:type="paragraph" w:styleId="BlockText">
    <w:name w:val="Block Text"/>
    <w:basedOn w:val="Normal"/>
    <w:next w:val="afterquote"/>
    <w:qFormat/>
    <w:pPr>
      <w:spacing w:before="0" w:after="240"/>
      <w:ind w:hanging="0" w:start="1440" w:end="1440"/>
      <w:jc w:val="both"/>
    </w:pPr>
    <w:rPr>
      <w:rFonts w:ascii="Times New Roman" w:hAnsi="Times New Roman" w:cs="Times New Roman"/>
      <w:sz w:val="24"/>
    </w:rPr>
  </w:style>
  <w:style w:type="paragraph" w:styleId="centered">
    <w:name w:val="centered"/>
    <w:basedOn w:val="BodyText"/>
    <w:qFormat/>
    <w:pPr>
      <w:spacing w:before="0" w:after="480"/>
      <w:ind w:hanging="0" w:start="0" w:end="0"/>
      <w:jc w:val="center"/>
    </w:pPr>
    <w:rPr/>
  </w:style>
  <w:style w:type="paragraph" w:styleId="Level1">
    <w:name w:val="Level 1"/>
    <w:basedOn w:val="Normal"/>
    <w:qFormat/>
    <w:pPr>
      <w:numPr>
        <w:ilvl w:val="0"/>
        <w:numId w:val="4"/>
      </w:numPr>
      <w:ind w:firstLine="1440" w:start="0" w:end="0"/>
      <w:outlineLvl w:val="0"/>
    </w:pPr>
    <w:rPr>
      <w:rFonts w:ascii="Times New Roman" w:hAnsi="Times New Roman" w:cs="Times New Roman"/>
      <w:sz w:val="24"/>
    </w:rPr>
  </w:style>
  <w:style w:type="paragraph" w:styleId="Level2">
    <w:name w:val="Level 2"/>
    <w:basedOn w:val="Normal"/>
    <w:qFormat/>
    <w:pPr>
      <w:numPr>
        <w:ilvl w:val="0"/>
        <w:numId w:val="5"/>
      </w:numPr>
      <w:ind w:firstLine="1440" w:start="0" w:end="0"/>
      <w:outlineLvl w:val="1"/>
    </w:pPr>
    <w:rPr>
      <w:rFonts w:ascii="Times New Roman" w:hAnsi="Times New Roman" w:cs="Times New Roman"/>
      <w:sz w:val="24"/>
    </w:rPr>
  </w:style>
  <w:style w:type="paragraph" w:styleId="numbered">
    <w:name w:val="numbered"/>
    <w:basedOn w:val="BodyText"/>
    <w:qFormat/>
    <w:pPr>
      <w:numPr>
        <w:ilvl w:val="0"/>
        <w:numId w:val="3"/>
      </w:numPr>
      <w:tabs>
        <w:tab w:val="clear" w:pos="720"/>
        <w:tab w:val="left" w:pos="1440" w:leader="none"/>
      </w:tabs>
      <w:ind w:firstLine="720" w:start="0" w:end="0"/>
    </w:pPr>
    <w:rPr/>
  </w:style>
  <w:style w:type="paragraph" w:styleId="quotes">
    <w:name w:val="quotes"/>
    <w:basedOn w:val="Normal"/>
    <w:next w:val="afterquote"/>
    <w:qFormat/>
    <w:pPr>
      <w:spacing w:before="0" w:after="240"/>
      <w:ind w:hanging="0" w:start="1440" w:end="1440"/>
      <w:jc w:val="both"/>
    </w:pPr>
    <w:rPr/>
  </w:style>
  <w:style w:type="paragraph" w:styleId="Salutation">
    <w:name w:val="Salutation"/>
    <w:basedOn w:val="Normal"/>
    <w:next w:val="BodyText"/>
    <w:qFormat/>
    <w:pPr>
      <w:spacing w:before="0" w:after="240"/>
    </w:pPr>
    <w:rPr/>
  </w:style>
  <w:style w:type="paragraph" w:styleId="Signature">
    <w:name w:val="Signature"/>
    <w:basedOn w:val="Normal"/>
    <w:pPr>
      <w:tabs>
        <w:tab w:val="clear" w:pos="720"/>
        <w:tab w:val="left" w:pos="9180" w:leader="none"/>
      </w:tabs>
      <w:spacing w:before="480" w:after="0"/>
      <w:ind w:hanging="540" w:start="4860" w:end="0"/>
    </w:pPr>
    <w:rPr/>
  </w:style>
  <w:style w:type="paragraph" w:styleId="TOC1">
    <w:name w:val="toc 1"/>
    <w:basedOn w:val="Normal"/>
    <w:next w:val="Normal"/>
    <w:pPr>
      <w:tabs>
        <w:tab w:val="clear" w:pos="720"/>
        <w:tab w:val="right" w:pos="9360" w:leader="dot"/>
      </w:tabs>
      <w:spacing w:before="240" w:after="240"/>
      <w:ind w:hanging="1627" w:start="1627" w:end="720"/>
    </w:pPr>
    <w:rPr>
      <w:caps/>
    </w:rPr>
  </w:style>
  <w:style w:type="paragraph" w:styleId="TOC2">
    <w:name w:val="toc 2"/>
    <w:basedOn w:val="Normal"/>
    <w:next w:val="Normal"/>
    <w:pPr>
      <w:tabs>
        <w:tab w:val="clear" w:pos="720"/>
        <w:tab w:val="right" w:pos="9360" w:leader="dot"/>
      </w:tabs>
      <w:ind w:hanging="900" w:start="1620" w:end="720"/>
    </w:pPr>
    <w:rPr/>
  </w:style>
  <w:style w:type="paragraph" w:styleId="TOC3">
    <w:name w:val="toc 3"/>
    <w:basedOn w:val="Normal"/>
    <w:next w:val="Normal"/>
    <w:pPr>
      <w:tabs>
        <w:tab w:val="clear" w:pos="720"/>
        <w:tab w:val="right" w:pos="9360" w:leader="none"/>
      </w:tabs>
      <w:spacing w:before="0" w:after="240"/>
      <w:ind w:hanging="0" w:start="480" w:end="0"/>
    </w:pPr>
    <w:rPr/>
  </w:style>
  <w:style w:type="paragraph" w:styleId="TOC4">
    <w:name w:val="toc 4"/>
    <w:basedOn w:val="Heading4"/>
    <w:next w:val="Normal"/>
    <w:pPr>
      <w:keepNext w:val="false"/>
      <w:numPr>
        <w:ilvl w:val="0"/>
        <w:numId w:val="2"/>
      </w:numPr>
      <w:tabs>
        <w:tab w:val="clear" w:pos="720"/>
        <w:tab w:val="left" w:pos="1440" w:leader="none"/>
        <w:tab w:val="right" w:pos="9360" w:leader="dot"/>
      </w:tabs>
      <w:ind w:hanging="720" w:start="2880" w:end="0"/>
      <w:outlineLvl w:val="9"/>
    </w:pPr>
    <w:rPr>
      <w:b/>
    </w:rPr>
  </w:style>
  <w:style w:type="paragraph" w:styleId="TOC5">
    <w:name w:val="toc 5"/>
    <w:basedOn w:val="Heading5"/>
    <w:next w:val="Normal"/>
    <w:pPr>
      <w:numPr>
        <w:ilvl w:val="0"/>
        <w:numId w:val="2"/>
      </w:numPr>
      <w:tabs>
        <w:tab w:val="clear" w:pos="720"/>
        <w:tab w:val="left" w:pos="1440" w:leader="none"/>
        <w:tab w:val="right" w:pos="9360" w:leader="dot"/>
      </w:tabs>
      <w:ind w:hanging="0" w:start="960" w:end="1440"/>
      <w:outlineLvl w:val="9"/>
    </w:pPr>
    <w:rPr/>
  </w:style>
  <w:style w:type="paragraph" w:styleId="TOC6">
    <w:name w:val="toc 6"/>
    <w:basedOn w:val="Heading6"/>
    <w:next w:val="Normal"/>
    <w:pPr>
      <w:numPr>
        <w:ilvl w:val="0"/>
        <w:numId w:val="2"/>
      </w:numPr>
      <w:tabs>
        <w:tab w:val="clear" w:pos="720"/>
        <w:tab w:val="left" w:pos="1440" w:leader="none"/>
        <w:tab w:val="right" w:pos="9360" w:leader="dot"/>
      </w:tabs>
      <w:ind w:hanging="0" w:start="1200" w:end="0"/>
      <w:outlineLvl w:val="9"/>
    </w:pPr>
    <w:rPr>
      <w:i/>
    </w:rPr>
  </w:style>
  <w:style w:type="paragraph" w:styleId="TOC7">
    <w:name w:val="toc 7"/>
    <w:basedOn w:val="Normal"/>
    <w:next w:val="Normal"/>
    <w:pPr>
      <w:tabs>
        <w:tab w:val="clear" w:pos="720"/>
        <w:tab w:val="right" w:pos="9360" w:leader="dot"/>
      </w:tabs>
      <w:spacing w:before="0" w:after="240"/>
      <w:ind w:hanging="0" w:start="1440" w:end="0"/>
    </w:pPr>
    <w:rPr/>
  </w:style>
  <w:style w:type="paragraph" w:styleId="TOC8">
    <w:name w:val="toc 8"/>
    <w:basedOn w:val="Normal"/>
    <w:next w:val="Normal"/>
    <w:pPr>
      <w:tabs>
        <w:tab w:val="clear" w:pos="720"/>
        <w:tab w:val="right" w:pos="9360" w:leader="dot"/>
      </w:tabs>
      <w:spacing w:before="0" w:after="240"/>
      <w:ind w:hanging="0" w:start="1680" w:end="0"/>
    </w:pPr>
    <w:rPr/>
  </w:style>
  <w:style w:type="paragraph" w:styleId="TOC9">
    <w:name w:val="toc 9"/>
    <w:basedOn w:val="Normal"/>
    <w:next w:val="Normal"/>
    <w:pPr>
      <w:tabs>
        <w:tab w:val="clear" w:pos="720"/>
        <w:tab w:val="right" w:pos="9360" w:leader="dot"/>
      </w:tabs>
      <w:spacing w:before="0" w:after="240"/>
      <w:ind w:hanging="0" w:start="1920" w:end="0"/>
    </w:pPr>
    <w:rPr/>
  </w:style>
  <w:style w:type="paragraph" w:styleId="VEBodyText">
    <w:name w:val="VE Body Text"/>
    <w:basedOn w:val="Normal"/>
    <w:qFormat/>
    <w:pPr>
      <w:spacing w:before="0" w:after="240"/>
      <w:jc w:val="both"/>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2001-02-22T22:43:00Z</dcterms:created>
  <dc:creator>JR</dc:creator>
  <dc:description/>
  <dc:language>en-CA</dc:language>
  <cp:lastModifiedBy>Vinson &amp; Elkins L.L.P.</cp:lastModifiedBy>
  <cp:lastPrinted>2001-02-22T19:13:00Z</cp:lastPrinted>
  <dcterms:modified xsi:type="dcterms:W3CDTF">2001-02-22T22:43:00Z</dcterms:modified>
  <cp:revision>2</cp:revision>
  <dc:subject>Stockholders' Agreement (based on StarMedia version)</dc:subject>
  <dc:title>Stockholders' Agreement</dc:title>
</cp:coreProperties>
</file>