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5.xml" ContentType="application/vnd.openxmlformats-officedocument.wordprocessingml.header+xml"/>
  <Override PartName="/word/media/image1.png" ContentType="image/png"/>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_rels/header2.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6"/>
        </w:rPr>
      </w:pPr>
      <w:r>
        <w:rPr>
          <w:sz w:val="26"/>
        </w:rPr>
      </w:r>
    </w:p>
    <w:p>
      <w:pPr>
        <w:pStyle w:val="Normal"/>
        <w:rPr/>
      </w:pPr>
      <w:r>
        <w:rPr>
          <w:sz w:val="26"/>
        </w:rPr>
        <w:t>July 20, 2001</w:t>
        <w:tab/>
        <w:tab/>
        <w:tab/>
        <w:tab/>
        <w:tab/>
        <w:tab/>
      </w:r>
      <w:r>
        <w:rPr>
          <w:b/>
          <w:sz w:val="26"/>
          <w:u w:val="single"/>
        </w:rPr>
        <w:t xml:space="preserve">VIA UNITED PARCEL SERVICE </w:t>
      </w:r>
    </w:p>
    <w:p>
      <w:pPr>
        <w:pStyle w:val="Normal"/>
        <w:rPr>
          <w:b/>
          <w:sz w:val="26"/>
          <w:u w:val="single"/>
        </w:rPr>
      </w:pPr>
      <w:r>
        <w:rPr>
          <w:b/>
          <w:sz w:val="26"/>
          <w:u w:val="single"/>
        </w:rPr>
      </w:r>
    </w:p>
    <w:p>
      <w:pPr>
        <w:pStyle w:val="Normal"/>
        <w:rPr>
          <w:b/>
          <w:sz w:val="26"/>
          <w:u w:val="single"/>
        </w:rPr>
      </w:pPr>
      <w:r>
        <w:rPr>
          <w:b/>
          <w:sz w:val="26"/>
          <w:u w:val="single"/>
        </w:rPr>
      </w:r>
    </w:p>
    <w:p>
      <w:pPr>
        <w:pStyle w:val="Normal"/>
        <w:rPr>
          <w:sz w:val="26"/>
        </w:rPr>
      </w:pPr>
      <w:r>
        <w:rPr>
          <w:sz w:val="26"/>
        </w:rPr>
        <w:t>David P. Boergers, Secretary</w:t>
      </w:r>
    </w:p>
    <w:p>
      <w:pPr>
        <w:pStyle w:val="Normal"/>
        <w:rPr>
          <w:sz w:val="26"/>
        </w:rPr>
      </w:pPr>
      <w:r>
        <w:rPr>
          <w:sz w:val="26"/>
        </w:rPr>
        <w:t>Office of the Secretary</w:t>
      </w:r>
    </w:p>
    <w:p>
      <w:pPr>
        <w:pStyle w:val="Normal"/>
        <w:rPr>
          <w:sz w:val="26"/>
        </w:rPr>
      </w:pPr>
      <w:r>
        <w:rPr>
          <w:sz w:val="26"/>
        </w:rPr>
        <w:t>Docket Room</w:t>
      </w:r>
    </w:p>
    <w:p>
      <w:pPr>
        <w:pStyle w:val="Heading2"/>
        <w:numPr>
          <w:ilvl w:val="0"/>
          <w:numId w:val="0"/>
        </w:numPr>
        <w:spacing w:before="0" w:after="0"/>
        <w:ind w:hanging="0" w:start="0"/>
        <w:rPr>
          <w:b w:val="false"/>
        </w:rPr>
      </w:pPr>
      <w:r>
        <w:rPr>
          <w:b w:val="false"/>
        </w:rPr>
        <w:t>Federal Energy Regulatory Commission</w:t>
      </w:r>
    </w:p>
    <w:p>
      <w:pPr>
        <w:pStyle w:val="Normal"/>
        <w:rPr>
          <w:sz w:val="26"/>
        </w:rPr>
      </w:pPr>
      <w:r>
        <w:rPr>
          <w:sz w:val="26"/>
        </w:rPr>
        <w:t>888 First Street, N.E., Room 1A, East</w:t>
      </w:r>
    </w:p>
    <w:p>
      <w:pPr>
        <w:pStyle w:val="Heading2"/>
        <w:numPr>
          <w:ilvl w:val="0"/>
          <w:numId w:val="0"/>
        </w:numPr>
        <w:spacing w:before="0" w:after="0"/>
        <w:ind w:hanging="0" w:start="0"/>
        <w:rPr>
          <w:b w:val="false"/>
        </w:rPr>
      </w:pPr>
      <w:r>
        <w:rPr>
          <w:b w:val="false"/>
        </w:rPr>
        <w:t>Washington, D.C.  20002</w:t>
      </w:r>
    </w:p>
    <w:p>
      <w:pPr>
        <w:pStyle w:val="Normal"/>
        <w:rPr>
          <w:b/>
          <w:sz w:val="26"/>
        </w:rPr>
      </w:pPr>
      <w:r>
        <w:rPr>
          <w:b/>
          <w:sz w:val="26"/>
        </w:rPr>
      </w:r>
    </w:p>
    <w:p>
      <w:pPr>
        <w:pStyle w:val="Normal"/>
        <w:rPr>
          <w:sz w:val="26"/>
        </w:rPr>
      </w:pPr>
      <w:r>
        <w:rPr>
          <w:sz w:val="26"/>
        </w:rPr>
      </w:r>
    </w:p>
    <w:p>
      <w:pPr>
        <w:pStyle w:val="Normal"/>
        <w:ind w:hanging="720" w:start="720" w:end="0"/>
        <w:rPr/>
      </w:pPr>
      <w:r>
        <w:rPr>
          <w:sz w:val="26"/>
        </w:rPr>
        <w:t xml:space="preserve">Re: </w:t>
        <w:tab/>
      </w:r>
      <w:r>
        <w:rPr>
          <w:b/>
          <w:bCs/>
          <w:sz w:val="26"/>
          <w:u w:val="single"/>
        </w:rPr>
        <w:t>Public Utilities Commission of the State of California v. El Paso Natural Gas Company et al</w:t>
      </w:r>
      <w:r>
        <w:rPr>
          <w:sz w:val="26"/>
        </w:rPr>
        <w:t xml:space="preserve">., Docket No. RP00-241-000    </w:t>
      </w:r>
    </w:p>
    <w:p>
      <w:pPr>
        <w:pStyle w:val="Normal"/>
        <w:ind w:hanging="720" w:start="720" w:end="0"/>
        <w:rPr>
          <w:b/>
          <w:bCs/>
          <w:sz w:val="26"/>
          <w:u w:val="single"/>
        </w:rPr>
      </w:pPr>
      <w:r>
        <w:rPr>
          <w:b/>
          <w:bCs/>
          <w:sz w:val="26"/>
          <w:u w:val="single"/>
        </w:rPr>
      </w:r>
    </w:p>
    <w:p>
      <w:pPr>
        <w:pStyle w:val="Normal"/>
        <w:rPr>
          <w:b/>
          <w:bCs/>
          <w:sz w:val="26"/>
          <w:u w:val="single"/>
        </w:rPr>
      </w:pPr>
      <w:r>
        <w:rPr>
          <w:b/>
          <w:bCs/>
          <w:sz w:val="26"/>
          <w:u w:val="single"/>
        </w:rPr>
      </w:r>
    </w:p>
    <w:p>
      <w:pPr>
        <w:pStyle w:val="Normal"/>
        <w:rPr>
          <w:sz w:val="26"/>
        </w:rPr>
      </w:pPr>
      <w:r>
        <w:rPr>
          <w:sz w:val="26"/>
        </w:rPr>
        <w:t>Dear Mr. Boergers:</w:t>
      </w:r>
    </w:p>
    <w:p>
      <w:pPr>
        <w:pStyle w:val="Normal"/>
        <w:rPr>
          <w:sz w:val="26"/>
        </w:rPr>
      </w:pPr>
      <w:r>
        <w:rPr>
          <w:sz w:val="26"/>
        </w:rPr>
      </w:r>
    </w:p>
    <w:p>
      <w:pPr>
        <w:pStyle w:val="Normal"/>
        <w:rPr/>
      </w:pPr>
      <w:r>
        <w:rPr>
          <w:sz w:val="26"/>
        </w:rPr>
        <w:t xml:space="preserve">Enclosed for filing in the above-docketed case, please find an original and fourteen copies of the document entitled </w:t>
      </w:r>
      <w:r>
        <w:rPr>
          <w:b/>
          <w:bCs/>
          <w:sz w:val="26"/>
        </w:rPr>
        <w:t xml:space="preserve">“PREPARED REBUTTAL TESTIMONY OF ROBERT MARK POCTA (Exhibit PUC-47) AND ACCOMPANYING EXHIBITS (Exhibits PUC-48 through PUC-50)”. </w:t>
      </w:r>
    </w:p>
    <w:p>
      <w:pPr>
        <w:pStyle w:val="Normal"/>
        <w:rPr>
          <w:b/>
          <w:bCs/>
          <w:sz w:val="26"/>
        </w:rPr>
      </w:pPr>
      <w:r>
        <w:rPr>
          <w:b/>
          <w:bCs/>
          <w:sz w:val="26"/>
        </w:rPr>
      </w:r>
    </w:p>
    <w:p>
      <w:pPr>
        <w:pStyle w:val="Normal"/>
        <w:rPr>
          <w:sz w:val="26"/>
        </w:rPr>
      </w:pPr>
      <w:r>
        <w:rPr>
          <w:sz w:val="26"/>
        </w:rPr>
        <w:t>Thank you for your cooperation in this matter.</w:t>
      </w:r>
    </w:p>
    <w:p>
      <w:pPr>
        <w:pStyle w:val="Normal"/>
        <w:rPr>
          <w:sz w:val="26"/>
        </w:rPr>
      </w:pPr>
      <w:r>
        <w:rPr>
          <w:sz w:val="26"/>
        </w:rPr>
      </w:r>
    </w:p>
    <w:p>
      <w:pPr>
        <w:pStyle w:val="Normal"/>
        <w:rPr>
          <w:sz w:val="26"/>
        </w:rPr>
      </w:pPr>
      <w:r>
        <w:rPr>
          <w:sz w:val="26"/>
        </w:rPr>
        <w:t xml:space="preserve">Sincerely,  </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Harvey Y. Morris</w:t>
      </w:r>
    </w:p>
    <w:p>
      <w:pPr>
        <w:pStyle w:val="Normal"/>
        <w:rPr>
          <w:sz w:val="26"/>
        </w:rPr>
      </w:pPr>
      <w:r>
        <w:rPr>
          <w:sz w:val="26"/>
        </w:rPr>
        <w:t>Principal Counsel</w:t>
      </w:r>
    </w:p>
    <w:p>
      <w:pPr>
        <w:pStyle w:val="Normal"/>
        <w:rPr>
          <w:sz w:val="26"/>
        </w:rPr>
      </w:pPr>
      <w:r>
        <w:rPr>
          <w:sz w:val="26"/>
        </w:rPr>
      </w:r>
    </w:p>
    <w:p>
      <w:pPr>
        <w:pStyle w:val="Normal"/>
        <w:rPr>
          <w:sz w:val="26"/>
        </w:rPr>
      </w:pPr>
      <w:r>
        <w:rPr>
          <w:sz w:val="26"/>
        </w:rPr>
      </w:r>
    </w:p>
    <w:p>
      <w:pPr>
        <w:pStyle w:val="Normal"/>
        <w:rPr>
          <w:sz w:val="26"/>
        </w:rPr>
      </w:pPr>
      <w:r>
        <w:rPr>
          <w:sz w:val="26"/>
        </w:rPr>
        <w:t>HYM:ngs</w:t>
      </w:r>
    </w:p>
    <w:p>
      <w:pPr>
        <w:pStyle w:val="Normal"/>
        <w:rPr>
          <w:sz w:val="26"/>
        </w:rPr>
      </w:pPr>
      <w:r>
        <w:rPr>
          <w:sz w:val="26"/>
        </w:rPr>
      </w:r>
    </w:p>
    <w:p>
      <w:pPr>
        <w:pStyle w:val="Normal"/>
        <w:rPr>
          <w:sz w:val="26"/>
        </w:rPr>
      </w:pPr>
      <w:r>
        <w:rPr>
          <w:sz w:val="26"/>
        </w:rPr>
        <w:t>Enclosures (15)</w:t>
      </w:r>
    </w:p>
    <w:p>
      <w:pPr>
        <w:pStyle w:val="Heading2"/>
        <w:numPr>
          <w:ilvl w:val="0"/>
          <w:numId w:val="0"/>
        </w:numPr>
        <w:spacing w:before="0" w:after="0"/>
        <w:ind w:hanging="0" w:start="0"/>
        <w:rPr>
          <w:sz w:val="26"/>
        </w:rPr>
      </w:pPr>
      <w:r>
        <w:rPr>
          <w:sz w:val="26"/>
        </w:rPr>
      </w:r>
    </w:p>
    <w:p>
      <w:pPr>
        <w:pStyle w:val="BodyText"/>
        <w:tabs>
          <w:tab w:val="clear" w:pos="0"/>
        </w:tabs>
        <w:spacing w:lineRule="auto" w:line="240"/>
        <w:rPr/>
      </w:pPr>
      <w:r>
        <w:rPr/>
        <w:t>cc:</w:t>
        <w:tab/>
        <w:t xml:space="preserve">Hon. Curtis L. Wagner, Jr.  </w:t>
      </w:r>
    </w:p>
    <w:p>
      <w:pPr>
        <w:pStyle w:val="Heading2"/>
        <w:numPr>
          <w:ilvl w:val="0"/>
          <w:numId w:val="0"/>
        </w:numPr>
        <w:spacing w:before="0" w:after="0"/>
        <w:ind w:hanging="0" w:start="0"/>
        <w:rPr/>
      </w:pPr>
      <w:r>
        <w:rPr/>
        <w:tab/>
      </w:r>
      <w:r>
        <w:rPr>
          <w:b w:val="false"/>
          <w:bCs/>
        </w:rPr>
        <w:t>All Parties on Service List</w:t>
      </w:r>
    </w:p>
    <w:p>
      <w:pPr>
        <w:sectPr>
          <w:headerReference w:type="default" r:id="rId2"/>
          <w:headerReference w:type="first" r:id="rId3"/>
          <w:footerReference w:type="default" r:id="rId4"/>
          <w:footerReference w:type="first" r:id="rId5"/>
          <w:type w:val="nextPage"/>
          <w:pgSz w:w="12240" w:h="15840"/>
          <w:pgMar w:left="1440" w:right="1440" w:gutter="0" w:header="720" w:top="776" w:footer="720" w:bottom="1440"/>
          <w:lnNumType w:countBy="1" w:restart="newPage" w:distance="283"/>
          <w:pgNumType w:start="1" w:fmt="decimal"/>
          <w:formProt w:val="false"/>
          <w:titlePg/>
          <w:textDirection w:val="lrTb"/>
          <w:docGrid w:type="default" w:linePitch="360" w:charSpace="0"/>
        </w:sectPr>
        <w:pStyle w:val="Heading"/>
        <w:jc w:val="start"/>
        <w:rPr>
          <w:b w:val="false"/>
          <w:bCs/>
        </w:rPr>
      </w:pPr>
      <w:r>
        <w:rPr>
          <w:b w:val="false"/>
          <w:bCs/>
        </w:rPr>
      </w:r>
    </w:p>
    <w:p>
      <w:pPr>
        <w:pStyle w:val="Heading"/>
        <w:rPr/>
      </w:pPr>
      <w:r>
        <w:rPr/>
        <w:t>UNITED STATES OF AMERICA</w:t>
      </w:r>
    </w:p>
    <w:p>
      <w:pPr>
        <w:pStyle w:val="Heading"/>
        <w:rPr/>
      </w:pPr>
      <w:r>
        <w:rPr/>
        <w:t>BEFORE THE</w:t>
      </w:r>
    </w:p>
    <w:p>
      <w:pPr>
        <w:pStyle w:val="Heading"/>
        <w:rPr/>
      </w:pPr>
      <w:r>
        <w:rPr/>
        <w:t>FEDERAL ENERGY REGULATORY COMMISSION</w:t>
      </w:r>
    </w:p>
    <w:p>
      <w:pPr>
        <w:pStyle w:val="Normal"/>
        <w:spacing w:lineRule="auto" w:line="360"/>
        <w:jc w:val="center"/>
        <w:rPr>
          <w:b/>
          <w:sz w:val="26"/>
        </w:rPr>
      </w:pPr>
      <w:r>
        <w:rPr>
          <w:b/>
          <w:sz w:val="26"/>
        </w:rPr>
      </w:r>
    </w:p>
    <w:p>
      <w:pPr>
        <w:pStyle w:val="Normal"/>
        <w:spacing w:lineRule="auto" w:line="360"/>
        <w:jc w:val="center"/>
        <w:rPr>
          <w:b/>
          <w:sz w:val="26"/>
        </w:rPr>
      </w:pPr>
      <w:r>
        <w:rPr>
          <w:b/>
          <w:sz w:val="26"/>
        </w:rPr>
      </w:r>
    </w:p>
    <w:tbl>
      <w:tblPr>
        <w:tblW w:w="8496" w:type="dxa"/>
        <w:jc w:val="start"/>
        <w:tblInd w:w="0" w:type="dxa"/>
        <w:tblLayout w:type="fixed"/>
        <w:tblCellMar>
          <w:top w:w="0" w:type="dxa"/>
          <w:start w:w="108" w:type="dxa"/>
          <w:bottom w:w="0" w:type="dxa"/>
          <w:end w:w="108" w:type="dxa"/>
        </w:tblCellMar>
      </w:tblPr>
      <w:tblGrid>
        <w:gridCol w:w="4428"/>
        <w:gridCol w:w="4068"/>
      </w:tblGrid>
      <w:tr>
        <w:trPr/>
        <w:tc>
          <w:tcPr>
            <w:tcW w:w="4428" w:type="dxa"/>
            <w:tcBorders>
              <w:end w:val="single" w:sz="6" w:space="0" w:color="000000"/>
            </w:tcBorders>
          </w:tcPr>
          <w:p>
            <w:pPr>
              <w:pStyle w:val="Caption"/>
              <w:rPr/>
            </w:pPr>
            <w:r>
              <w:rPr/>
              <w:t>Public Utilities Commission of the</w:t>
            </w:r>
          </w:p>
          <w:p>
            <w:pPr>
              <w:pStyle w:val="Caption"/>
              <w:rPr/>
            </w:pPr>
            <w:r>
              <w:rPr/>
              <w:t>State of California</w:t>
            </w:r>
          </w:p>
          <w:p>
            <w:pPr>
              <w:pStyle w:val="Caption"/>
              <w:rPr/>
            </w:pPr>
            <w:r>
              <w:rPr/>
            </w:r>
          </w:p>
          <w:p>
            <w:pPr>
              <w:pStyle w:val="Caption"/>
              <w:rPr/>
            </w:pPr>
            <w:r>
              <w:rPr/>
              <w:t>v.</w:t>
            </w:r>
          </w:p>
        </w:tc>
        <w:tc>
          <w:tcPr>
            <w:tcW w:w="4068" w:type="dxa"/>
            <w:tcBorders/>
          </w:tcPr>
          <w:p>
            <w:pPr>
              <w:pStyle w:val="Caption"/>
              <w:jc w:val="center"/>
              <w:rPr/>
            </w:pPr>
            <w:r>
              <w:rPr/>
              <w:t xml:space="preserve">  </w:t>
            </w:r>
          </w:p>
          <w:p>
            <w:pPr>
              <w:pStyle w:val="Caption"/>
              <w:jc w:val="center"/>
              <w:rPr/>
            </w:pPr>
            <w:r>
              <w:rPr/>
            </w:r>
          </w:p>
          <w:p>
            <w:pPr>
              <w:pStyle w:val="Caption"/>
              <w:jc w:val="center"/>
              <w:rPr/>
            </w:pPr>
            <w:r>
              <w:rPr/>
            </w:r>
          </w:p>
          <w:p>
            <w:pPr>
              <w:pStyle w:val="Caption"/>
              <w:jc w:val="center"/>
              <w:rPr/>
            </w:pPr>
            <w:r>
              <w:rPr/>
              <w:t>Docket No. RP00-241-000</w:t>
            </w:r>
          </w:p>
        </w:tc>
      </w:tr>
      <w:tr>
        <w:trPr/>
        <w:tc>
          <w:tcPr>
            <w:tcW w:w="4428" w:type="dxa"/>
            <w:tcBorders>
              <w:end w:val="single" w:sz="6" w:space="0" w:color="000000"/>
            </w:tcBorders>
          </w:tcPr>
          <w:p>
            <w:pPr>
              <w:pStyle w:val="Caption"/>
              <w:snapToGrid w:val="false"/>
              <w:rPr/>
            </w:pPr>
            <w:r>
              <w:rPr/>
            </w:r>
          </w:p>
          <w:p>
            <w:pPr>
              <w:pStyle w:val="Caption"/>
              <w:rPr/>
            </w:pPr>
            <w:r>
              <w:rPr/>
              <w:t>El Paso Natural Gas Company,</w:t>
            </w:r>
          </w:p>
          <w:p>
            <w:pPr>
              <w:pStyle w:val="Caption"/>
              <w:rPr/>
            </w:pPr>
            <w:r>
              <w:rPr/>
              <w:t>El Paso Merchant Energy-Gas, L.P.,</w:t>
            </w:r>
          </w:p>
          <w:p>
            <w:pPr>
              <w:pStyle w:val="Caption"/>
              <w:rPr/>
            </w:pPr>
            <w:r>
              <w:rPr/>
              <w:t>and El Paso Merchant Energy</w:t>
            </w:r>
          </w:p>
          <w:p>
            <w:pPr>
              <w:pStyle w:val="Caption"/>
              <w:rPr/>
            </w:pPr>
            <w:r>
              <w:rPr/>
              <w:t>Company.</w:t>
            </w:r>
          </w:p>
          <w:p>
            <w:pPr>
              <w:pStyle w:val="Caption"/>
              <w:rPr/>
            </w:pPr>
            <w:r>
              <w:rPr/>
            </w:r>
          </w:p>
        </w:tc>
        <w:tc>
          <w:tcPr>
            <w:tcW w:w="4068" w:type="dxa"/>
            <w:tcBorders/>
          </w:tcPr>
          <w:p>
            <w:pPr>
              <w:pStyle w:val="Caption"/>
              <w:snapToGrid w:val="false"/>
              <w:jc w:val="center"/>
              <w:rPr/>
            </w:pPr>
            <w:r>
              <w:rPr/>
            </w:r>
          </w:p>
        </w:tc>
      </w:tr>
      <w:tr>
        <w:trPr/>
        <w:tc>
          <w:tcPr>
            <w:tcW w:w="4428" w:type="dxa"/>
            <w:tcBorders>
              <w:bottom w:val="single" w:sz="6" w:space="0" w:color="000000"/>
              <w:end w:val="single" w:sz="6" w:space="0" w:color="000000"/>
            </w:tcBorders>
          </w:tcPr>
          <w:p>
            <w:pPr>
              <w:pStyle w:val="Caption"/>
              <w:snapToGrid w:val="false"/>
              <w:rPr/>
            </w:pPr>
            <w:r>
              <w:rPr/>
            </w:r>
          </w:p>
        </w:tc>
        <w:tc>
          <w:tcPr>
            <w:tcW w:w="4068" w:type="dxa"/>
            <w:tcBorders/>
          </w:tcPr>
          <w:p>
            <w:pPr>
              <w:pStyle w:val="Caption"/>
              <w:snapToGrid w:val="false"/>
              <w:rPr/>
            </w:pPr>
            <w:r>
              <w:rPr/>
            </w:r>
          </w:p>
        </w:tc>
      </w:tr>
    </w:tbl>
    <w:p>
      <w:pPr>
        <w:pStyle w:val="Normal"/>
        <w:spacing w:lineRule="auto" w:line="360"/>
        <w:rPr>
          <w:b/>
          <w:sz w:val="26"/>
        </w:rPr>
      </w:pPr>
      <w:r>
        <w:rPr>
          <w:b/>
          <w:sz w:val="26"/>
        </w:rPr>
      </w:r>
    </w:p>
    <w:p>
      <w:pPr>
        <w:pStyle w:val="Normal"/>
        <w:spacing w:lineRule="auto" w:line="360"/>
        <w:rPr>
          <w:b/>
          <w:sz w:val="26"/>
        </w:rPr>
      </w:pPr>
      <w:r>
        <w:rPr>
          <w:b/>
          <w:sz w:val="26"/>
        </w:rPr>
      </w:r>
    </w:p>
    <w:p>
      <w:pPr>
        <w:pStyle w:val="Heading"/>
        <w:rPr/>
      </w:pPr>
      <w:r>
        <w:rPr/>
        <w:t xml:space="preserve">PREPARED REBUTTAL TESTIMONY OF </w:t>
      </w:r>
    </w:p>
    <w:p>
      <w:pPr>
        <w:pStyle w:val="Normal"/>
        <w:jc w:val="center"/>
        <w:rPr/>
      </w:pPr>
      <w:r>
        <w:rPr>
          <w:b/>
          <w:smallCaps/>
          <w:sz w:val="28"/>
        </w:rPr>
        <w:t>ROBERT MARK POCTA</w:t>
      </w:r>
      <w:r>
        <w:rPr/>
        <w:t xml:space="preserve"> </w:t>
      </w:r>
      <w:r>
        <w:rPr>
          <w:b/>
          <w:bCs/>
          <w:sz w:val="28"/>
        </w:rPr>
        <w:t>(Exhibit PUC-47)</w:t>
      </w:r>
    </w:p>
    <w:p>
      <w:pPr>
        <w:pStyle w:val="Heading"/>
        <w:rPr/>
      </w:pPr>
      <w:r>
        <w:rPr/>
        <w:t xml:space="preserve">AND ACCOMPANYING EXHIBITS  </w:t>
      </w:r>
    </w:p>
    <w:p>
      <w:pPr>
        <w:pStyle w:val="Normal"/>
        <w:jc w:val="center"/>
        <w:rPr>
          <w:b/>
          <w:bCs/>
          <w:sz w:val="28"/>
        </w:rPr>
      </w:pPr>
      <w:r>
        <w:rPr>
          <w:b/>
          <w:bCs/>
          <w:sz w:val="28"/>
        </w:rPr>
        <w:t>(Exhibits PUC-48 through PUC-50)</w:t>
      </w:r>
    </w:p>
    <w:p>
      <w:pPr>
        <w:pStyle w:val="Heading"/>
        <w:rPr>
          <w:b w:val="false"/>
          <w:bCs/>
          <w:sz w:val="28"/>
        </w:rPr>
      </w:pPr>
      <w:r>
        <w:rPr>
          <w:b w:val="false"/>
          <w:bCs/>
          <w:sz w:val="28"/>
        </w:rPr>
      </w:r>
    </w:p>
    <w:p>
      <w:pPr>
        <w:pStyle w:val="Heading"/>
        <w:rPr/>
      </w:pPr>
      <w:r>
        <w:rPr/>
      </w:r>
    </w:p>
    <w:p>
      <w:pPr>
        <w:pStyle w:val="Heading"/>
        <w:rPr/>
      </w:pPr>
      <w:r>
        <w:rPr/>
      </w:r>
    </w:p>
    <w:p>
      <w:pPr>
        <w:pStyle w:val="Heading"/>
        <w:rPr/>
      </w:pPr>
      <w:r>
        <w:rPr/>
      </w:r>
    </w:p>
    <w:p>
      <w:pPr>
        <w:pStyle w:val="Heading"/>
        <w:rPr/>
      </w:pPr>
      <w:r>
        <w:rPr/>
      </w:r>
    </w:p>
    <w:p>
      <w:pPr>
        <w:pStyle w:val="Heading"/>
        <w:tabs>
          <w:tab w:val="clear" w:pos="720"/>
          <w:tab w:val="left" w:pos="5040" w:leader="none"/>
        </w:tabs>
        <w:ind w:start="4320" w:end="0"/>
        <w:jc w:val="start"/>
        <w:rPr>
          <w:sz w:val="26"/>
        </w:rPr>
      </w:pPr>
      <w:r>
        <w:rPr>
          <w:sz w:val="26"/>
        </w:rPr>
        <w:t>GARY M. COHEN</w:t>
      </w:r>
    </w:p>
    <w:p>
      <w:pPr>
        <w:pStyle w:val="Heading"/>
        <w:tabs>
          <w:tab w:val="clear" w:pos="720"/>
          <w:tab w:val="left" w:pos="5040" w:leader="none"/>
        </w:tabs>
        <w:ind w:start="4320" w:end="0"/>
        <w:jc w:val="start"/>
        <w:rPr>
          <w:sz w:val="26"/>
        </w:rPr>
      </w:pPr>
      <w:r>
        <w:rPr>
          <w:sz w:val="26"/>
        </w:rPr>
        <w:t>AROCLES AGUILAR</w:t>
      </w:r>
    </w:p>
    <w:p>
      <w:pPr>
        <w:pStyle w:val="Heading"/>
        <w:tabs>
          <w:tab w:val="clear" w:pos="720"/>
          <w:tab w:val="left" w:pos="5040" w:leader="none"/>
        </w:tabs>
        <w:ind w:start="4320" w:end="0"/>
        <w:jc w:val="start"/>
        <w:rPr>
          <w:sz w:val="26"/>
        </w:rPr>
      </w:pPr>
      <w:r>
        <w:rPr>
          <w:sz w:val="26"/>
        </w:rPr>
        <w:t>HARVEY Y. MORRIS</w:t>
      </w:r>
    </w:p>
    <w:p>
      <w:pPr>
        <w:pStyle w:val="Heading"/>
        <w:tabs>
          <w:tab w:val="clear" w:pos="720"/>
          <w:tab w:val="left" w:pos="5040" w:leader="none"/>
        </w:tabs>
        <w:ind w:start="4320" w:end="0"/>
        <w:jc w:val="start"/>
        <w:rPr>
          <w:sz w:val="26"/>
        </w:rPr>
      </w:pPr>
      <w:r>
        <w:rPr>
          <w:sz w:val="26"/>
        </w:rPr>
        <w:t>JONATHAN A. BROMSON</w:t>
      </w:r>
    </w:p>
    <w:p>
      <w:pPr>
        <w:pStyle w:val="Heading"/>
        <w:tabs>
          <w:tab w:val="clear" w:pos="720"/>
          <w:tab w:val="left" w:pos="5040" w:leader="none"/>
        </w:tabs>
        <w:ind w:start="1440" w:end="0"/>
        <w:rPr>
          <w:sz w:val="26"/>
        </w:rPr>
      </w:pPr>
      <w:r>
        <w:rPr>
          <w:sz w:val="26"/>
        </w:rPr>
      </w:r>
    </w:p>
    <w:p>
      <w:pPr>
        <w:pStyle w:val="Footer"/>
        <w:tabs>
          <w:tab w:val="clear" w:pos="4320"/>
          <w:tab w:val="clear" w:pos="8640"/>
        </w:tabs>
        <w:rPr/>
      </w:pPr>
      <w:r>
        <w:rPr/>
        <w:tab/>
        <w:tab/>
        <w:tab/>
        <w:tab/>
        <w:tab/>
        <w:tab/>
      </w:r>
      <w:r>
        <w:rPr>
          <w:sz w:val="26"/>
        </w:rPr>
        <w:t>Attorneys for the Public Utilities</w:t>
      </w:r>
    </w:p>
    <w:p>
      <w:pPr>
        <w:pStyle w:val="Footer"/>
        <w:tabs>
          <w:tab w:val="clear" w:pos="4320"/>
          <w:tab w:val="clear" w:pos="8640"/>
        </w:tabs>
        <w:rPr>
          <w:sz w:val="26"/>
        </w:rPr>
      </w:pPr>
      <w:r>
        <w:rPr>
          <w:sz w:val="26"/>
        </w:rPr>
        <w:tab/>
        <w:tab/>
        <w:tab/>
        <w:tab/>
        <w:tab/>
        <w:tab/>
        <w:t>Commission of the State of California</w:t>
      </w:r>
    </w:p>
    <w:p>
      <w:pPr>
        <w:pStyle w:val="Footer"/>
        <w:tabs>
          <w:tab w:val="clear" w:pos="4320"/>
          <w:tab w:val="clear" w:pos="8640"/>
        </w:tabs>
        <w:rPr>
          <w:sz w:val="26"/>
        </w:rPr>
      </w:pPr>
      <w:r>
        <w:rPr>
          <w:sz w:val="26"/>
        </w:rPr>
      </w:r>
    </w:p>
    <w:p>
      <w:pPr>
        <w:pStyle w:val="Footer"/>
        <w:tabs>
          <w:tab w:val="clear" w:pos="4320"/>
          <w:tab w:val="clear" w:pos="8640"/>
        </w:tabs>
        <w:rPr>
          <w:sz w:val="26"/>
        </w:rPr>
      </w:pPr>
      <w:r>
        <w:rPr>
          <w:sz w:val="26"/>
        </w:rPr>
        <w:tab/>
        <w:tab/>
        <w:tab/>
        <w:tab/>
        <w:tab/>
        <w:tab/>
        <w:t>505 Van Ness Avenue, Room 5138</w:t>
      </w:r>
    </w:p>
    <w:p>
      <w:pPr>
        <w:pStyle w:val="Footer"/>
        <w:tabs>
          <w:tab w:val="clear" w:pos="4320"/>
          <w:tab w:val="clear" w:pos="8640"/>
        </w:tabs>
        <w:rPr>
          <w:sz w:val="26"/>
        </w:rPr>
      </w:pPr>
      <w:r>
        <w:rPr>
          <w:sz w:val="26"/>
        </w:rPr>
        <w:tab/>
        <w:tab/>
        <w:tab/>
        <w:tab/>
        <w:tab/>
        <w:tab/>
        <w:t>San Francisco, CA  94102</w:t>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lnNumType w:countBy="1" w:restart="newPage" w:distance="283"/>
          <w:pgNumType w:start="1" w:fmt="decimal"/>
          <w:formProt w:val="false"/>
          <w:titlePg/>
          <w:textDirection w:val="lrTb"/>
          <w:docGrid w:type="default" w:linePitch="360" w:charSpace="0"/>
        </w:sectPr>
        <w:pStyle w:val="Footer"/>
        <w:tabs>
          <w:tab w:val="clear" w:pos="4320"/>
          <w:tab w:val="clear" w:pos="8640"/>
        </w:tabs>
        <w:rPr>
          <w:sz w:val="26"/>
        </w:rPr>
      </w:pPr>
      <w:r>
        <w:rPr>
          <w:sz w:val="26"/>
        </w:rPr>
        <w:t>Filed:  July 23, 2001</w:t>
        <w:tab/>
        <w:tab/>
        <w:tab/>
        <w:tab/>
        <w:t>Phone: (415) 703-1086</w:t>
      </w:r>
    </w:p>
    <w:p>
      <w:pPr>
        <w:pStyle w:val="Heading"/>
        <w:jc w:val="start"/>
        <w:rPr>
          <w:sz w:val="26"/>
        </w:rPr>
      </w:pPr>
      <w:r>
        <w:rPr>
          <w:sz w:val="26"/>
        </w:rPr>
      </w:r>
    </w:p>
    <w:p>
      <w:pPr>
        <w:pStyle w:val="Heading"/>
        <w:rPr/>
      </w:pPr>
      <w:r>
        <w:rPr/>
        <w:t>UNITED STATES OF AMERICA</w:t>
      </w:r>
    </w:p>
    <w:p>
      <w:pPr>
        <w:pStyle w:val="Heading"/>
        <w:rPr/>
      </w:pPr>
      <w:r>
        <w:rPr/>
        <w:t>BEFORE THE</w:t>
      </w:r>
    </w:p>
    <w:p>
      <w:pPr>
        <w:pStyle w:val="Heading"/>
        <w:rPr/>
      </w:pPr>
      <w:r>
        <w:rPr/>
        <w:t>FEDERAL ENERGY REGULATORY COMMISSION</w:t>
      </w:r>
    </w:p>
    <w:p>
      <w:pPr>
        <w:pStyle w:val="Normal"/>
        <w:spacing w:lineRule="auto" w:line="360"/>
        <w:jc w:val="center"/>
        <w:rPr>
          <w:b/>
          <w:sz w:val="26"/>
        </w:rPr>
      </w:pPr>
      <w:r>
        <w:rPr>
          <w:b/>
          <w:sz w:val="26"/>
        </w:rPr>
      </w:r>
    </w:p>
    <w:p>
      <w:pPr>
        <w:pStyle w:val="Normal"/>
        <w:spacing w:lineRule="auto" w:line="360" w:before="0" w:after="120"/>
        <w:rPr>
          <w:b/>
          <w:smallCaps/>
          <w:sz w:val="26"/>
        </w:rPr>
      </w:pPr>
      <w:r>
        <w:rPr>
          <w:b/>
          <w:smallCaps/>
          <w:sz w:val="26"/>
        </w:rPr>
      </w:r>
    </w:p>
    <w:tbl>
      <w:tblPr>
        <w:tblW w:w="8496" w:type="dxa"/>
        <w:jc w:val="start"/>
        <w:tblInd w:w="0" w:type="dxa"/>
        <w:tblLayout w:type="fixed"/>
        <w:tblCellMar>
          <w:top w:w="0" w:type="dxa"/>
          <w:start w:w="108" w:type="dxa"/>
          <w:bottom w:w="0" w:type="dxa"/>
          <w:end w:w="108" w:type="dxa"/>
        </w:tblCellMar>
      </w:tblPr>
      <w:tblGrid>
        <w:gridCol w:w="4428"/>
        <w:gridCol w:w="4068"/>
      </w:tblGrid>
      <w:tr>
        <w:trPr/>
        <w:tc>
          <w:tcPr>
            <w:tcW w:w="4428" w:type="dxa"/>
            <w:tcBorders>
              <w:end w:val="single" w:sz="6" w:space="0" w:color="000000"/>
            </w:tcBorders>
          </w:tcPr>
          <w:p>
            <w:pPr>
              <w:pStyle w:val="Caption"/>
              <w:rPr/>
            </w:pPr>
            <w:r>
              <w:rPr/>
              <w:t>Public Utilities Commission of the</w:t>
            </w:r>
          </w:p>
          <w:p>
            <w:pPr>
              <w:pStyle w:val="Caption"/>
              <w:rPr/>
            </w:pPr>
            <w:r>
              <w:rPr/>
              <w:t>State of California</w:t>
            </w:r>
          </w:p>
          <w:p>
            <w:pPr>
              <w:pStyle w:val="Caption"/>
              <w:rPr/>
            </w:pPr>
            <w:r>
              <w:rPr/>
            </w:r>
          </w:p>
          <w:p>
            <w:pPr>
              <w:pStyle w:val="Caption"/>
              <w:rPr/>
            </w:pPr>
            <w:r>
              <w:rPr/>
              <w:t>v.</w:t>
            </w:r>
          </w:p>
        </w:tc>
        <w:tc>
          <w:tcPr>
            <w:tcW w:w="4068" w:type="dxa"/>
            <w:tcBorders/>
          </w:tcPr>
          <w:p>
            <w:pPr>
              <w:pStyle w:val="Caption"/>
              <w:snapToGrid w:val="false"/>
              <w:jc w:val="center"/>
              <w:rPr/>
            </w:pPr>
            <w:r>
              <w:rPr/>
            </w:r>
          </w:p>
          <w:p>
            <w:pPr>
              <w:pStyle w:val="Caption"/>
              <w:jc w:val="center"/>
              <w:rPr/>
            </w:pPr>
            <w:r>
              <w:rPr/>
            </w:r>
          </w:p>
          <w:p>
            <w:pPr>
              <w:pStyle w:val="Caption"/>
              <w:jc w:val="center"/>
              <w:rPr/>
            </w:pPr>
            <w:r>
              <w:rPr/>
            </w:r>
          </w:p>
          <w:p>
            <w:pPr>
              <w:pStyle w:val="Caption"/>
              <w:jc w:val="center"/>
              <w:rPr/>
            </w:pPr>
            <w:r>
              <w:rPr/>
              <w:t>Docket No. RP00-241-000</w:t>
            </w:r>
          </w:p>
        </w:tc>
      </w:tr>
      <w:tr>
        <w:trPr/>
        <w:tc>
          <w:tcPr>
            <w:tcW w:w="4428" w:type="dxa"/>
            <w:tcBorders>
              <w:end w:val="single" w:sz="6" w:space="0" w:color="000000"/>
            </w:tcBorders>
          </w:tcPr>
          <w:p>
            <w:pPr>
              <w:pStyle w:val="Caption"/>
              <w:snapToGrid w:val="false"/>
              <w:rPr/>
            </w:pPr>
            <w:r>
              <w:rPr/>
            </w:r>
          </w:p>
          <w:p>
            <w:pPr>
              <w:pStyle w:val="Caption"/>
              <w:rPr/>
            </w:pPr>
            <w:r>
              <w:rPr/>
              <w:t>El Paso Natural Gas Company,</w:t>
            </w:r>
          </w:p>
          <w:p>
            <w:pPr>
              <w:pStyle w:val="Caption"/>
              <w:rPr/>
            </w:pPr>
            <w:r>
              <w:rPr/>
              <w:t>El Paso Merchant Energy-Gas, L.P.,</w:t>
            </w:r>
          </w:p>
          <w:p>
            <w:pPr>
              <w:pStyle w:val="Caption"/>
              <w:rPr/>
            </w:pPr>
            <w:r>
              <w:rPr/>
              <w:t>and El Paso Merchant Energy</w:t>
            </w:r>
          </w:p>
          <w:p>
            <w:pPr>
              <w:pStyle w:val="Caption"/>
              <w:rPr/>
            </w:pPr>
            <w:r>
              <w:rPr/>
              <w:t>Company.</w:t>
            </w:r>
          </w:p>
          <w:p>
            <w:pPr>
              <w:pStyle w:val="Caption"/>
              <w:rPr/>
            </w:pPr>
            <w:r>
              <w:rPr/>
            </w:r>
          </w:p>
        </w:tc>
        <w:tc>
          <w:tcPr>
            <w:tcW w:w="4068" w:type="dxa"/>
            <w:tcBorders/>
          </w:tcPr>
          <w:p>
            <w:pPr>
              <w:pStyle w:val="Caption"/>
              <w:snapToGrid w:val="false"/>
              <w:jc w:val="center"/>
              <w:rPr/>
            </w:pPr>
            <w:r>
              <w:rPr/>
            </w:r>
          </w:p>
        </w:tc>
      </w:tr>
      <w:tr>
        <w:trPr/>
        <w:tc>
          <w:tcPr>
            <w:tcW w:w="4428" w:type="dxa"/>
            <w:tcBorders>
              <w:bottom w:val="single" w:sz="6" w:space="0" w:color="000000"/>
              <w:end w:val="single" w:sz="6" w:space="0" w:color="000000"/>
            </w:tcBorders>
          </w:tcPr>
          <w:p>
            <w:pPr>
              <w:pStyle w:val="Caption"/>
              <w:snapToGrid w:val="false"/>
              <w:rPr/>
            </w:pPr>
            <w:r>
              <w:rPr/>
            </w:r>
          </w:p>
        </w:tc>
        <w:tc>
          <w:tcPr>
            <w:tcW w:w="4068" w:type="dxa"/>
            <w:tcBorders/>
          </w:tcPr>
          <w:p>
            <w:pPr>
              <w:pStyle w:val="Caption"/>
              <w:snapToGrid w:val="false"/>
              <w:rPr/>
            </w:pPr>
            <w:r>
              <w:rPr/>
            </w:r>
          </w:p>
        </w:tc>
      </w:tr>
    </w:tbl>
    <w:p>
      <w:pPr>
        <w:pStyle w:val="Normal"/>
        <w:spacing w:lineRule="auto" w:line="360"/>
        <w:rPr>
          <w:b/>
          <w:sz w:val="26"/>
        </w:rPr>
      </w:pPr>
      <w:r>
        <w:rPr>
          <w:b/>
          <w:sz w:val="26"/>
        </w:rPr>
      </w:r>
    </w:p>
    <w:p>
      <w:pPr>
        <w:pStyle w:val="Normal"/>
        <w:spacing w:lineRule="auto" w:line="360"/>
        <w:rPr>
          <w:b/>
          <w:sz w:val="26"/>
        </w:rPr>
      </w:pPr>
      <w:r>
        <w:rPr>
          <w:b/>
          <w:sz w:val="26"/>
        </w:rPr>
      </w:r>
    </w:p>
    <w:p>
      <w:pPr>
        <w:pStyle w:val="Heading"/>
        <w:rPr/>
      </w:pPr>
      <w:r>
        <w:rPr/>
        <w:t xml:space="preserve">PREPARED REBUTTAL TESTIMONY OF </w:t>
      </w:r>
    </w:p>
    <w:p>
      <w:pPr>
        <w:pStyle w:val="Heading"/>
        <w:rPr/>
      </w:pPr>
      <w:r>
        <w:rPr/>
        <w:t xml:space="preserve">ROBERT MARK POCTA </w:t>
      </w:r>
    </w:p>
    <w:p>
      <w:pPr>
        <w:pStyle w:val="Heading"/>
        <w:rPr/>
      </w:pPr>
      <w:r>
        <w:rPr/>
      </w:r>
    </w:p>
    <w:p>
      <w:pPr>
        <w:pStyle w:val="Heading"/>
        <w:rPr/>
      </w:pPr>
      <w:r>
        <w:rPr/>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lnNumType w:countBy="1" w:restart="newPage" w:distance="283"/>
          <w:pgNumType w:start="1" w:fmt="decimal"/>
          <w:formProt w:val="false"/>
          <w:textDirection w:val="lrTb"/>
          <w:docGrid w:type="default" w:linePitch="360" w:charSpace="0"/>
        </w:sectPr>
      </w:pPr>
    </w:p>
    <w:p>
      <w:pPr>
        <w:pStyle w:val="Normal"/>
        <w:numPr>
          <w:ilvl w:val="0"/>
          <w:numId w:val="17"/>
        </w:numPr>
        <w:tabs>
          <w:tab w:val="left" w:pos="0" w:leader="none"/>
          <w:tab w:val="left" w:pos="720" w:leader="none"/>
        </w:tabs>
        <w:spacing w:lineRule="auto" w:line="480"/>
        <w:rPr>
          <w:sz w:val="26"/>
        </w:rPr>
      </w:pPr>
      <w:r>
        <w:rPr>
          <w:sz w:val="26"/>
        </w:rPr>
        <w:t>Please state your name and business address.</w:t>
      </w:r>
    </w:p>
    <w:p>
      <w:pPr>
        <w:pStyle w:val="Normal"/>
        <w:numPr>
          <w:ilvl w:val="0"/>
          <w:numId w:val="8"/>
        </w:numPr>
        <w:tabs>
          <w:tab w:val="left" w:pos="720" w:leader="none"/>
        </w:tabs>
        <w:spacing w:lineRule="auto" w:line="480"/>
        <w:ind w:hanging="720" w:start="720" w:end="0"/>
        <w:rPr>
          <w:sz w:val="26"/>
        </w:rPr>
      </w:pPr>
      <w:r>
        <w:rPr>
          <w:sz w:val="26"/>
        </w:rPr>
        <w:t>My name is Robert Mark Pocta.  My business address is the California Public Utilities Commission, 505 Van Ness Avenue, San Francisco, California, 94102.</w:t>
      </w:r>
    </w:p>
    <w:p>
      <w:pPr>
        <w:pStyle w:val="Normal"/>
        <w:tabs>
          <w:tab w:val="left" w:pos="720" w:leader="none"/>
        </w:tabs>
        <w:spacing w:lineRule="auto" w:line="480"/>
        <w:rPr>
          <w:sz w:val="26"/>
        </w:rPr>
      </w:pPr>
      <w:r>
        <w:rPr>
          <w:sz w:val="26"/>
        </w:rPr>
      </w:r>
    </w:p>
    <w:p>
      <w:pPr>
        <w:pStyle w:val="Normal"/>
        <w:numPr>
          <w:ilvl w:val="0"/>
          <w:numId w:val="20"/>
        </w:numPr>
        <w:tabs>
          <w:tab w:val="left" w:pos="720" w:leader="none"/>
        </w:tabs>
        <w:spacing w:lineRule="auto" w:line="480"/>
        <w:ind w:hanging="720" w:start="720" w:end="0"/>
        <w:rPr>
          <w:sz w:val="26"/>
        </w:rPr>
      </w:pPr>
      <w:r>
        <w:rPr>
          <w:sz w:val="26"/>
        </w:rPr>
        <w:t>Are you the same Robert Mark Pocta, who submitted prepared direct testimony in this proceeding on behalf of the Public Utilities Commission of the State of California (“CPUC”)?</w:t>
      </w:r>
    </w:p>
    <w:p>
      <w:pPr>
        <w:pStyle w:val="Normal"/>
        <w:numPr>
          <w:ilvl w:val="0"/>
          <w:numId w:val="12"/>
        </w:numPr>
        <w:spacing w:lineRule="auto" w:line="480"/>
        <w:ind w:hanging="720" w:start="720" w:end="0"/>
        <w:rPr>
          <w:sz w:val="26"/>
        </w:rPr>
      </w:pPr>
      <w:r>
        <w:rPr>
          <w:sz w:val="26"/>
        </w:rPr>
        <w:t>Yes, I am.</w:t>
      </w:r>
    </w:p>
    <w:p>
      <w:pPr>
        <w:pStyle w:val="Normal"/>
        <w:spacing w:lineRule="auto" w:line="480"/>
        <w:ind w:hanging="720" w:start="720" w:end="0"/>
        <w:rPr/>
      </w:pPr>
      <w:r>
        <w:rPr/>
        <w:t>Q.</w:t>
        <w:tab/>
      </w:r>
      <w:r>
        <w:rPr>
          <w:sz w:val="26"/>
        </w:rPr>
        <w:t>What is the purpose of your rebuttal testimony in this proceeding?</w:t>
      </w:r>
    </w:p>
    <w:p>
      <w:pPr>
        <w:pStyle w:val="BodyText"/>
        <w:tabs>
          <w:tab w:val="clear" w:pos="0"/>
          <w:tab w:val="left" w:pos="720" w:leader="none"/>
          <w:tab w:val="left" w:pos="1440" w:leader="none"/>
        </w:tabs>
        <w:ind w:hanging="720" w:start="720" w:end="0"/>
        <w:rPr/>
      </w:pPr>
      <w:r>
        <w:rPr/>
        <w:t>A.</w:t>
        <w:tab/>
        <w:t xml:space="preserve">The purpose of my rebuttal testimony is to respond to the Prepared Direct Testimony of Patricia A. Shelton on Marketing Affiliate Issues (“Exhibit EPNG-38”), which was submitted on behalf of El Paso Natural Gas Company (“El Paso”).  El Paso’s marketing affiliates, El Paso Merchant Energy-Gas, L.P. and El Paso Merchant Energy Company (collectively, “El Paso Merchant”), did not submit any prepared direct testimony on the affiliate issues or concerning the bidding for and execution of the contracts between El Paso and El Paso Merchant for 1,220 MMcf/d of firm El Paso capacity to California (the “El Paso-El Paso Contracts”).  Consequently, I am unable to submit prepared rebuttal testimony responsive to El Paso Merchant’s claims.  </w:t>
      </w:r>
    </w:p>
    <w:p>
      <w:pPr>
        <w:pStyle w:val="BodyText"/>
        <w:tabs>
          <w:tab w:val="clear" w:pos="0"/>
          <w:tab w:val="left" w:pos="720" w:leader="none"/>
          <w:tab w:val="left" w:pos="1440" w:leader="none"/>
        </w:tabs>
        <w:ind w:start="720" w:end="0"/>
        <w:rPr/>
      </w:pPr>
      <w:r>
        <w:rPr/>
      </w:r>
    </w:p>
    <w:p>
      <w:pPr>
        <w:pStyle w:val="BodyText"/>
        <w:numPr>
          <w:ilvl w:val="0"/>
          <w:numId w:val="9"/>
        </w:numPr>
        <w:tabs>
          <w:tab w:val="clear" w:pos="0"/>
          <w:tab w:val="left" w:pos="1440" w:leader="none"/>
        </w:tabs>
        <w:ind w:hanging="720" w:start="720" w:end="0"/>
        <w:rPr/>
      </w:pPr>
      <w:r>
        <w:rPr/>
        <w:t xml:space="preserve">Ms. Shelton claims that the Federal Energy Regulatory Commission’s (“FERC”) order issued on March 28, 2001, </w:t>
      </w:r>
      <w:r>
        <w:rPr>
          <w:u w:val="single"/>
        </w:rPr>
        <w:t>Public Utilities Commission of the State of California v. El Paso Natural Gas Company, et. al</w:t>
      </w:r>
      <w:r>
        <w:rPr/>
        <w:t>., 94 FERC ¶ 61,338 (2001) (the “March 28 Order”), found no merit in the allegations that El Paso’s bidding process for the 1,220 MMcf/d of El Paso capacity was skewed to favor El Paso Merchant and that Mojave pipeline Company’s (“Mojave”) delay in disclosing its discount favored its affiliate.  Is the FERC’s March 28 Order controlling on these affiliate abuse issues?</w:t>
      </w:r>
    </w:p>
    <w:p>
      <w:pPr>
        <w:pStyle w:val="BodyText"/>
        <w:numPr>
          <w:ilvl w:val="0"/>
          <w:numId w:val="2"/>
        </w:numPr>
        <w:tabs>
          <w:tab w:val="clear" w:pos="0"/>
          <w:tab w:val="left" w:pos="1440" w:leader="none"/>
        </w:tabs>
        <w:ind w:hanging="720" w:start="720" w:end="0"/>
        <w:rPr/>
      </w:pPr>
      <w:r>
        <w:rPr/>
        <w:t xml:space="preserve">No.  In the FERC’s “Order on Rehearing” issued on June 11, 2001, </w:t>
      </w:r>
      <w:r>
        <w:rPr>
          <w:u w:val="single"/>
        </w:rPr>
        <w:t>Public Utilities Commission of the State of California v. El Paso Natural Gas Company, et. al</w:t>
      </w:r>
      <w:r>
        <w:rPr/>
        <w:t xml:space="preserve">., 95 FERC ¶ 61,368 at p. 62,392 (2001) (the “June 11 Rehearing Order”), the FERC granted the CPUC’s and others’ requests for rehearing on the affiliate abuse issues.  Based upon these rehearing requests and in consideration of the FERC’s Chief Administrative Law Judge’s May 31, 2001 request for guidance, the FERC found in its June 11 Rehearing Order that the affiliate abuse issues raised “factual issues that are best resolved in an evidentiary hearing.”  </w:t>
      </w:r>
      <w:r>
        <w:rPr>
          <w:u w:val="single"/>
        </w:rPr>
        <w:t>Id.</w:t>
      </w:r>
      <w:r>
        <w:rPr/>
        <w:t xml:space="preserve">  Attached hereto and marked “Exhibit PUC-48”, is a true and correct copy of the CPUC’s April 26, 2001 rehearing request, which the FERC considered in reaching its decision to grant rehearing and set the affiliate abuse issues for hearing.</w:t>
      </w:r>
    </w:p>
    <w:p>
      <w:pPr>
        <w:pStyle w:val="BodyText"/>
        <w:tabs>
          <w:tab w:val="clear" w:pos="0"/>
          <w:tab w:val="left" w:pos="1440" w:leader="none"/>
        </w:tabs>
        <w:rPr/>
      </w:pPr>
      <w:r>
        <w:rPr/>
      </w:r>
    </w:p>
    <w:p>
      <w:pPr>
        <w:pStyle w:val="BodyText"/>
        <w:tabs>
          <w:tab w:val="clear" w:pos="0"/>
          <w:tab w:val="left" w:pos="1440" w:leader="none"/>
        </w:tabs>
        <w:jc w:val="center"/>
        <w:rPr>
          <w:b/>
          <w:bCs/>
          <w:u w:val="single"/>
        </w:rPr>
      </w:pPr>
      <w:r>
        <w:rPr>
          <w:b/>
          <w:bCs/>
          <w:u w:val="single"/>
        </w:rPr>
        <w:t>EL PASO’S PREFERENTIAL OPEN SEASON</w:t>
      </w:r>
    </w:p>
    <w:p>
      <w:pPr>
        <w:pStyle w:val="BodyText"/>
        <w:numPr>
          <w:ilvl w:val="0"/>
          <w:numId w:val="5"/>
        </w:numPr>
        <w:tabs>
          <w:tab w:val="clear" w:pos="0"/>
          <w:tab w:val="left" w:pos="1440" w:leader="none"/>
        </w:tabs>
        <w:ind w:hanging="720" w:start="720" w:end="0"/>
        <w:rPr/>
      </w:pPr>
      <w:r>
        <w:rPr/>
        <w:t>Does Ms. Shelton address the fact that no bidder in the February 7-14, 2000 open season, except for El Paso Merchant, would have bid for the full 1,220 MMcf/d of El Paso firm capacity (i.e., a “total package bidder”) without a special provision that took away El Paso’s incentive to compete by discounting interruptible transportation (“IT”) rates?</w:t>
      </w:r>
    </w:p>
    <w:p>
      <w:pPr>
        <w:pStyle w:val="BodyText"/>
        <w:numPr>
          <w:ilvl w:val="0"/>
          <w:numId w:val="7"/>
        </w:numPr>
        <w:tabs>
          <w:tab w:val="clear" w:pos="0"/>
          <w:tab w:val="left" w:pos="1440" w:leader="none"/>
        </w:tabs>
        <w:ind w:hanging="720" w:start="720" w:end="0"/>
        <w:rPr/>
      </w:pPr>
      <w:r>
        <w:rPr/>
        <w:t xml:space="preserve">No.  She refers to previous “prearranged deals” with Dynegy Marketing and Trade (“Dynegy”), an “undisclosed party”, and Enron North America Corp. (“Enron”), but, as I explained in my July 13, 2001 prepared direct testimony, these previous prearranged deals had special provisions taking away El Paso’s incentive to discount IT rates.  El Paso’s purportedly </w:t>
      </w:r>
      <w:r>
        <w:rPr>
          <w:u w:val="single"/>
        </w:rPr>
        <w:t>pro</w:t>
      </w:r>
      <w:r>
        <w:rPr/>
        <w:t xml:space="preserve"> </w:t>
      </w:r>
      <w:r>
        <w:rPr>
          <w:u w:val="single"/>
        </w:rPr>
        <w:t>forma</w:t>
      </w:r>
      <w:r>
        <w:rPr/>
        <w:t xml:space="preserve"> contracts offered in the February 7-14, 2000 open season did not contain any provision taking away El Paso’s incentive to compete by discounting IT rates.  Therefore, only El Paso’s affiliate, El Paso Merchant, could bid for the total package knowing that El Paso wouldn’t compete with El Paso Merchant’s firm capacity by discounting IT rates.  Not surprisingly, El Paso Merchant was the only total package bidder.</w:t>
      </w:r>
    </w:p>
    <w:p>
      <w:pPr>
        <w:pStyle w:val="BodyText"/>
        <w:tabs>
          <w:tab w:val="clear" w:pos="0"/>
          <w:tab w:val="left" w:pos="720" w:leader="none"/>
          <w:tab w:val="left" w:pos="1440" w:leader="none"/>
        </w:tabs>
        <w:rPr/>
      </w:pPr>
      <w:r>
        <w:rPr/>
      </w:r>
    </w:p>
    <w:p>
      <w:pPr>
        <w:pStyle w:val="BodyText"/>
        <w:numPr>
          <w:ilvl w:val="0"/>
          <w:numId w:val="18"/>
        </w:numPr>
        <w:tabs>
          <w:tab w:val="clear" w:pos="0"/>
          <w:tab w:val="left" w:pos="720" w:leader="none"/>
          <w:tab w:val="left" w:pos="1440" w:leader="none"/>
        </w:tabs>
        <w:ind w:hanging="720" w:start="720" w:end="0"/>
        <w:rPr/>
      </w:pPr>
      <w:r>
        <w:rPr/>
        <w:t xml:space="preserve">Does Ms. Shelton dispute that the total package bidder had an advantage over the bidders for portions of the 1,220 MMcf/d firm capacity (“partial package bidders”) during the February 7-14, 2000 open season?  </w:t>
      </w:r>
    </w:p>
    <w:p>
      <w:pPr>
        <w:pStyle w:val="BodyText"/>
        <w:numPr>
          <w:ilvl w:val="0"/>
          <w:numId w:val="24"/>
        </w:numPr>
        <w:tabs>
          <w:tab w:val="clear" w:pos="0"/>
          <w:tab w:val="left" w:pos="1440" w:leader="none"/>
        </w:tabs>
        <w:ind w:hanging="720" w:start="720" w:end="0"/>
        <w:rPr/>
      </w:pPr>
      <w:r>
        <w:rPr/>
        <w:t>Yes.  She alleges that smaller bidders were not disadvantaged, because bids of partial package bidders were aggregated to compare to the bid by a total package bidder.  However, she ignores that partial package bidders were disadvantaged, because they could not control their own destiny since the success of their bids (no matter how reasonable their bids were) was totally dependent upon the rates and volumes bid by other partial package bidders.  She also ignores the fact that the non-affiliated bidders did not know if El Paso would discount its IT rates, so when they made their bids, they faced this uncertainty which El Paso Merchant did not face.</w:t>
      </w:r>
    </w:p>
    <w:p>
      <w:pPr>
        <w:pStyle w:val="BodyText"/>
        <w:tabs>
          <w:tab w:val="clear" w:pos="0"/>
          <w:tab w:val="left" w:pos="1440" w:leader="none"/>
        </w:tabs>
        <w:rPr/>
      </w:pPr>
      <w:r>
        <w:rPr/>
      </w:r>
    </w:p>
    <w:p>
      <w:pPr>
        <w:pStyle w:val="BodyText"/>
        <w:numPr>
          <w:ilvl w:val="0"/>
          <w:numId w:val="19"/>
        </w:numPr>
        <w:tabs>
          <w:tab w:val="clear" w:pos="0"/>
          <w:tab w:val="left" w:pos="720" w:leader="none"/>
          <w:tab w:val="left" w:pos="1440" w:leader="none"/>
        </w:tabs>
        <w:ind w:hanging="1080" w:start="1080" w:end="0"/>
        <w:rPr/>
      </w:pPr>
      <w:r>
        <w:rPr/>
        <w:t>Were there other disadvantages facing partial package bidders?</w:t>
      </w:r>
    </w:p>
    <w:p>
      <w:pPr>
        <w:pStyle w:val="BodyText"/>
        <w:tabs>
          <w:tab w:val="clear" w:pos="0"/>
          <w:tab w:val="left" w:pos="720" w:leader="none"/>
          <w:tab w:val="left" w:pos="1440" w:leader="none"/>
        </w:tabs>
        <w:ind w:hanging="720" w:start="720" w:end="0"/>
        <w:rPr/>
      </w:pPr>
      <w:r>
        <w:rPr/>
        <w:t>A.</w:t>
        <w:tab/>
        <w:t xml:space="preserve">Yes.  Another </w:t>
      </w:r>
      <w:r>
        <w:rPr/>
        <w:fldChar w:fldCharType="begin"/>
      </w:r>
      <w:r>
        <w:rPr/>
        <w:instrText xml:space="preserve"> FILLIN "Enter the title for this decision"</w:instrText>
      </w:r>
      <w:r>
        <w:rPr/>
        <w:fldChar w:fldCharType="separate"/>
      </w:r>
      <w:r>
        <w:rPr/>
      </w:r>
      <w:r>
        <w:rPr/>
        <w:fldChar w:fldCharType="end"/>
      </w:r>
      <w:r>
        <w:rPr/>
        <w:t xml:space="preserve">disadvantage facing the partial package bidders was that marketers had been valuing the </w:t>
      </w:r>
      <w:r>
        <w:rPr>
          <w:u w:val="single"/>
        </w:rPr>
        <w:t>total</w:t>
      </w:r>
      <w:r>
        <w:rPr/>
        <w:t xml:space="preserve"> package of 1,220 MMcf/d as worth more than the </w:t>
      </w:r>
      <w:r>
        <w:rPr>
          <w:u w:val="single"/>
        </w:rPr>
        <w:t>sum</w:t>
      </w:r>
      <w:r>
        <w:rPr/>
        <w:t xml:space="preserve"> of its </w:t>
      </w:r>
      <w:r>
        <w:rPr>
          <w:u w:val="single"/>
        </w:rPr>
        <w:t>parts.</w:t>
      </w:r>
      <w:r>
        <w:rPr/>
        <w:t xml:space="preserve">  El Paso knew that the open seasons for partial bids, prior to its contracts with Dynegy and Enron, had resulted in bids that were unsatisfactory to El Paso, which is why El Paso had rejected most of the bids and instead maximized its revenues with prearranged deals with Dynegy and Enron for the total packages.  Indeed, Natural Gas Clearinghouse (“NGC”), Dynegy’s predecessor, had itself submitted an insufficient bid for a portion of the El Paso capacity before NGC and El Paso negotiated in October, 1997 the first prearranged deal for the first total package, which resulted in the El Paso-Dynegy Contracts covering the 1998-1999 time period.  NGC was willing to pay higher amounts that satisfied El Paso </w:t>
      </w:r>
      <w:r>
        <w:rPr>
          <w:u w:val="single"/>
        </w:rPr>
        <w:t>if</w:t>
      </w:r>
      <w:r>
        <w:rPr/>
        <w:t xml:space="preserve"> NGC could control </w:t>
      </w:r>
      <w:r>
        <w:rPr>
          <w:u w:val="single"/>
        </w:rPr>
        <w:t>all</w:t>
      </w:r>
      <w:r>
        <w:rPr/>
        <w:t xml:space="preserve"> of the unsubscribed capacity.  (Attached hereto and marked “Exhibit PUC-49” is a copy of relevant excerpts of El Paso’s handout at the March 3, 1998 technical conference in FERC Docket No. RP97-287-010, wherein El Paso explained the genesis of the NGC deal, which resulted in the El Paso-Dynegy Contracts.)  Therefore, there was every reason to assume that the total package bid would be higher than the aggregated partial package bids in the February </w:t>
        <w:br/>
        <w:t>7-14, 2000 open season.</w:t>
      </w:r>
    </w:p>
    <w:p>
      <w:pPr>
        <w:pStyle w:val="BodyText"/>
        <w:rPr/>
      </w:pPr>
      <w:r>
        <w:rPr/>
        <w:tab/>
      </w:r>
    </w:p>
    <w:p>
      <w:pPr>
        <w:pStyle w:val="BodyText"/>
        <w:tabs>
          <w:tab w:val="clear" w:pos="0"/>
          <w:tab w:val="left" w:pos="720" w:leader="none"/>
        </w:tabs>
        <w:ind w:start="720" w:end="0"/>
        <w:rPr>
          <w:b/>
          <w:bCs/>
        </w:rPr>
      </w:pPr>
      <w:r>
        <w:rPr/>
        <w:t>Finally, when the total package bidder is El Paso’s affiliate, El Paso Merchant, it can afford to bid higher than non-affiliates, because the money paid by El Paso Merchant to El Paso is money going to the same shareholders.</w:t>
      </w:r>
    </w:p>
    <w:p>
      <w:pPr>
        <w:pStyle w:val="BodyText"/>
        <w:tabs>
          <w:tab w:val="clear" w:pos="0"/>
          <w:tab w:val="left" w:pos="720" w:leader="none"/>
          <w:tab w:val="left" w:pos="1440" w:leader="none"/>
        </w:tabs>
        <w:ind w:start="720" w:end="0"/>
        <w:rPr>
          <w:b/>
          <w:bCs/>
        </w:rPr>
      </w:pPr>
      <w:r>
        <w:rPr>
          <w:b/>
          <w:bCs/>
        </w:rPr>
      </w:r>
    </w:p>
    <w:p>
      <w:pPr>
        <w:pStyle w:val="Normal"/>
        <w:numPr>
          <w:ilvl w:val="0"/>
          <w:numId w:val="21"/>
        </w:numPr>
        <w:spacing w:lineRule="auto" w:line="480"/>
        <w:ind w:hanging="735" w:start="735" w:end="0"/>
        <w:rPr>
          <w:sz w:val="26"/>
        </w:rPr>
      </w:pPr>
      <w:r>
        <w:rPr>
          <w:sz w:val="26"/>
        </w:rPr>
        <w:t>Do you know by how much El Paso Merchant’s total package bid was higher than the aggregate amount for the partial package bids?</w:t>
      </w:r>
    </w:p>
    <w:p>
      <w:pPr>
        <w:pStyle w:val="Normal"/>
        <w:numPr>
          <w:ilvl w:val="0"/>
          <w:numId w:val="15"/>
        </w:numPr>
        <w:spacing w:lineRule="auto" w:line="480"/>
        <w:ind w:hanging="720" w:start="720" w:end="0"/>
        <w:rPr>
          <w:sz w:val="26"/>
        </w:rPr>
      </w:pPr>
      <w:r>
        <w:rPr>
          <w:sz w:val="26"/>
        </w:rPr>
        <w:t>Yes.  On May 9, 2000, El Paso provided this information in response to the CPUC’s data request.  El Paso Merchant’s bid of $38.5 million was more than double the aggregate bid revenue of $17.6 million by the partial package bidders.  A true and correct copy of El Paso’s data response is marked “Exhibit PUC-50” and attached hereto.</w:t>
      </w:r>
    </w:p>
    <w:p>
      <w:pPr>
        <w:pStyle w:val="Normal"/>
        <w:spacing w:lineRule="auto" w:line="480"/>
        <w:ind w:start="360" w:end="0"/>
        <w:rPr>
          <w:sz w:val="26"/>
        </w:rPr>
      </w:pPr>
      <w:r>
        <w:rPr>
          <w:sz w:val="26"/>
        </w:rPr>
      </w:r>
    </w:p>
    <w:p>
      <w:pPr>
        <w:pStyle w:val="Normal"/>
        <w:ind w:start="360" w:end="0"/>
        <w:jc w:val="center"/>
        <w:rPr>
          <w:b/>
          <w:bCs/>
          <w:sz w:val="26"/>
          <w:u w:val="single"/>
        </w:rPr>
      </w:pPr>
      <w:r>
        <w:rPr>
          <w:b/>
          <w:bCs/>
          <w:sz w:val="26"/>
          <w:u w:val="single"/>
        </w:rPr>
        <w:t>MOJAVE’S SECRETLY NEGOTIATED DISCOUNT</w:t>
        <w:br/>
        <w:t xml:space="preserve"> FOR EL PASO MERCHANT</w:t>
      </w:r>
    </w:p>
    <w:p>
      <w:pPr>
        <w:pStyle w:val="Normal"/>
        <w:ind w:start="360" w:end="0"/>
        <w:jc w:val="center"/>
        <w:rPr>
          <w:b/>
          <w:bCs/>
          <w:sz w:val="26"/>
          <w:u w:val="single"/>
        </w:rPr>
      </w:pPr>
      <w:r>
        <w:rPr>
          <w:b/>
          <w:bCs/>
          <w:sz w:val="26"/>
          <w:u w:val="single"/>
        </w:rPr>
      </w:r>
    </w:p>
    <w:p>
      <w:pPr>
        <w:pStyle w:val="Normal"/>
        <w:numPr>
          <w:ilvl w:val="0"/>
          <w:numId w:val="10"/>
        </w:numPr>
        <w:spacing w:lineRule="auto" w:line="480"/>
        <w:ind w:hanging="720" w:start="720" w:end="0"/>
        <w:rPr>
          <w:sz w:val="26"/>
        </w:rPr>
      </w:pPr>
      <w:r>
        <w:rPr>
          <w:sz w:val="26"/>
        </w:rPr>
        <w:t>Does Ms. Shelton address that secretly negotiated discount between Mojave and El Paso Merchant during the open season?</w:t>
      </w:r>
    </w:p>
    <w:p>
      <w:pPr>
        <w:pStyle w:val="Normal"/>
        <w:numPr>
          <w:ilvl w:val="0"/>
          <w:numId w:val="22"/>
        </w:numPr>
        <w:spacing w:lineRule="auto" w:line="480"/>
        <w:ind w:hanging="720" w:start="720" w:end="0"/>
        <w:rPr>
          <w:sz w:val="26"/>
        </w:rPr>
      </w:pPr>
      <w:r>
        <w:rPr>
          <w:sz w:val="26"/>
        </w:rPr>
        <w:t>Yes.  She implies that Mojave did not agree to the discount which El Paso Merchant, in fact, had negotiated with Mojave on February 9, 2000.  However, the precise terms of the deal that were negotiated on February 9, 2000, as reflected in El Paso Merchant’s February 9, 2000 e-mail (s</w:t>
      </w:r>
      <w:r>
        <w:rPr>
          <w:sz w:val="26"/>
          <w:u w:val="single"/>
        </w:rPr>
        <w:t>ee</w:t>
      </w:r>
      <w:r>
        <w:rPr>
          <w:sz w:val="26"/>
        </w:rPr>
        <w:t xml:space="preserve"> Exhibit PUC-19) and the transcript of the El Paso Merchant-Mojave telephone conversation on February 9, 2000 (s</w:t>
      </w:r>
      <w:r>
        <w:rPr>
          <w:sz w:val="26"/>
          <w:u w:val="single"/>
        </w:rPr>
        <w:t>ee</w:t>
      </w:r>
      <w:r>
        <w:rPr>
          <w:sz w:val="26"/>
        </w:rPr>
        <w:t xml:space="preserve"> Exhibit PUC-46), were reflected in Mojave’s February 18, 2000 posted discount.  </w:t>
      </w:r>
      <w:r>
        <w:rPr>
          <w:sz w:val="26"/>
          <w:u w:val="single"/>
        </w:rPr>
        <w:t>See</w:t>
      </w:r>
      <w:r>
        <w:rPr>
          <w:sz w:val="26"/>
        </w:rPr>
        <w:t xml:space="preserve"> Exhibit PUC-18.</w:t>
      </w:r>
    </w:p>
    <w:p>
      <w:pPr>
        <w:pStyle w:val="Normal"/>
        <w:spacing w:lineRule="auto" w:line="480"/>
        <w:rPr>
          <w:sz w:val="26"/>
        </w:rPr>
      </w:pPr>
      <w:r>
        <w:rPr>
          <w:sz w:val="26"/>
        </w:rPr>
      </w:r>
    </w:p>
    <w:p>
      <w:pPr>
        <w:pStyle w:val="Normal"/>
        <w:numPr>
          <w:ilvl w:val="0"/>
          <w:numId w:val="6"/>
        </w:numPr>
        <w:spacing w:lineRule="auto" w:line="480"/>
        <w:ind w:hanging="720" w:start="720" w:end="0"/>
        <w:rPr>
          <w:sz w:val="26"/>
        </w:rPr>
      </w:pPr>
      <w:r>
        <w:rPr>
          <w:sz w:val="26"/>
        </w:rPr>
        <w:t xml:space="preserve">Ms. Shelton suggests, however, that Jerry Strange, Mojave’s and El Paso’s Director of Transportation Marketing, had unilaterally restricted the Mojave discount to the Wheeler Ridge delivery point, as if this were different than what had been negotiated.  </w:t>
      </w:r>
      <w:r>
        <w:rPr>
          <w:sz w:val="26"/>
          <w:u w:val="single"/>
        </w:rPr>
        <w:t>See</w:t>
      </w:r>
      <w:r>
        <w:rPr>
          <w:sz w:val="26"/>
        </w:rPr>
        <w:t xml:space="preserve"> EPNG-38, p. 13.  During the open season, did El Paso Merchant seek this discount on Mojave to delivery points other than Wheeler Ridge?</w:t>
      </w:r>
    </w:p>
    <w:p>
      <w:pPr>
        <w:pStyle w:val="Normal"/>
        <w:numPr>
          <w:ilvl w:val="0"/>
          <w:numId w:val="16"/>
        </w:numPr>
        <w:spacing w:lineRule="auto" w:line="480"/>
        <w:ind w:hanging="720" w:start="720" w:end="0"/>
        <w:rPr>
          <w:sz w:val="26"/>
        </w:rPr>
      </w:pPr>
      <w:r>
        <w:rPr>
          <w:sz w:val="26"/>
        </w:rPr>
        <w:t xml:space="preserve">No.  In the February 7, 2000 transcript, p. 3, El Paso Merchant’s executive, Robin B. Cox, clearly stated that El Paso Merchant needed “rate certainty on …Mojave- to go to …Wheeler Ridge.”  </w:t>
      </w:r>
      <w:r>
        <w:rPr>
          <w:sz w:val="26"/>
          <w:u w:val="single"/>
        </w:rPr>
        <w:t>See</w:t>
      </w:r>
      <w:r>
        <w:rPr>
          <w:sz w:val="26"/>
        </w:rPr>
        <w:t xml:space="preserve"> Exhibit PUC-46.  In Mr. Cox’s March 20, 2000 letter to Mr. Strange, El Paso Merchant acknowledged that its original discount request on Mojave was only to Wheeler Ridge.  </w:t>
      </w:r>
      <w:r>
        <w:rPr>
          <w:sz w:val="26"/>
          <w:u w:val="single"/>
        </w:rPr>
        <w:t>See</w:t>
      </w:r>
      <w:r>
        <w:rPr>
          <w:sz w:val="26"/>
        </w:rPr>
        <w:t xml:space="preserve"> Exhibit PUC-25.</w:t>
      </w:r>
    </w:p>
    <w:p>
      <w:pPr>
        <w:pStyle w:val="Normal"/>
        <w:spacing w:lineRule="auto" w:line="480"/>
        <w:rPr>
          <w:sz w:val="26"/>
        </w:rPr>
      </w:pPr>
      <w:r>
        <w:rPr>
          <w:sz w:val="26"/>
        </w:rPr>
      </w:r>
    </w:p>
    <w:p>
      <w:pPr>
        <w:pStyle w:val="Normal"/>
        <w:numPr>
          <w:ilvl w:val="0"/>
          <w:numId w:val="3"/>
        </w:numPr>
        <w:spacing w:lineRule="auto" w:line="480"/>
        <w:ind w:hanging="720" w:start="720" w:end="0"/>
        <w:rPr>
          <w:sz w:val="26"/>
        </w:rPr>
      </w:pPr>
      <w:r>
        <w:rPr>
          <w:sz w:val="26"/>
        </w:rPr>
        <w:t>What is your response to the February 16, 2000 e-mail, which Ms. Shelton sponsored (</w:t>
      </w:r>
      <w:r>
        <w:rPr>
          <w:sz w:val="26"/>
          <w:u w:val="single"/>
        </w:rPr>
        <w:t>see</w:t>
      </w:r>
      <w:r>
        <w:rPr>
          <w:sz w:val="26"/>
        </w:rPr>
        <w:t xml:space="preserve"> Exhibit EPNG-45), showing that El Paso Merchant subsequently requested even a bigger discount on Mojave?</w:t>
      </w:r>
    </w:p>
    <w:p>
      <w:pPr>
        <w:pStyle w:val="Normal"/>
        <w:numPr>
          <w:ilvl w:val="0"/>
          <w:numId w:val="23"/>
        </w:numPr>
        <w:spacing w:lineRule="auto" w:line="480"/>
        <w:ind w:hanging="720" w:start="720" w:end="0"/>
        <w:rPr>
          <w:sz w:val="26"/>
        </w:rPr>
      </w:pPr>
      <w:r>
        <w:rPr>
          <w:sz w:val="26"/>
        </w:rPr>
        <w:t>All that this e-mail shows is that after the original deal was negotiated (i.e., on February 9, 2000), on February 16, 2000 (after the open season) El Paso Merchant tried to improve upon it.  As Ms. Shelton’s testimony acknowledges, Mojave agreed to the “discount originally discussed,” but Mojave did not agree to improve upon the deal for El Paso Merchant.</w:t>
      </w:r>
    </w:p>
    <w:p>
      <w:pPr>
        <w:pStyle w:val="Normal"/>
        <w:spacing w:lineRule="auto" w:line="480"/>
        <w:ind w:start="360" w:end="0"/>
        <w:rPr>
          <w:sz w:val="26"/>
        </w:rPr>
      </w:pPr>
      <w:r>
        <w:rPr>
          <w:sz w:val="26"/>
        </w:rPr>
      </w:r>
    </w:p>
    <w:p>
      <w:pPr>
        <w:pStyle w:val="Normal"/>
        <w:numPr>
          <w:ilvl w:val="0"/>
          <w:numId w:val="14"/>
        </w:numPr>
        <w:spacing w:lineRule="auto" w:line="480"/>
        <w:ind w:hanging="720" w:start="720" w:end="0"/>
        <w:rPr>
          <w:sz w:val="26"/>
        </w:rPr>
      </w:pPr>
      <w:r>
        <w:rPr>
          <w:sz w:val="26"/>
        </w:rPr>
        <w:t>Did Ms. Shelton address your main point about the Mojave discount?</w:t>
      </w:r>
    </w:p>
    <w:p>
      <w:pPr>
        <w:pStyle w:val="Normal"/>
        <w:numPr>
          <w:ilvl w:val="0"/>
          <w:numId w:val="13"/>
        </w:numPr>
        <w:spacing w:lineRule="auto" w:line="480"/>
        <w:ind w:hanging="720" w:start="720" w:end="0"/>
        <w:rPr>
          <w:sz w:val="26"/>
        </w:rPr>
      </w:pPr>
      <w:r>
        <w:rPr>
          <w:sz w:val="26"/>
        </w:rPr>
        <w:t xml:space="preserve">No.  My main point is that </w:t>
      </w:r>
      <w:r>
        <w:rPr>
          <w:sz w:val="26"/>
          <w:u w:val="single"/>
        </w:rPr>
        <w:t>during the open season</w:t>
      </w:r>
      <w:r>
        <w:rPr>
          <w:sz w:val="26"/>
        </w:rPr>
        <w:t xml:space="preserve">, Mojave informed its affiliate, El Paso Merchant, that Mojave would be willing to offer a </w:t>
      </w:r>
      <w:r>
        <w:rPr>
          <w:sz w:val="26"/>
          <w:u w:val="single"/>
        </w:rPr>
        <w:t>new discount for the entire term of the 15-month contracts being offered by El Paso</w:t>
      </w:r>
      <w:r>
        <w:rPr>
          <w:sz w:val="26"/>
        </w:rPr>
        <w:t xml:space="preserve">.  This was information that El Paso Merchant on February 7, 2000 informed Mojave was “critical” in order for El Paso Merchant to bid for the El Paso capacity.  Yet, Mojave did not provide this discount information </w:t>
      </w:r>
      <w:r>
        <w:rPr>
          <w:sz w:val="26"/>
          <w:u w:val="single"/>
        </w:rPr>
        <w:t>during the open season</w:t>
      </w:r>
      <w:r>
        <w:rPr>
          <w:sz w:val="26"/>
        </w:rPr>
        <w:t xml:space="preserve"> to any of the other bidders or potential bidders for the El Paso capacity.  Ms. Shelton has said nothing in her testimony about this basic unfairness and preferential treatment among these affiliated companies.</w:t>
      </w:r>
    </w:p>
    <w:p>
      <w:pPr>
        <w:pStyle w:val="Normal"/>
        <w:spacing w:lineRule="auto" w:line="480"/>
        <w:ind w:start="360" w:end="0"/>
        <w:rPr>
          <w:sz w:val="26"/>
        </w:rPr>
      </w:pPr>
      <w:r>
        <w:rPr>
          <w:sz w:val="26"/>
        </w:rPr>
      </w:r>
    </w:p>
    <w:p>
      <w:pPr>
        <w:pStyle w:val="BodyText"/>
        <w:numPr>
          <w:ilvl w:val="0"/>
          <w:numId w:val="11"/>
        </w:numPr>
        <w:rPr/>
      </w:pPr>
      <w:r>
        <w:rPr/>
        <w:t>Does this conclude your testimony?</w:t>
      </w:r>
    </w:p>
    <w:p>
      <w:pPr>
        <w:pStyle w:val="BodyText"/>
        <w:numPr>
          <w:ilvl w:val="0"/>
          <w:numId w:val="4"/>
        </w:numPr>
        <w:ind w:hanging="1080" w:start="1080" w:end="0"/>
        <w:rPr/>
      </w:pPr>
      <w:r>
        <w:rPr/>
        <w:t xml:space="preserve">Yes.  It does.  </w:t>
      </w:r>
    </w:p>
    <w:p>
      <w:pPr>
        <w:sectPr>
          <w:type w:val="continuous"/>
          <w:pgSz w:w="12240" w:h="15840"/>
          <w:pgMar w:left="1800" w:right="1800" w:gutter="0" w:header="720" w:top="1440" w:footer="720" w:bottom="1440"/>
          <w:lnNumType w:countBy="1" w:restart="newPage" w:distance="283"/>
          <w:formProt w:val="false"/>
          <w:textDirection w:val="lrTb"/>
          <w:docGrid w:type="default" w:linePitch="360" w:charSpace="0"/>
        </w:sectPr>
      </w:pPr>
    </w:p>
    <w:p>
      <w:pPr>
        <w:pStyle w:val="Heading"/>
        <w:spacing w:before="0" w:after="240"/>
        <w:rPr/>
      </w:pPr>
      <w:r>
        <w:rPr/>
        <w:t>AFFIDAVIT</w:t>
      </w:r>
    </w:p>
    <w:p>
      <w:pPr>
        <w:pStyle w:val="Heading"/>
        <w:spacing w:before="0" w:after="240"/>
        <w:rPr/>
      </w:pPr>
      <w:r>
        <w:rPr/>
      </w:r>
    </w:p>
    <w:tbl>
      <w:tblPr>
        <w:tblW w:w="9918" w:type="dxa"/>
        <w:jc w:val="start"/>
        <w:tblInd w:w="0" w:type="dxa"/>
        <w:tblLayout w:type="fixed"/>
        <w:tblCellMar>
          <w:top w:w="0" w:type="dxa"/>
          <w:start w:w="108" w:type="dxa"/>
          <w:bottom w:w="0" w:type="dxa"/>
          <w:end w:w="108" w:type="dxa"/>
        </w:tblCellMar>
      </w:tblPr>
      <w:tblGrid>
        <w:gridCol w:w="5418"/>
        <w:gridCol w:w="450"/>
        <w:gridCol w:w="4050"/>
      </w:tblGrid>
      <w:tr>
        <w:trPr/>
        <w:tc>
          <w:tcPr>
            <w:tcW w:w="5418" w:type="dxa"/>
            <w:tcBorders/>
          </w:tcPr>
          <w:p>
            <w:pPr>
              <w:pStyle w:val="Normal"/>
              <w:rPr>
                <w:sz w:val="26"/>
              </w:rPr>
            </w:pPr>
            <w:r>
              <w:rPr>
                <w:sz w:val="26"/>
              </w:rPr>
              <w:t>STATE OF CALIFORNIA</w:t>
              <w:br/>
              <w:br/>
              <w:t>CITY AND COUNTY OF SAN FRANCISCO</w:t>
            </w:r>
          </w:p>
          <w:p>
            <w:pPr>
              <w:pStyle w:val="Normal"/>
              <w:rPr>
                <w:sz w:val="26"/>
              </w:rPr>
            </w:pPr>
            <w:r>
              <w:rPr>
                <w:sz w:val="26"/>
              </w:rPr>
            </w:r>
          </w:p>
        </w:tc>
        <w:tc>
          <w:tcPr>
            <w:tcW w:w="450" w:type="dxa"/>
            <w:tcBorders/>
          </w:tcPr>
          <w:p>
            <w:pPr>
              <w:pStyle w:val="Normal"/>
              <w:rPr>
                <w:sz w:val="26"/>
              </w:rPr>
            </w:pPr>
            <w:r>
              <w:rPr>
                <w:sz w:val="26"/>
              </w:rPr>
              <w:t>)</w:t>
              <w:br/>
              <w:t>)</w:t>
              <w:br/>
              <w:t>)</w:t>
            </w:r>
          </w:p>
        </w:tc>
        <w:tc>
          <w:tcPr>
            <w:tcW w:w="4050" w:type="dxa"/>
            <w:tcBorders/>
          </w:tcPr>
          <w:p>
            <w:pPr>
              <w:pStyle w:val="Normal"/>
              <w:jc w:val="center"/>
              <w:rPr>
                <w:sz w:val="26"/>
              </w:rPr>
            </w:pPr>
            <w:r>
              <w:rPr>
                <w:sz w:val="26"/>
              </w:rPr>
              <w:br/>
              <w:t>ss.</w:t>
            </w:r>
          </w:p>
        </w:tc>
      </w:tr>
    </w:tbl>
    <w:p>
      <w:pPr>
        <w:pStyle w:val="Normal"/>
        <w:spacing w:lineRule="auto" w:line="480"/>
        <w:ind w:firstLine="1440" w:end="0"/>
        <w:rPr>
          <w:sz w:val="26"/>
        </w:rPr>
      </w:pPr>
      <w:r>
        <w:rPr>
          <w:sz w:val="26"/>
        </w:rPr>
      </w:r>
    </w:p>
    <w:p>
      <w:pPr>
        <w:pStyle w:val="BodyTextIndent2"/>
        <w:rPr>
          <w:sz w:val="26"/>
        </w:rPr>
      </w:pPr>
      <w:r>
        <w:rPr>
          <w:sz w:val="26"/>
        </w:rPr>
        <w:t>ROBERT MARK POCTA, being first duly sworn, on oath, declares under penalty of perjury that he is the ROBERT MARK POCTA identified in the foregoing prepared rebuttal testimony; that he caused to be prepared such testimony; that the answers appearing therein are true to the best of his knowledge and belief; and that if asked the questions appearing therein, his answers would, under oath, be the same.</w:t>
      </w:r>
    </w:p>
    <w:p>
      <w:pPr>
        <w:pStyle w:val="Normal"/>
        <w:spacing w:lineRule="auto" w:line="480"/>
        <w:ind w:firstLine="1440" w:end="0"/>
        <w:rPr>
          <w:sz w:val="26"/>
        </w:rPr>
      </w:pPr>
      <w:r>
        <w:rPr>
          <w:sz w:val="26"/>
        </w:rPr>
        <w:t xml:space="preserve">Executed at San Francisco, California this 19th day of July, 2001.  </w:t>
      </w:r>
    </w:p>
    <w:p>
      <w:pPr>
        <w:pStyle w:val="Normal"/>
        <w:spacing w:lineRule="auto" w:line="480"/>
        <w:ind w:start="5040" w:end="0"/>
        <w:rPr>
          <w:sz w:val="26"/>
        </w:rPr>
      </w:pPr>
      <w:r>
        <w:rPr>
          <w:sz w:val="26"/>
        </w:rPr>
      </w:r>
    </w:p>
    <w:p>
      <w:pPr>
        <w:pStyle w:val="Normal"/>
        <w:spacing w:before="0" w:after="120"/>
        <w:ind w:hanging="360" w:start="5040" w:end="0"/>
        <w:rPr>
          <w:sz w:val="26"/>
        </w:rPr>
      </w:pPr>
      <w:r>
        <w:rPr>
          <w:sz w:val="26"/>
        </w:rPr>
        <w:t>_____________________________</w:t>
      </w:r>
    </w:p>
    <w:p>
      <w:pPr>
        <w:pStyle w:val="Normal"/>
        <w:spacing w:before="0" w:after="120"/>
        <w:ind w:start="5040" w:end="0"/>
        <w:rPr>
          <w:sz w:val="26"/>
        </w:rPr>
      </w:pPr>
      <w:r>
        <w:rPr>
          <w:sz w:val="26"/>
        </w:rPr>
        <w:t xml:space="preserve">  </w:t>
      </w:r>
      <w:r>
        <w:rPr>
          <w:sz w:val="26"/>
        </w:rPr>
        <w:t>ROBERT MARK POCTA</w:t>
      </w:r>
    </w:p>
    <w:p>
      <w:pPr>
        <w:pStyle w:val="Normal"/>
        <w:spacing w:lineRule="auto" w:line="480"/>
        <w:ind w:start="5040" w:end="0"/>
        <w:rPr>
          <w:sz w:val="26"/>
        </w:rPr>
      </w:pPr>
      <w:r>
        <w:rPr>
          <w:sz w:val="26"/>
        </w:rPr>
      </w:r>
    </w:p>
    <w:p>
      <w:pPr>
        <w:pStyle w:val="BodyText"/>
        <w:spacing w:before="0" w:after="260"/>
        <w:rPr/>
      </w:pPr>
      <w:r>
        <w:rPr/>
        <w:t>Subscribed and sworn to before me this</w:t>
        <w:br/>
        <w:t xml:space="preserve"> ____ day of _____________, 2001</w:t>
      </w:r>
    </w:p>
    <w:p>
      <w:pPr>
        <w:pStyle w:val="Normal"/>
        <w:spacing w:lineRule="auto" w:line="480"/>
        <w:rPr>
          <w:sz w:val="26"/>
        </w:rPr>
      </w:pPr>
      <w:r>
        <w:rPr>
          <w:sz w:val="26"/>
        </w:rPr>
        <w:t>________________________</w:t>
      </w:r>
    </w:p>
    <w:p>
      <w:pPr>
        <w:sectPr>
          <w:headerReference w:type="default" r:id="rId14"/>
          <w:footerReference w:type="default" r:id="rId15"/>
          <w:type w:val="nextPage"/>
          <w:pgSz w:w="12240" w:h="15840"/>
          <w:pgMar w:left="1800" w:right="1800" w:gutter="0" w:header="720" w:top="1440" w:footer="720" w:bottom="1440"/>
          <w:lnNumType w:countBy="1" w:restart="newPage" w:distance="283"/>
          <w:pgNumType w:fmt="decimal"/>
          <w:formProt w:val="false"/>
          <w:textDirection w:val="lrTb"/>
          <w:docGrid w:type="default" w:linePitch="360" w:charSpace="0"/>
        </w:sectPr>
        <w:pStyle w:val="Normal"/>
        <w:spacing w:lineRule="auto" w:line="480"/>
        <w:rPr>
          <w:sz w:val="26"/>
        </w:rPr>
      </w:pPr>
      <w:r>
        <w:rPr>
          <w:sz w:val="26"/>
        </w:rPr>
        <w:t>NOTARY PUBLIC</w:t>
      </w:r>
    </w:p>
    <w:p>
      <w:pPr>
        <w:pStyle w:val="Heading"/>
        <w:rPr>
          <w:sz w:val="26"/>
        </w:rPr>
      </w:pPr>
      <w:r>
        <w:rPr>
          <w:sz w:val="26"/>
        </w:rPr>
      </w:r>
    </w:p>
    <w:p>
      <w:pPr>
        <w:pStyle w:val="Heading"/>
        <w:rPr>
          <w:u w:val="single"/>
        </w:rPr>
      </w:pPr>
      <w:r>
        <w:rPr>
          <w:u w:val="single"/>
        </w:rPr>
        <w:t xml:space="preserve">CERTIFICATE OF SERVICE  </w:t>
      </w:r>
    </w:p>
    <w:p>
      <w:pPr>
        <w:pStyle w:val="BodyText"/>
        <w:rPr>
          <w:u w:val="single"/>
        </w:rPr>
      </w:pPr>
      <w:r>
        <w:rPr>
          <w:u w:val="single"/>
        </w:rPr>
      </w:r>
    </w:p>
    <w:p>
      <w:pPr>
        <w:pStyle w:val="BodyText"/>
        <w:rPr/>
      </w:pPr>
      <w:r>
        <w:rPr/>
        <w:tab/>
        <w:t xml:space="preserve">I hereby certify that I have this day served the foregoing document by sending via overnight courier a copy to each active party and by sending via first class mail, a copy thereof properly addressed to all known parties on the official service list in this proceeding.   </w:t>
      </w:r>
    </w:p>
    <w:p>
      <w:pPr>
        <w:pStyle w:val="BodyText"/>
        <w:rPr/>
      </w:pPr>
      <w:r>
        <w:rPr/>
        <w:tab/>
        <w:t xml:space="preserve">Dated at San Francisco, California, this 20th day of July, 2001.   </w:t>
      </w:r>
    </w:p>
    <w:p>
      <w:pPr>
        <w:pStyle w:val="BodyText"/>
        <w:rPr/>
      </w:pPr>
      <w:r>
        <w:rPr/>
      </w:r>
    </w:p>
    <w:p>
      <w:pPr>
        <w:pStyle w:val="BodyText"/>
        <w:spacing w:lineRule="auto" w:line="240"/>
        <w:rPr/>
      </w:pPr>
      <w:r>
        <w:rPr/>
        <w:tab/>
        <w:tab/>
        <w:tab/>
        <w:tab/>
        <w:tab/>
      </w:r>
    </w:p>
    <w:p>
      <w:pPr>
        <w:pStyle w:val="BodyText"/>
        <w:spacing w:lineRule="auto" w:line="240"/>
        <w:rPr>
          <w:b/>
          <w:u w:val="single"/>
        </w:rPr>
      </w:pPr>
      <w:r>
        <w:rPr/>
        <w:tab/>
        <w:tab/>
        <w:tab/>
        <w:tab/>
        <w:tab/>
      </w:r>
      <w:r>
        <w:rPr>
          <w:u w:val="single"/>
        </w:rPr>
        <w:tab/>
        <w:tab/>
        <w:tab/>
        <w:tab/>
        <w:tab/>
        <w:tab/>
      </w:r>
    </w:p>
    <w:p>
      <w:pPr>
        <w:pStyle w:val="Normal"/>
        <w:rPr/>
      </w:pPr>
      <w:r>
        <w:rPr>
          <w:b/>
          <w:sz w:val="26"/>
        </w:rPr>
        <w:tab/>
        <w:tab/>
        <w:tab/>
        <w:tab/>
        <w:tab/>
        <w:tab/>
      </w:r>
      <w:r>
        <w:rPr>
          <w:bCs/>
          <w:sz w:val="26"/>
        </w:rPr>
        <w:t xml:space="preserve">HARVEY Y. MORRIS    </w:t>
      </w:r>
    </w:p>
    <w:p>
      <w:pPr>
        <w:pStyle w:val="Normal"/>
        <w:rPr>
          <w:bCs/>
          <w:sz w:val="26"/>
        </w:rPr>
      </w:pPr>
      <w:r>
        <w:rPr>
          <w:bCs/>
          <w:sz w:val="26"/>
        </w:rPr>
      </w:r>
    </w:p>
    <w:sectPr>
      <w:headerReference w:type="default" r:id="rId16"/>
      <w:headerReference w:type="first" r:id="rId17"/>
      <w:footerReference w:type="default" r:id="rId18"/>
      <w:footerReference w:type="first" r:id="rId19"/>
      <w:type w:val="nextPage"/>
      <w:pgSz w:w="12240" w:h="15840"/>
      <w:pgMar w:left="1800" w:right="1440" w:gutter="0" w:header="720" w:top="1440" w:footer="720" w:bottom="1440"/>
      <w:lnNumType w:countBy="1" w:restart="newPage"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64135" cy="146685"/>
              <wp:effectExtent l="0" t="0" r="0" b="0"/>
              <wp:wrapSquare wrapText="bothSides"/>
              <wp:docPr id="4"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8"/>
      </w:rPr>
      <w:t>Exhibit PUC-47</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double" w:sz="6" w:space="1" w:color="000000"/>
      </w:pBdr>
      <w:tabs>
        <w:tab w:val="clear" w:pos="720"/>
        <w:tab w:val="left" w:pos="7200" w:leader="none"/>
        <w:tab w:val="right" w:pos="11070" w:leader="none"/>
      </w:tabs>
      <w:ind w:end="90"/>
      <w:rPr/>
    </w:pPr>
    <w:r>
      <w:rPr>
        <w:rFonts w:cs="Arial" w:ascii="Arial" w:hAnsi="Arial"/>
        <w:sz w:val="16"/>
      </w:rPr>
      <w:t>STATE OF CALIFORNIA</w:t>
    </w:r>
    <w:r>
      <w:rPr>
        <w:rFonts w:cs="Arial" w:ascii="Arial" w:hAnsi="Arial"/>
      </w:rPr>
      <w:tab/>
      <w:t xml:space="preserve">     </w:t>
    </w:r>
    <w:r>
      <w:rPr>
        <w:rFonts w:cs="Arial" w:ascii="Arial" w:hAnsi="Arial"/>
        <w:sz w:val="16"/>
      </w:rPr>
      <w:t>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Header"/>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8"/>
      </w:rPr>
      <w:t>Exhibit PUC-47</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8"/>
      </w:rPr>
      <w:t>Exhibit PUC-47</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8"/>
      </w:rPr>
    </w:pPr>
    <w:r>
      <w:rPr/>
      <w:tab/>
      <w:tab/>
    </w:r>
  </w:p>
  <w:p>
    <w:pPr>
      <w:pStyle w:val="Header"/>
      <w:rPr>
        <w:sz w:val="28"/>
      </w:rPr>
    </w:pPr>
    <w:r>
      <w:rPr>
        <w:sz w:val="28"/>
      </w:rPr>
    </w:r>
  </w:p>
  <w:p>
    <w:pPr>
      <w:pStyle w:val="Header"/>
      <w:rPr>
        <w:b/>
        <w:sz w:val="28"/>
      </w:rPr>
    </w:pPr>
    <w:r>
      <w:rPr>
        <w:b/>
        <w:sz w:val="28"/>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p>
    <w:pPr>
      <w:pStyle w:val="Header"/>
      <w:rPr>
        <w:sz w:val="28"/>
      </w:rPr>
    </w:pPr>
    <w:r>
      <w:rPr>
        <w:sz w:val="28"/>
      </w:rPr>
    </w:r>
  </w:p>
  <w:p>
    <w:pPr>
      <w:pStyle w:val="Header"/>
      <w:rPr>
        <w:b/>
        <w:sz w:val="28"/>
      </w:rPr>
    </w:pPr>
    <w:r>
      <w:rPr>
        <w:b/>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288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upperLetter"/>
      <w:lvlText w:val="%1."/>
      <w:lvlJc w:val="start"/>
      <w:pPr>
        <w:tabs>
          <w:tab w:val="num" w:pos="720"/>
        </w:tabs>
        <w:ind w:start="720" w:hanging="360"/>
      </w:pPr>
      <w:rPr/>
    </w:lvl>
  </w:abstractNum>
  <w:abstractNum w:abstractNumId="3">
    <w:lvl w:ilvl="0">
      <w:start w:val="17"/>
      <w:numFmt w:val="upperLetter"/>
      <w:lvlText w:val="%1."/>
      <w:lvlJc w:val="start"/>
      <w:pPr>
        <w:tabs>
          <w:tab w:val="num" w:pos="720"/>
        </w:tabs>
        <w:ind w:start="720" w:hanging="360"/>
      </w:pPr>
      <w:rPr/>
    </w:lvl>
  </w:abstractNum>
  <w:abstractNum w:abstractNumId="4">
    <w:lvl w:ilvl="0">
      <w:start w:val="1"/>
      <w:numFmt w:val="upperLetter"/>
      <w:lvlText w:val="%1."/>
      <w:lvlJc w:val="start"/>
      <w:pPr>
        <w:tabs>
          <w:tab w:val="num" w:pos="720"/>
        </w:tabs>
        <w:ind w:start="1080" w:hanging="720"/>
      </w:pPr>
      <w:rPr/>
    </w:lvl>
  </w:abstractNum>
  <w:abstractNum w:abstractNumId="5">
    <w:lvl w:ilvl="0">
      <w:start w:val="17"/>
      <w:numFmt w:val="upperLetter"/>
      <w:lvlText w:val="%1."/>
      <w:lvlJc w:val="start"/>
      <w:pPr>
        <w:tabs>
          <w:tab w:val="num" w:pos="720"/>
        </w:tabs>
        <w:ind w:start="720" w:hanging="360"/>
      </w:pPr>
      <w:rPr/>
    </w:lvl>
  </w:abstractNum>
  <w:abstractNum w:abstractNumId="6">
    <w:lvl w:ilvl="0">
      <w:start w:val="17"/>
      <w:numFmt w:val="upperLetter"/>
      <w:lvlText w:val="%1."/>
      <w:lvlJc w:val="start"/>
      <w:pPr>
        <w:tabs>
          <w:tab w:val="num" w:pos="720"/>
        </w:tabs>
        <w:ind w:start="720" w:hanging="360"/>
      </w:pPr>
      <w:rPr/>
    </w:lvl>
  </w:abstractNum>
  <w:abstractNum w:abstractNumId="7">
    <w:lvl w:ilvl="0">
      <w:start w:val="1"/>
      <w:numFmt w:val="upperLetter"/>
      <w:lvlText w:val="%1."/>
      <w:lvlJc w:val="start"/>
      <w:pPr>
        <w:tabs>
          <w:tab w:val="num" w:pos="720"/>
        </w:tabs>
        <w:ind w:start="720" w:hanging="360"/>
      </w:pPr>
      <w:rPr/>
    </w:lvl>
  </w:abstractNum>
  <w:abstractNum w:abstractNumId="8">
    <w:lvl w:ilvl="0">
      <w:start w:val="1"/>
      <w:numFmt w:val="upperLetter"/>
      <w:lvlText w:val="%1."/>
      <w:lvlJc w:val="start"/>
      <w:pPr>
        <w:tabs>
          <w:tab w:val="num" w:pos="360"/>
        </w:tabs>
        <w:ind w:start="360" w:hanging="360"/>
      </w:pPr>
      <w:rPr/>
    </w:lvl>
  </w:abstractNum>
  <w:abstractNum w:abstractNumId="9">
    <w:lvl w:ilvl="0">
      <w:start w:val="17"/>
      <w:numFmt w:val="upperLetter"/>
      <w:lvlText w:val="%1."/>
      <w:lvlJc w:val="start"/>
      <w:pPr>
        <w:tabs>
          <w:tab w:val="num" w:pos="720"/>
        </w:tabs>
        <w:ind w:start="720" w:hanging="360"/>
      </w:pPr>
      <w:rPr/>
    </w:lvl>
  </w:abstractNum>
  <w:abstractNum w:abstractNumId="10">
    <w:lvl w:ilvl="0">
      <w:start w:val="17"/>
      <w:numFmt w:val="upperLetter"/>
      <w:lvlText w:val="%1."/>
      <w:lvlJc w:val="start"/>
      <w:pPr>
        <w:tabs>
          <w:tab w:val="num" w:pos="720"/>
        </w:tabs>
        <w:ind w:start="720" w:hanging="360"/>
      </w:pPr>
      <w:rPr/>
    </w:lvl>
  </w:abstractNum>
  <w:abstractNum w:abstractNumId="11">
    <w:lvl w:ilvl="0">
      <w:start w:val="17"/>
      <w:numFmt w:val="upperLetter"/>
      <w:lvlText w:val="%1."/>
      <w:lvlJc w:val="start"/>
      <w:pPr>
        <w:tabs>
          <w:tab w:val="num" w:pos="720"/>
        </w:tabs>
        <w:ind w:start="720" w:hanging="720"/>
      </w:pPr>
      <w:rPr/>
    </w:lvl>
  </w:abstractNum>
  <w:abstractNum w:abstractNumId="12">
    <w:lvl w:ilvl="0">
      <w:start w:val="1"/>
      <w:numFmt w:val="upperLetter"/>
      <w:lvlText w:val="%1."/>
      <w:lvlJc w:val="start"/>
      <w:pPr>
        <w:tabs>
          <w:tab w:val="num" w:pos="720"/>
        </w:tabs>
        <w:ind w:start="720" w:hanging="360"/>
      </w:pPr>
      <w:rPr/>
    </w:lvl>
  </w:abstractNum>
  <w:abstractNum w:abstractNumId="13">
    <w:lvl w:ilvl="0">
      <w:start w:val="1"/>
      <w:numFmt w:val="upperLetter"/>
      <w:lvlText w:val="%1."/>
      <w:lvlJc w:val="start"/>
      <w:pPr>
        <w:tabs>
          <w:tab w:val="num" w:pos="720"/>
        </w:tabs>
        <w:ind w:start="720" w:hanging="360"/>
      </w:pPr>
      <w:rPr/>
    </w:lvl>
  </w:abstractNum>
  <w:abstractNum w:abstractNumId="14">
    <w:lvl w:ilvl="0">
      <w:start w:val="17"/>
      <w:numFmt w:val="upperLetter"/>
      <w:lvlText w:val="%1."/>
      <w:lvlJc w:val="start"/>
      <w:pPr>
        <w:tabs>
          <w:tab w:val="num" w:pos="720"/>
        </w:tabs>
        <w:ind w:start="720" w:hanging="360"/>
      </w:pPr>
      <w:rPr/>
    </w:lvl>
  </w:abstractNum>
  <w:abstractNum w:abstractNumId="15">
    <w:lvl w:ilvl="0">
      <w:start w:val="1"/>
      <w:numFmt w:val="upperLetter"/>
      <w:lvlText w:val="%1."/>
      <w:lvlJc w:val="start"/>
      <w:pPr>
        <w:tabs>
          <w:tab w:val="num" w:pos="720"/>
        </w:tabs>
        <w:ind w:start="720" w:hanging="360"/>
      </w:pPr>
      <w:rPr/>
    </w:lvl>
  </w:abstractNum>
  <w:abstractNum w:abstractNumId="16">
    <w:lvl w:ilvl="0">
      <w:start w:val="1"/>
      <w:numFmt w:val="upperLetter"/>
      <w:lvlText w:val="%1."/>
      <w:lvlJc w:val="start"/>
      <w:pPr>
        <w:tabs>
          <w:tab w:val="num" w:pos="720"/>
        </w:tabs>
        <w:ind w:start="720" w:hanging="360"/>
      </w:pPr>
      <w:rPr/>
    </w:lvl>
  </w:abstractNum>
  <w:abstractNum w:abstractNumId="17">
    <w:lvl w:ilvl="0">
      <w:start w:val="17"/>
      <w:numFmt w:val="upperLetter"/>
      <w:lvlText w:val="%1."/>
      <w:lvlJc w:val="start"/>
      <w:pPr>
        <w:tabs>
          <w:tab w:val="num" w:pos="420"/>
        </w:tabs>
        <w:ind w:start="420" w:hanging="420"/>
      </w:pPr>
      <w:rPr/>
    </w:lvl>
  </w:abstractNum>
  <w:abstractNum w:abstractNumId="18">
    <w:lvl w:ilvl="0">
      <w:start w:val="17"/>
      <w:numFmt w:val="upperLetter"/>
      <w:lvlText w:val="%1."/>
      <w:lvlJc w:val="start"/>
      <w:pPr>
        <w:tabs>
          <w:tab w:val="num" w:pos="1080"/>
        </w:tabs>
        <w:ind w:start="1080" w:hanging="720"/>
      </w:pPr>
      <w:rPr/>
    </w:lvl>
  </w:abstractNum>
  <w:abstractNum w:abstractNumId="19">
    <w:lvl w:ilvl="0">
      <w:start w:val="17"/>
      <w:numFmt w:val="upperLetter"/>
      <w:lvlText w:val="%1."/>
      <w:lvlJc w:val="start"/>
      <w:pPr>
        <w:tabs>
          <w:tab w:val="num" w:pos="720"/>
        </w:tabs>
        <w:ind w:start="1080" w:hanging="720"/>
      </w:pPr>
      <w:rPr/>
    </w:lvl>
  </w:abstractNum>
  <w:abstractNum w:abstractNumId="20">
    <w:lvl w:ilvl="0">
      <w:start w:val="17"/>
      <w:numFmt w:val="upperLetter"/>
      <w:lvlText w:val="%1."/>
      <w:lvlJc w:val="start"/>
      <w:pPr>
        <w:tabs>
          <w:tab w:val="num" w:pos="360"/>
        </w:tabs>
        <w:ind w:start="360" w:hanging="360"/>
      </w:pPr>
      <w:rPr/>
    </w:lvl>
  </w:abstractNum>
  <w:abstractNum w:abstractNumId="21">
    <w:lvl w:ilvl="0">
      <w:start w:val="17"/>
      <w:numFmt w:val="upperLetter"/>
      <w:lvlText w:val="%1."/>
      <w:lvlJc w:val="start"/>
      <w:pPr>
        <w:tabs>
          <w:tab w:val="num" w:pos="720"/>
        </w:tabs>
        <w:ind w:start="735" w:hanging="375"/>
      </w:pPr>
      <w:rPr/>
    </w:lvl>
  </w:abstractNum>
  <w:abstractNum w:abstractNumId="22">
    <w:lvl w:ilvl="0">
      <w:start w:val="1"/>
      <w:numFmt w:val="upperLetter"/>
      <w:lvlText w:val="%1."/>
      <w:lvlJc w:val="start"/>
      <w:pPr>
        <w:tabs>
          <w:tab w:val="num" w:pos="720"/>
        </w:tabs>
        <w:ind w:start="720" w:hanging="360"/>
      </w:pPr>
      <w:rPr/>
    </w:lvl>
  </w:abstractNum>
  <w:abstractNum w:abstractNumId="23">
    <w:lvl w:ilvl="0">
      <w:start w:val="1"/>
      <w:numFmt w:val="upperLetter"/>
      <w:lvlText w:val="%1."/>
      <w:lvlJc w:val="start"/>
      <w:pPr>
        <w:tabs>
          <w:tab w:val="num" w:pos="720"/>
        </w:tabs>
        <w:ind w:start="720" w:hanging="360"/>
      </w:pPr>
      <w:rPr/>
    </w:lvl>
  </w:abstractNum>
  <w:abstractNum w:abstractNumId="24">
    <w:lvl w:ilvl="0">
      <w:start w:val="1"/>
      <w:numFmt w:val="upperLetter"/>
      <w:lvlText w:val="%1."/>
      <w:lvlJc w:val="start"/>
      <w:pPr>
        <w:tabs>
          <w:tab w:val="num" w:pos="720"/>
        </w:tabs>
        <w:ind w:start="720" w:hanging="360"/>
      </w:pPr>
      <w:rPr/>
    </w:lvl>
  </w:abstractNum>
  <w:abstractNum w:abstractNumId="2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BodyText"/>
    <w:next w:val="BodyText"/>
    <w:qFormat/>
    <w:pPr>
      <w:keepNext w:val="true"/>
      <w:keepLines/>
      <w:numPr>
        <w:ilvl w:val="0"/>
        <w:numId w:val="1"/>
      </w:numPr>
      <w:spacing w:lineRule="auto" w:line="240" w:before="120" w:after="120"/>
      <w:ind w:hanging="0" w:start="0" w:end="720"/>
      <w:outlineLvl w:val="0"/>
    </w:pPr>
    <w:rPr>
      <w:b/>
      <w:smallCaps/>
      <w:kern w:val="2"/>
    </w:rPr>
  </w:style>
  <w:style w:type="paragraph" w:styleId="Heading2">
    <w:name w:val="heading 2"/>
    <w:basedOn w:val="BodyText"/>
    <w:next w:val="BodyText"/>
    <w:qFormat/>
    <w:pPr>
      <w:keepNext w:val="true"/>
      <w:numPr>
        <w:ilvl w:val="1"/>
        <w:numId w:val="1"/>
      </w:numPr>
      <w:spacing w:lineRule="auto" w:line="240" w:before="120" w:after="120"/>
      <w:ind w:hanging="0" w:start="0" w:end="1440"/>
      <w:outlineLvl w:val="1"/>
    </w:pPr>
    <w:rPr>
      <w:b/>
    </w:rPr>
  </w:style>
  <w:style w:type="paragraph" w:styleId="Heading3">
    <w:name w:val="heading 3"/>
    <w:basedOn w:val="BodyText"/>
    <w:next w:val="BodyText"/>
    <w:qFormat/>
    <w:pPr>
      <w:keepNext w:val="true"/>
      <w:numPr>
        <w:ilvl w:val="2"/>
        <w:numId w:val="1"/>
      </w:numPr>
      <w:spacing w:lineRule="auto" w:line="240" w:before="120" w:after="120"/>
      <w:ind w:hanging="0" w:start="0" w:end="1440"/>
      <w:outlineLvl w:val="2"/>
    </w:pPr>
    <w:rPr>
      <w:b/>
    </w:rPr>
  </w:style>
  <w:style w:type="paragraph" w:styleId="Heading4">
    <w:name w:val="heading 4"/>
    <w:basedOn w:val="BodyText"/>
    <w:next w:val="BodyText"/>
    <w:qFormat/>
    <w:pPr>
      <w:keepNext w:val="true"/>
      <w:numPr>
        <w:ilvl w:val="3"/>
        <w:numId w:val="1"/>
      </w:numPr>
      <w:spacing w:lineRule="auto" w:line="240" w:before="120" w:after="120"/>
      <w:ind w:hanging="0" w:start="0" w:end="1440"/>
      <w:outlineLvl w:val="3"/>
    </w:pPr>
    <w:rPr>
      <w:i/>
    </w:rPr>
  </w:style>
  <w:style w:type="paragraph" w:styleId="Heading5">
    <w:name w:val="heading 5"/>
    <w:basedOn w:val="Normal"/>
    <w:next w:val="Normal"/>
    <w:qFormat/>
    <w:pPr>
      <w:numPr>
        <w:ilvl w:val="4"/>
        <w:numId w:val="1"/>
      </w:numPr>
      <w:spacing w:before="120" w:after="12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rFonts w:ascii="Arial" w:hAnsi="Arial" w:cs="Arial"/>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2z0">
    <w:name w:val="WW8Num2z0"/>
    <w:qFormat/>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u w:val="none"/>
    </w:rPr>
  </w:style>
  <w:style w:type="character" w:styleId="WW8Num69z0">
    <w:name w:val="WW8Num69z0"/>
    <w:qFormat/>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jc w:val="center"/>
    </w:pPr>
    <w:rPr>
      <w:b/>
      <w:smallCaps/>
      <w:sz w:val="28"/>
    </w:rPr>
  </w:style>
  <w:style w:type="paragraph" w:styleId="BodyText">
    <w:name w:val="Body Text"/>
    <w:pPr>
      <w:widowControl/>
      <w:tabs>
        <w:tab w:val="clear" w:pos="720"/>
        <w:tab w:val="left" w:pos="0" w:leader="none"/>
      </w:tabs>
      <w:bidi w:val="0"/>
      <w:spacing w:lineRule="auto" w:line="480"/>
    </w:pPr>
    <w:rPr>
      <w:rFonts w:ascii="Times New Roman" w:hAnsi="Times New Roman" w:eastAsia="Times New Roman" w:cs="Times New Roman"/>
      <w:color w:val="auto"/>
      <w:sz w:val="26"/>
      <w:szCs w:val="20"/>
      <w:lang w:val="en-US" w:bidi="ar-SA" w:eastAsia="zh-CN"/>
    </w:rPr>
  </w:style>
  <w:style w:type="paragraph" w:styleId="List">
    <w:name w:val="List"/>
    <w:basedOn w:val="BodyText"/>
    <w:pPr/>
    <w:rPr>
      <w:rFonts w:cs="NotoSans NF"/>
    </w:rPr>
  </w:style>
  <w:style w:type="paragraph" w:styleId="Caption">
    <w:name w:val="caption"/>
    <w:basedOn w:val="BodyText"/>
    <w:qFormat/>
    <w:pPr>
      <w:tabs>
        <w:tab w:val="left" w:pos="0" w:leader="none"/>
        <w:tab w:val="left" w:pos="4320" w:leader="none"/>
        <w:tab w:val="left" w:pos="5040" w:leader="none"/>
      </w:tabs>
      <w:spacing w:lineRule="auto" w:line="240"/>
      <w:ind w:hanging="0" w:start="0" w:end="0"/>
    </w:pPr>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ind w:hanging="0" w:start="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keepNext w:val="true"/>
      <w:tabs>
        <w:tab w:val="clear" w:pos="720"/>
        <w:tab w:val="right" w:pos="8640" w:leader="dot"/>
      </w:tabs>
      <w:suppressAutoHyphens w:val="true"/>
      <w:spacing w:before="120" w:after="120"/>
      <w:ind w:hanging="245" w:start="245" w:end="1440"/>
    </w:pPr>
    <w:rPr>
      <w:b/>
      <w:caps/>
      <w:sz w:val="26"/>
      <w:lang w:val="en-CA" w:eastAsia="en-CA"/>
    </w:rPr>
  </w:style>
  <w:style w:type="paragraph" w:styleId="TOC2">
    <w:name w:val="toc 2"/>
    <w:basedOn w:val="Normal"/>
    <w:next w:val="Normal"/>
    <w:pPr>
      <w:tabs>
        <w:tab w:val="clear" w:pos="720"/>
        <w:tab w:val="right" w:pos="8640" w:leader="dot"/>
      </w:tabs>
      <w:suppressAutoHyphens w:val="true"/>
      <w:spacing w:before="0" w:after="120"/>
      <w:ind w:hanging="288" w:start="720" w:end="1440"/>
    </w:pPr>
    <w:rPr>
      <w:smallCaps/>
      <w:lang w:val="en-CA" w:eastAsia="en-CA"/>
    </w:rPr>
  </w:style>
  <w:style w:type="paragraph" w:styleId="TOC3">
    <w:name w:val="toc 3"/>
    <w:basedOn w:val="Normal"/>
    <w:next w:val="Normal"/>
    <w:pPr>
      <w:tabs>
        <w:tab w:val="clear" w:pos="720"/>
        <w:tab w:val="right" w:pos="8640" w:leader="dot"/>
      </w:tabs>
      <w:spacing w:before="0" w:after="120"/>
      <w:ind w:hanging="245" w:start="1109" w:end="1440"/>
    </w:pPr>
    <w:rPr>
      <w:lang w:val="en-CA" w:eastAsia="en-CA"/>
    </w:rPr>
  </w:style>
  <w:style w:type="paragraph" w:styleId="TOC4">
    <w:name w:val="toc 4"/>
    <w:basedOn w:val="Normal"/>
    <w:next w:val="Normal"/>
    <w:pPr>
      <w:tabs>
        <w:tab w:val="clear" w:pos="720"/>
        <w:tab w:val="right" w:pos="8640" w:leader="dot"/>
      </w:tabs>
      <w:ind w:hanging="0" w:start="480" w:end="0"/>
    </w:pPr>
    <w:rPr>
      <w:sz w:val="18"/>
    </w:rPr>
  </w:style>
  <w:style w:type="paragraph" w:styleId="TOC5">
    <w:name w:val="toc 5"/>
    <w:basedOn w:val="Normal"/>
    <w:next w:val="Normal"/>
    <w:pPr>
      <w:tabs>
        <w:tab w:val="clear" w:pos="720"/>
        <w:tab w:val="right" w:pos="8640" w:leader="dot"/>
      </w:tabs>
      <w:ind w:hanging="0" w:start="720" w:end="0"/>
    </w:pPr>
    <w:rPr>
      <w:sz w:val="18"/>
    </w:rPr>
  </w:style>
  <w:style w:type="paragraph" w:styleId="TOC6">
    <w:name w:val="toc 6"/>
    <w:basedOn w:val="Normal"/>
    <w:next w:val="Normal"/>
    <w:pPr>
      <w:tabs>
        <w:tab w:val="clear" w:pos="720"/>
        <w:tab w:val="right" w:pos="8640" w:leader="dot"/>
      </w:tabs>
      <w:ind w:hanging="0" w:start="960" w:end="0"/>
    </w:pPr>
    <w:rPr>
      <w:sz w:val="18"/>
    </w:rPr>
  </w:style>
  <w:style w:type="paragraph" w:styleId="TOC7">
    <w:name w:val="toc 7"/>
    <w:basedOn w:val="Normal"/>
    <w:next w:val="Normal"/>
    <w:pPr>
      <w:tabs>
        <w:tab w:val="clear" w:pos="720"/>
        <w:tab w:val="right" w:pos="8640" w:leader="dot"/>
      </w:tabs>
      <w:ind w:hanging="0" w:start="1200" w:end="0"/>
    </w:pPr>
    <w:rPr>
      <w:sz w:val="18"/>
    </w:rPr>
  </w:style>
  <w:style w:type="paragraph" w:styleId="TOC8">
    <w:name w:val="toc 8"/>
    <w:basedOn w:val="Normal"/>
    <w:next w:val="Normal"/>
    <w:pPr>
      <w:tabs>
        <w:tab w:val="clear" w:pos="720"/>
        <w:tab w:val="right" w:pos="8640" w:leader="dot"/>
      </w:tabs>
      <w:ind w:hanging="0" w:start="1440" w:end="0"/>
    </w:pPr>
    <w:rPr>
      <w:sz w:val="18"/>
    </w:rPr>
  </w:style>
  <w:style w:type="paragraph" w:styleId="TOC9">
    <w:name w:val="toc 9"/>
    <w:basedOn w:val="Normal"/>
    <w:next w:val="Normal"/>
    <w:pPr>
      <w:tabs>
        <w:tab w:val="clear" w:pos="720"/>
        <w:tab w:val="right" w:pos="8640" w:leader="dot"/>
      </w:tabs>
      <w:ind w:hanging="0" w:start="1680" w:end="0"/>
    </w:pPr>
    <w:rPr>
      <w:sz w:val="18"/>
    </w:rPr>
  </w:style>
  <w:style w:type="paragraph" w:styleId="Header">
    <w:name w:val="header"/>
    <w:basedOn w:val="Normal"/>
    <w:pPr>
      <w:tabs>
        <w:tab w:val="clear" w:pos="720"/>
        <w:tab w:val="center" w:pos="4320" w:leader="none"/>
        <w:tab w:val="right" w:pos="8640" w:leader="none"/>
      </w:tabs>
    </w:pPr>
    <w:rPr/>
  </w:style>
  <w:style w:type="paragraph" w:styleId="Quotation">
    <w:name w:val="Quotation"/>
    <w:basedOn w:val="BodyText"/>
    <w:next w:val="BodyText"/>
    <w:qFormat/>
    <w:pPr>
      <w:spacing w:lineRule="auto" w:line="240" w:before="0" w:after="120"/>
      <w:ind w:hanging="0" w:start="1440" w:end="1440"/>
    </w:pPr>
    <w:rPr/>
  </w:style>
  <w:style w:type="paragraph" w:styleId="TableofAuthorities">
    <w:name w:val="Table of Authorities"/>
    <w:basedOn w:val="Normal"/>
    <w:next w:val="Normal"/>
    <w:qFormat/>
    <w:pPr>
      <w:tabs>
        <w:tab w:val="clear" w:pos="720"/>
        <w:tab w:val="right" w:pos="8640" w:leader="dot"/>
      </w:tabs>
      <w:ind w:hanging="245" w:start="245" w:end="1440"/>
    </w:pPr>
    <w:rPr>
      <w:i/>
      <w:lang w:val="en-CA" w:eastAsia="en-CA"/>
    </w:rPr>
  </w:style>
  <w:style w:type="paragraph" w:styleId="ListNumber3">
    <w:name w:val="List Number 3"/>
    <w:basedOn w:val="Normal"/>
    <w:qFormat/>
    <w:pPr>
      <w:numPr>
        <w:ilvl w:val="0"/>
        <w:numId w:val="25"/>
      </w:numPr>
      <w:ind w:hanging="360" w:start="1080" w:end="0"/>
    </w:pPr>
    <w:rPr/>
  </w:style>
  <w:style w:type="paragraph" w:styleId="TOAHeading">
    <w:name w:val="TOA Heading"/>
    <w:basedOn w:val="ListNumber3"/>
    <w:next w:val="Normal"/>
    <w:qFormat/>
    <w:pPr>
      <w:spacing w:before="240" w:after="120"/>
      <w:ind w:hanging="0" w:start="0" w:end="0"/>
    </w:pPr>
    <w:rPr>
      <w:b/>
      <w:smallCaps/>
    </w:rPr>
  </w:style>
  <w:style w:type="paragraph" w:styleId="Signature">
    <w:name w:val="Signature"/>
    <w:basedOn w:val="BodyText"/>
    <w:pPr>
      <w:keepNext w:val="true"/>
      <w:keepLines/>
      <w:spacing w:lineRule="auto" w:line="240"/>
      <w:ind w:hanging="0" w:start="4320" w:end="0"/>
    </w:pPr>
    <w:rPr/>
  </w:style>
  <w:style w:type="paragraph" w:styleId="ListBullet">
    <w:name w:val="List Bullet"/>
    <w:basedOn w:val="Normal"/>
    <w:qFormat/>
    <w:pPr>
      <w:numPr>
        <w:ilvl w:val="0"/>
        <w:numId w:val="26"/>
      </w:numPr>
      <w:spacing w:before="0" w:after="120"/>
      <w:ind w:hanging="360" w:start="360" w:end="0"/>
    </w:pPr>
    <w:rPr/>
  </w:style>
  <w:style w:type="paragraph" w:styleId="BodyTextIndent">
    <w:name w:val="Body Text Indent"/>
    <w:basedOn w:val="Normal"/>
    <w:pPr>
      <w:spacing w:lineRule="auto" w:line="360"/>
      <w:ind w:hanging="450" w:start="450" w:end="0"/>
    </w:pPr>
    <w:rPr>
      <w:sz w:val="24"/>
    </w:rPr>
  </w:style>
  <w:style w:type="paragraph" w:styleId="BodyTextIndent2">
    <w:name w:val="Body Text Indent 2"/>
    <w:basedOn w:val="Normal"/>
    <w:qFormat/>
    <w:pPr>
      <w:spacing w:lineRule="auto" w:line="480"/>
      <w:ind w:firstLine="1440" w:start="0" w:end="0"/>
    </w:pPr>
    <w:rPr/>
  </w:style>
  <w:style w:type="paragraph" w:styleId="BodyTextIndent3">
    <w:name w:val="Body Text Indent 3"/>
    <w:basedOn w:val="Normal"/>
    <w:qFormat/>
    <w:pPr>
      <w:spacing w:lineRule="auto" w:line="480"/>
      <w:ind w:hanging="720" w:start="720" w:end="0"/>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2001-07-18T16:11:00Z</dcterms:created>
  <dc:creator/>
  <dc:description/>
  <dc:language>en-CA</dc:language>
  <cp:lastModifiedBy>NGS</cp:lastModifiedBy>
  <cp:lastPrinted>2001-07-20T11:45:00Z</cp:lastPrinted>
  <dcterms:modified xsi:type="dcterms:W3CDTF">2001-07-20T19:31:00Z</dcterms:modified>
  <cp:revision>90</cp:revision>
  <dc:subject/>
  <dc:title/>
</cp:coreProperties>
</file>