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riefHeading"/>
        <w:tabs>
          <w:tab w:val="right" w:pos="5040" w:leader="none"/>
          <w:tab w:val="right" w:pos="8640" w:leader="dot"/>
        </w:tabs>
        <w:rPr/>
      </w:pPr>
      <w:r>
        <w:rPr/>
        <w:t>Before The Public Utilities Commission Of The State Of California</w:t>
      </w:r>
    </w:p>
    <w:p>
      <w:pPr>
        <w:pStyle w:val="Normal"/>
        <w:tabs>
          <w:tab w:val="right" w:pos="5040" w:leader="none"/>
          <w:tab w:val="right" w:pos="8640" w:leader="dot"/>
        </w:tabs>
        <w:rPr/>
      </w:pPr>
      <w:r>
        <w:rPr/>
      </w:r>
    </w:p>
    <w:p>
      <w:pPr>
        <w:pStyle w:val="Normal"/>
        <w:rPr/>
      </w:pPr>
      <w:r>
        <w:rPr/>
      </w:r>
    </w:p>
    <w:tbl>
      <w:tblPr>
        <w:tblW w:w="8856" w:type="dxa"/>
        <w:jc w:val="start"/>
        <w:tblInd w:w="0" w:type="dxa"/>
        <w:tblLayout w:type="fixed"/>
        <w:tblCellMar>
          <w:top w:w="0" w:type="dxa"/>
          <w:start w:w="108" w:type="dxa"/>
          <w:bottom w:w="0" w:type="dxa"/>
          <w:end w:w="108" w:type="dxa"/>
        </w:tblCellMar>
      </w:tblPr>
      <w:tblGrid>
        <w:gridCol w:w="5688"/>
        <w:gridCol w:w="3168"/>
      </w:tblGrid>
      <w:tr>
        <w:trPr/>
        <w:tc>
          <w:tcPr>
            <w:tcW w:w="5688" w:type="dxa"/>
            <w:tcBorders>
              <w:end w:val="single" w:sz="6" w:space="0" w:color="000000"/>
            </w:tcBorders>
          </w:tcPr>
          <w:p>
            <w:pPr>
              <w:pStyle w:val="Caption"/>
              <w:pBdr>
                <w:bottom w:val="single" w:sz="4" w:space="1" w:color="000000"/>
              </w:pBdr>
              <w:rPr/>
            </w:pPr>
            <w:r>
              <w:rPr/>
              <w:t xml:space="preserve">Application of PACIFIC GAS AND ELECTRIC COMPANY (U 39 G) for an Order Pursuant to Section 1005.5(b) of the Public Utilities Code to Increase the Maximum Cost Specified in PG&amp;E’s Certificate of Public Convenience and Necessity to Construct the California Portion of the Expansion of its Natural Gas Pipeline  </w:t>
            </w:r>
          </w:p>
          <w:p>
            <w:pPr>
              <w:pStyle w:val="Caption"/>
              <w:pBdr>
                <w:bottom w:val="single" w:sz="4" w:space="1" w:color="000000"/>
              </w:pBdr>
              <w:rPr/>
            </w:pPr>
            <w:r>
              <w:rPr/>
            </w:r>
          </w:p>
          <w:p>
            <w:pPr>
              <w:pStyle w:val="Caption"/>
              <w:rPr/>
            </w:pPr>
            <w:r>
              <w:rPr/>
            </w:r>
          </w:p>
          <w:p>
            <w:pPr>
              <w:pStyle w:val="Caption"/>
              <w:pBdr>
                <w:bottom w:val="single" w:sz="4" w:space="1" w:color="000000"/>
              </w:pBdr>
              <w:rPr/>
            </w:pPr>
            <w:r>
              <w:rPr/>
              <w:t xml:space="preserve">And Related Matters.  </w:t>
            </w:r>
          </w:p>
          <w:p>
            <w:pPr>
              <w:pStyle w:val="Caption"/>
              <w:pBdr>
                <w:bottom w:val="single" w:sz="4" w:space="1" w:color="000000"/>
              </w:pBdr>
              <w:rPr/>
            </w:pPr>
            <w:r>
              <w:rPr/>
            </w:r>
          </w:p>
          <w:p>
            <w:pPr>
              <w:pStyle w:val="Caption"/>
              <w:rPr/>
            </w:pPr>
            <w:r>
              <w:rPr/>
            </w:r>
          </w:p>
        </w:tc>
        <w:tc>
          <w:tcPr>
            <w:tcW w:w="3168" w:type="dxa"/>
            <w:tcBorders/>
          </w:tcPr>
          <w:p>
            <w:pPr>
              <w:pStyle w:val="Caption"/>
              <w:snapToGrid w:val="false"/>
              <w:jc w:val="center"/>
              <w:rPr/>
            </w:pPr>
            <w:r>
              <w:rPr/>
            </w:r>
          </w:p>
          <w:p>
            <w:pPr>
              <w:pStyle w:val="Caption"/>
              <w:jc w:val="center"/>
              <w:rPr/>
            </w:pPr>
            <w:r>
              <w:rPr/>
            </w:r>
          </w:p>
          <w:p>
            <w:pPr>
              <w:pStyle w:val="Caption"/>
              <w:jc w:val="center"/>
              <w:rPr/>
            </w:pPr>
            <w:r>
              <w:rPr/>
              <w:t>Application 92-12-043</w:t>
            </w:r>
          </w:p>
          <w:p>
            <w:pPr>
              <w:pStyle w:val="Caption"/>
              <w:jc w:val="center"/>
              <w:rPr/>
            </w:pPr>
            <w:r>
              <w:rPr/>
              <w:t>(Filed December 21, 1992)</w:t>
            </w:r>
          </w:p>
          <w:p>
            <w:pPr>
              <w:pStyle w:val="Caption"/>
              <w:jc w:val="center"/>
              <w:rPr/>
            </w:pPr>
            <w:r>
              <w:rPr/>
              <w:t>Application 93-03-038</w:t>
            </w:r>
          </w:p>
          <w:p>
            <w:pPr>
              <w:pStyle w:val="Caption"/>
              <w:jc w:val="center"/>
              <w:rPr/>
            </w:pPr>
            <w:r>
              <w:rPr/>
              <w:t>Application 94-05-035</w:t>
            </w:r>
          </w:p>
          <w:p>
            <w:pPr>
              <w:pStyle w:val="Caption"/>
              <w:jc w:val="center"/>
              <w:rPr/>
            </w:pPr>
            <w:r>
              <w:rPr/>
              <w:t>Application 94-06-034</w:t>
            </w:r>
          </w:p>
          <w:p>
            <w:pPr>
              <w:pStyle w:val="Caption"/>
              <w:jc w:val="center"/>
              <w:rPr/>
            </w:pPr>
            <w:r>
              <w:rPr/>
              <w:t>Application 94-09-056</w:t>
            </w:r>
          </w:p>
          <w:p>
            <w:pPr>
              <w:pStyle w:val="Caption"/>
              <w:jc w:val="center"/>
              <w:rPr/>
            </w:pPr>
            <w:r>
              <w:rPr/>
              <w:t>Application 94-06-044</w:t>
            </w:r>
          </w:p>
          <w:p>
            <w:pPr>
              <w:pStyle w:val="Caption"/>
              <w:jc w:val="center"/>
              <w:rPr/>
            </w:pPr>
            <w:r>
              <w:rPr/>
              <w:t>Application 96-08-043</w:t>
            </w:r>
          </w:p>
          <w:p>
            <w:pPr>
              <w:pStyle w:val="Caption"/>
              <w:jc w:val="center"/>
              <w:rPr/>
            </w:pPr>
            <w:r>
              <w:rPr/>
            </w:r>
          </w:p>
          <w:p>
            <w:pPr>
              <w:pStyle w:val="Caption"/>
              <w:jc w:val="center"/>
              <w:rPr/>
            </w:pPr>
            <w:r>
              <w:rPr/>
              <w:t>Rulemaking 90-02-008</w:t>
            </w:r>
          </w:p>
          <w:p>
            <w:pPr>
              <w:pStyle w:val="Caption"/>
              <w:jc w:val="center"/>
              <w:rPr/>
            </w:pPr>
            <w:r>
              <w:rPr/>
            </w:r>
          </w:p>
          <w:p>
            <w:pPr>
              <w:pStyle w:val="Caption"/>
              <w:jc w:val="center"/>
              <w:rPr/>
            </w:pPr>
            <w:r>
              <w:rPr/>
              <w:t>Rulemaking 88-08-018</w:t>
            </w:r>
          </w:p>
          <w:p>
            <w:pPr>
              <w:pStyle w:val="Caption"/>
              <w:jc w:val="center"/>
              <w:rPr/>
            </w:pPr>
            <w:r>
              <w:rPr/>
            </w:r>
          </w:p>
          <w:p>
            <w:pPr>
              <w:pStyle w:val="Caption"/>
              <w:jc w:val="center"/>
              <w:rPr/>
            </w:pPr>
            <w:r>
              <w:rPr/>
              <w:t>Rulemaking 92-12-016</w:t>
            </w:r>
          </w:p>
          <w:p>
            <w:pPr>
              <w:pStyle w:val="Caption"/>
              <w:jc w:val="center"/>
              <w:rPr/>
            </w:pPr>
            <w:r>
              <w:rPr/>
              <w:t>Investigation 92-12-017</w:t>
            </w:r>
          </w:p>
          <w:p>
            <w:pPr>
              <w:pStyle w:val="Caption"/>
              <w:jc w:val="center"/>
              <w:rPr/>
            </w:pPr>
            <w:r>
              <w:rPr/>
            </w:r>
          </w:p>
          <w:p>
            <w:pPr>
              <w:pStyle w:val="Caption"/>
              <w:jc w:val="center"/>
              <w:rPr/>
            </w:pPr>
            <w:r>
              <w:rPr/>
              <w:t>Application 92-07-049</w:t>
            </w:r>
          </w:p>
          <w:p>
            <w:pPr>
              <w:pStyle w:val="Caption"/>
              <w:jc w:val="center"/>
              <w:rPr/>
            </w:pPr>
            <w:r>
              <w:rPr/>
            </w:r>
          </w:p>
          <w:p>
            <w:pPr>
              <w:pStyle w:val="Caption"/>
              <w:jc w:val="center"/>
              <w:rPr/>
            </w:pPr>
            <w:r>
              <w:rPr/>
              <w:t>Application 95-02-008</w:t>
            </w:r>
          </w:p>
          <w:p>
            <w:pPr>
              <w:pStyle w:val="Caption"/>
              <w:jc w:val="center"/>
              <w:rPr/>
            </w:pPr>
            <w:r>
              <w:rPr/>
            </w:r>
          </w:p>
          <w:p>
            <w:pPr>
              <w:pStyle w:val="Caption"/>
              <w:jc w:val="center"/>
              <w:rPr/>
            </w:pPr>
            <w:r>
              <w:rPr/>
              <w:t>Application 95-02-010</w:t>
            </w:r>
          </w:p>
          <w:p>
            <w:pPr>
              <w:pStyle w:val="Caption"/>
              <w:jc w:val="center"/>
              <w:rPr/>
            </w:pPr>
            <w:r>
              <w:rPr/>
            </w:r>
          </w:p>
          <w:p>
            <w:pPr>
              <w:pStyle w:val="Caption"/>
              <w:jc w:val="center"/>
              <w:rPr/>
            </w:pPr>
            <w:r>
              <w:rPr/>
              <w:t>Application 94-11-015</w:t>
            </w:r>
          </w:p>
          <w:p>
            <w:pPr>
              <w:pStyle w:val="Caption"/>
              <w:jc w:val="center"/>
              <w:rPr/>
            </w:pPr>
            <w:r>
              <w:rPr/>
            </w:r>
          </w:p>
          <w:p>
            <w:pPr>
              <w:pStyle w:val="Caption"/>
              <w:jc w:val="center"/>
              <w:rPr/>
            </w:pPr>
            <w:r>
              <w:rPr/>
              <w:t>Application 93-04-011</w:t>
            </w:r>
          </w:p>
          <w:p>
            <w:pPr>
              <w:pStyle w:val="Caption"/>
              <w:jc w:val="center"/>
              <w:rPr/>
            </w:pPr>
            <w:r>
              <w:rPr/>
              <w:t>Application 94-04-002</w:t>
            </w:r>
          </w:p>
          <w:p>
            <w:pPr>
              <w:pStyle w:val="Caption"/>
              <w:jc w:val="center"/>
              <w:rPr/>
            </w:pPr>
            <w:r>
              <w:rPr/>
              <w:t>Application 95-04-002</w:t>
            </w:r>
          </w:p>
          <w:p>
            <w:pPr>
              <w:pStyle w:val="Caption"/>
              <w:jc w:val="center"/>
              <w:rPr/>
            </w:pPr>
            <w:r>
              <w:rPr/>
              <w:t>Application 96-04-001</w:t>
            </w:r>
          </w:p>
          <w:p>
            <w:pPr>
              <w:pStyle w:val="Caption"/>
              <w:jc w:val="center"/>
              <w:rPr/>
            </w:pPr>
            <w:r>
              <w:rPr/>
            </w:r>
          </w:p>
          <w:p>
            <w:pPr>
              <w:pStyle w:val="Caption"/>
              <w:jc w:val="center"/>
              <w:rPr/>
            </w:pPr>
            <w:r>
              <w:rPr/>
              <w:t>Application 94-12-039</w:t>
            </w:r>
          </w:p>
          <w:p>
            <w:pPr>
              <w:pStyle w:val="Caption"/>
              <w:jc w:val="center"/>
              <w:rPr/>
            </w:pPr>
            <w:r>
              <w:rPr/>
            </w:r>
          </w:p>
        </w:tc>
      </w:tr>
    </w:tbl>
    <w:p>
      <w:pPr>
        <w:pStyle w:val="Normal"/>
        <w:tabs>
          <w:tab w:val="right" w:pos="5040" w:leader="none"/>
          <w:tab w:val="right" w:pos="8640" w:leader="dot"/>
        </w:tabs>
        <w:spacing w:lineRule="auto" w:line="360"/>
        <w:rPr/>
      </w:pPr>
      <w:r>
        <w:rPr/>
      </w:r>
    </w:p>
    <w:p>
      <w:pPr>
        <w:pStyle w:val="Title"/>
        <w:rPr>
          <w:u w:val="none"/>
        </w:rPr>
      </w:pPr>
      <w:r>
        <w:rPr>
          <w:u w:val="none"/>
        </w:rPr>
        <w:t xml:space="preserve">EMERGENCY PETITION </w:t>
      </w:r>
    </w:p>
    <w:p>
      <w:pPr>
        <w:pStyle w:val="Title"/>
        <w:rPr>
          <w:u w:val="none"/>
        </w:rPr>
      </w:pPr>
      <w:r>
        <w:rPr>
          <w:u w:val="none"/>
        </w:rPr>
        <w:t xml:space="preserve">OF THE OFFICE OF RATEPAYER ADVOCATES </w:t>
      </w:r>
    </w:p>
    <w:p>
      <w:pPr>
        <w:pStyle w:val="Title"/>
        <w:rPr>
          <w:u w:val="none"/>
        </w:rPr>
      </w:pPr>
      <w:r>
        <w:rPr>
          <w:u w:val="none"/>
        </w:rPr>
        <w:t xml:space="preserve">AND THE UTILITY REFORM NETWORK FOR MODIFICATION </w:t>
      </w:r>
    </w:p>
    <w:p>
      <w:pPr>
        <w:pStyle w:val="Title"/>
        <w:rPr>
          <w:u w:val="none"/>
        </w:rPr>
      </w:pPr>
      <w:r>
        <w:rPr>
          <w:u w:val="none"/>
        </w:rPr>
        <w:t>OF DECISION 97-08-055 AND RESOLUTION G-3288</w:t>
      </w:r>
    </w:p>
    <w:p>
      <w:pPr>
        <w:pStyle w:val="Title"/>
        <w:rPr>
          <w:u w:val="none"/>
        </w:rPr>
      </w:pPr>
      <w:r>
        <w:rPr>
          <w:u w:val="none"/>
        </w:rPr>
      </w:r>
    </w:p>
    <w:p>
      <w:pPr>
        <w:pStyle w:val="Title"/>
        <w:rPr>
          <w:u w:val="none"/>
        </w:rPr>
      </w:pPr>
      <w:r>
        <w:rPr>
          <w:u w:val="none"/>
        </w:rPr>
        <w:t xml:space="preserve">EMERGENCY PETITION </w:t>
      </w:r>
    </w:p>
    <w:p>
      <w:pPr>
        <w:pStyle w:val="Title"/>
        <w:rPr>
          <w:u w:val="none"/>
        </w:rPr>
      </w:pPr>
      <w:r>
        <w:rPr>
          <w:u w:val="none"/>
        </w:rPr>
        <w:t xml:space="preserve">OF THE OFFICE OF RATEPAYER ADVOCATES </w:t>
      </w:r>
    </w:p>
    <w:p>
      <w:pPr>
        <w:pStyle w:val="Title"/>
        <w:rPr>
          <w:u w:val="none"/>
        </w:rPr>
      </w:pPr>
      <w:r>
        <w:rPr>
          <w:u w:val="none"/>
        </w:rPr>
        <w:t xml:space="preserve">AND THE UTILITY REFORM NETWORK FOR MODIFICATION </w:t>
      </w:r>
    </w:p>
    <w:p>
      <w:pPr>
        <w:pStyle w:val="Title"/>
        <w:rPr>
          <w:u w:val="none"/>
        </w:rPr>
      </w:pPr>
      <w:r>
        <w:rPr>
          <w:u w:val="none"/>
        </w:rPr>
        <w:t>OF DECISION 97-08-055 AND RESOLUTION G-3288</w:t>
      </w:r>
    </w:p>
    <w:p>
      <w:pPr>
        <w:pStyle w:val="Footer"/>
        <w:tabs>
          <w:tab w:val="clear" w:pos="4320"/>
          <w:tab w:val="right" w:pos="5040" w:leader="none"/>
          <w:tab w:val="right" w:pos="8640" w:leader="dot"/>
        </w:tabs>
        <w:spacing w:lineRule="auto" w:line="360"/>
        <w:rPr>
          <w:u w:val="none"/>
        </w:rPr>
      </w:pPr>
      <w:r>
        <w:rPr>
          <w:u w:val="none"/>
        </w:rPr>
      </w:r>
    </w:p>
    <w:p>
      <w:pPr>
        <w:pStyle w:val="BodyText"/>
        <w:spacing w:before="0" w:after="120"/>
        <w:rPr/>
      </w:pPr>
      <w:r>
        <w:rPr/>
        <w:t>In accordance with Rule 47 of the Rules of Practice and Procedure of the California Public Utilities Commission (Commission), the Office of Ratepayer Advocates (ORA) and the Utility Reform Network (TURN), respectfully submit this Petition for Modification of Decision 97-08-055, which approved the “Gas Accord”, and Resolution G-3288 which implemented it.</w:t>
      </w:r>
      <w:r>
        <w:rPr>
          <w:rStyle w:val="FootnoteCharacters"/>
          <w:rStyle w:val="FootnoteReference"/>
          <w:sz w:val="24"/>
        </w:rPr>
        <w:footnoteReference w:id="2"/>
      </w:r>
      <w:r>
        <w:rPr>
          <w:sz w:val="24"/>
        </w:rPr>
        <w:t xml:space="preserve"> </w:t>
      </w:r>
      <w:r>
        <w:rPr/>
        <w:t xml:space="preserve"> ORA and TURN request that the Emergency Flow Order (EFO) provisions and costs for involuntary diversions of natural gas be modified on an expedited basis as described in greater detail in this filing.  These modifications (which are essentially a temporary deviation to the current tariffs) are required because the current tariff rules would result in an unwarranted and severely adverse financial hardship for PG&amp;E’s core ratepayers.  Because of the unprecedented conditions giving rise to this petition, ORA and TURN request that the Commission take immediate action pursuant to Rule 81(f).  In the alternative, the normal 30 day period for responses should be shortened to 5 days.  (Rule 47(f))</w:t>
      </w:r>
    </w:p>
    <w:p>
      <w:pPr>
        <w:pStyle w:val="BodyText"/>
        <w:spacing w:before="0" w:after="120"/>
        <w:rPr/>
      </w:pPr>
      <w:r>
        <w:rPr/>
        <w:t xml:space="preserve">Commission D.97-08-055 was issued on August 1, 1997.  Rule 47 (d) requires that if more than one year has lapsed since the effective date of the proposed decision, the petition must explain why it could not have been presented within one year of the effective date of the decision.  The basis for this petition for modification is a result of Pacific Gas and Electric Company’s (PG&amp;E) current financial crisis and related deteriorating credit situation.  This is impacting PG&amp;E’s ability to procure and deliver natural gas for core customers.  These conditions did not exist prior to the current crisis, and they could not have been reasonably anticipated.  The need for modification of the decision is based on conditions that simply were never contemplated when the Gas Accord settlement was negotiated and subsequently approved by the Commission.    </w:t>
      </w:r>
    </w:p>
    <w:p>
      <w:pPr>
        <w:pStyle w:val="Heading1"/>
        <w:numPr>
          <w:ilvl w:val="0"/>
          <w:numId w:val="3"/>
        </w:numPr>
        <w:spacing w:lineRule="auto" w:line="360" w:before="0" w:after="0"/>
        <w:rPr/>
      </w:pPr>
      <w:r>
        <w:rPr/>
        <w:t xml:space="preserve">DISCUSSION </w:t>
      </w:r>
    </w:p>
    <w:p>
      <w:pPr>
        <w:pStyle w:val="BodyText"/>
        <w:rPr/>
      </w:pPr>
      <w:r>
        <w:rPr/>
        <w:t>In D.97-08-055, the Commission adopted a comprehensive settlement, commonly known as the Gas Accord, which sets forth the rules governing the operation of PG&amp;E’s gas transmission system.  The Commission also issued Resolution No. G-3288, which implemented specific provisions of the Gas Accord.  The Gas Accord contained provisions pertaining to Operational Flow Orders (OFOs) and Emergency Flow Orders (EFOs) on the PG&amp;E system.</w:t>
      </w:r>
      <w:r>
        <w:rPr>
          <w:rStyle w:val="FootnoteCharacters"/>
          <w:rStyle w:val="FootnoteReference"/>
          <w:sz w:val="24"/>
        </w:rPr>
        <w:footnoteReference w:id="3"/>
      </w:r>
      <w:r>
        <w:rPr>
          <w:sz w:val="24"/>
        </w:rPr>
        <w:t xml:space="preserve"> </w:t>
      </w:r>
      <w:r>
        <w:rPr/>
        <w:t xml:space="preserve"> The provisions concerning capacity allocation and constraints effecting natural gas service are set forth in Rule 14 of PG&amp;E’s tariffs.  These tariffs were implemented through various advice letters.  </w:t>
      </w:r>
    </w:p>
    <w:p>
      <w:pPr>
        <w:pStyle w:val="BodyText"/>
        <w:spacing w:before="0" w:after="120"/>
        <w:rPr/>
      </w:pPr>
      <w:r>
        <w:rPr/>
        <w:t xml:space="preserve">There are noncompliance penalties associated with both OFOs and EFO’s.  The EFO’s have a zero percent tolerance (if supply is less than usage) and a $50/Dth noncompliance penalty.  If an involuntary supply diversion is called in conjunction with an EFO, an additional $50/Dth diversion usage charge will apply for a total noncompliance penalty of $100/Dth.  The EFO penalty is payable to PG&amp;E and the $50/Dth diversion usage charge is payable to those customers whose gas supply is involuntarily diverted.  Pursuant to PG&amp;E’s tariffs, firm customers whose gas supply is involuntarily diverted will receive a $5/therm ($50/Dth) diversion credit.  As-available transmission service customers whose gas supply is involuntarily diverted will receive a diversion credit based on the current market price of the diverted supply on the day it was diverted.  The current market price is based on an average of the published price data from Natural Gas Intelligence (NGI) and the BTU Daily Gas Wire for the PG&amp;E interconnect points of Malin (Line 400) and Topock (Southern California Border), weighted by the supply mix of all gas received at Malin and Topock for on-system end-use customers for that day.  </w:t>
      </w:r>
    </w:p>
    <w:p>
      <w:pPr>
        <w:pStyle w:val="BodyText"/>
        <w:spacing w:before="0" w:after="120"/>
        <w:rPr/>
      </w:pPr>
      <w:r>
        <w:rPr/>
        <w:t xml:space="preserve">Due to a worsening credit situation, PG&amp;E faces an imminent shortage of natural gas for delivery to customers.  PG&amp;E’s deteriorating credit situation is causing gas suppliers to decline to sell to PG&amp;E, even under existing gas contracts, in the absence of accelerated payments.  If gas suppliers refuse to sell and deliver to PG&amp;E, the only supplies available to meet PG&amp;E’s core gas requirements would be gas currently held in storage, and to a limited extent gas diverted on an emergency basis from industrial customers, including in-state generators.  According to PG&amp;E, this is a credit-based shortage, </w:t>
      </w:r>
      <w:r>
        <w:rPr>
          <w:u w:val="single"/>
        </w:rPr>
        <w:t>not</w:t>
      </w:r>
      <w:r>
        <w:rPr/>
        <w:t xml:space="preserve"> a physical supply shortage.  On January 9, 2001, PG&amp;E sent a letter to Governor Gray Davis, which asserted that the crisis may require that the Governor invoke emergency authority under Government Code Sections 8550, et seq.</w:t>
      </w:r>
      <w:r>
        <w:rPr>
          <w:rStyle w:val="FootnoteCharacters"/>
          <w:rStyle w:val="FootnoteReference"/>
          <w:sz w:val="24"/>
        </w:rPr>
        <w:footnoteReference w:id="4"/>
      </w:r>
      <w:r>
        <w:rPr>
          <w:sz w:val="24"/>
        </w:rPr>
        <w:t xml:space="preserve"> </w:t>
      </w:r>
      <w:r>
        <w:rPr/>
        <w:t xml:space="preserve"> </w:t>
      </w:r>
    </w:p>
    <w:p>
      <w:pPr>
        <w:pStyle w:val="BodyText"/>
        <w:spacing w:before="0" w:after="120"/>
        <w:rPr/>
      </w:pPr>
      <w:r>
        <w:rPr/>
        <w:t xml:space="preserve">ORA and TURN propose that D.97-08-055, be modified in the following manner: If PG&amp;E is required to divert natural gas supply on its system to serve core customers due to the fact that gas suppliers refused to sell natural gas to PG&amp;E under normal terms and conditions, then 1) OFO penalties to core procurement customers will be waived, 2) EFO penalties to core customers will be waived, and 3) the involuntary diversion charge of $50/Dth will be modified to reflect the actual market price of gas supply up to $50/Dth.  In short, core customers should not be subjected to penalties amounting to $100 per decatherm, or ten times the market price of gas, because gas suppliers are unwilling to sell natural gas supply to PG&amp;E at a market price of approximately $10/Dth.   </w:t>
      </w:r>
    </w:p>
    <w:p>
      <w:pPr>
        <w:pStyle w:val="BodyText"/>
        <w:spacing w:before="0" w:after="120"/>
        <w:rPr/>
      </w:pPr>
      <w:r>
        <w:rPr/>
        <w:t xml:space="preserve">The current tariffs simply did not anticipate an inability on the part of PG&amp;E to purchase gas supply because of insufficient credit.  The current tariffs state that: “When operational conditions exist such that supply is insufficient to meet demand and deliveries to Core End-Use Customers are threatened, and subject to the obligations of Core Procurement Groups to utilize all available capacity associated with supply, PG&amp;E may divert gas supply in its system from Noncore End-Use Customers to Core End-Use Customers.” (Rule 14, Section G)  It is clear that the current tariffs envision that PG&amp;E Core Procurement Group would be utilizing all its firm pipeline capacity to transport gas supply to its customers before it diverted natural gas supply from noncore end-users.  That is not the situation currently being faced by PG&amp;E.    </w:t>
      </w:r>
    </w:p>
    <w:p>
      <w:pPr>
        <w:pStyle w:val="BodyText"/>
        <w:spacing w:before="0" w:after="120"/>
        <w:rPr/>
      </w:pPr>
      <w:r>
        <w:rPr/>
        <w:t xml:space="preserve">The current tariffs also state that: “Prior to diversion hereunder, PG&amp;E’s Core Procurement Department and Core Transport Agents, on behalf of Core End-Use Customers, will use: </w:t>
      </w:r>
    </w:p>
    <w:p>
      <w:pPr>
        <w:pStyle w:val="BodyText"/>
        <w:numPr>
          <w:ilvl w:val="0"/>
          <w:numId w:val="2"/>
        </w:numPr>
        <w:spacing w:lineRule="auto" w:line="240" w:before="0" w:after="120"/>
        <w:rPr/>
      </w:pPr>
      <w:r>
        <w:rPr/>
        <w:t>their own firm capacity, to the extent that gas supply is available;</w:t>
      </w:r>
    </w:p>
    <w:p>
      <w:pPr>
        <w:pStyle w:val="BodyText"/>
        <w:numPr>
          <w:ilvl w:val="0"/>
          <w:numId w:val="2"/>
        </w:numPr>
        <w:spacing w:lineRule="auto" w:line="240" w:before="0" w:after="120"/>
        <w:rPr/>
      </w:pPr>
      <w:r>
        <w:rPr/>
        <w:t xml:space="preserve">any as-available capacity on the system at any receipt point to the extent gas supply is available; and </w:t>
      </w:r>
    </w:p>
    <w:p>
      <w:pPr>
        <w:pStyle w:val="BodyText"/>
        <w:numPr>
          <w:ilvl w:val="0"/>
          <w:numId w:val="2"/>
        </w:numPr>
        <w:spacing w:lineRule="auto" w:line="240"/>
        <w:rPr/>
      </w:pPr>
      <w:r>
        <w:rPr/>
        <w:t>capacity made available from Noncore End-Use Customers or …”</w:t>
      </w:r>
    </w:p>
    <w:p>
      <w:pPr>
        <w:pStyle w:val="BodyText"/>
        <w:spacing w:lineRule="auto" w:line="240"/>
        <w:ind w:firstLine="1080" w:end="0"/>
        <w:rPr/>
      </w:pPr>
      <w:r>
        <w:rPr/>
        <w:t xml:space="preserve">(Rule 14, Section G)  </w:t>
      </w:r>
    </w:p>
    <w:p>
      <w:pPr>
        <w:pStyle w:val="BodyText"/>
        <w:spacing w:lineRule="auto" w:line="240" w:before="0" w:after="120"/>
        <w:ind w:firstLine="1080" w:end="0"/>
        <w:rPr/>
      </w:pPr>
      <w:r>
        <w:rPr/>
      </w:r>
    </w:p>
    <w:p>
      <w:pPr>
        <w:pStyle w:val="BodyText"/>
        <w:spacing w:before="0" w:after="120"/>
        <w:rPr/>
      </w:pPr>
      <w:r>
        <w:rPr/>
        <w:t xml:space="preserve">Again, there is ample gas supply available in the market (i.e. there are no shortages of natural gas supply), but suppliers may not be willing to sell gas supply to PG&amp;E.  </w:t>
      </w:r>
    </w:p>
    <w:p>
      <w:pPr>
        <w:pStyle w:val="BodyText"/>
        <w:spacing w:before="0" w:after="120"/>
        <w:rPr/>
      </w:pPr>
      <w:r>
        <w:rPr/>
        <w:t xml:space="preserve">The current penalties would serve no purpose other than unnecessarily increasing the cost of natural gas to core customers.  The OFO and EFO penalties were developed to encourage marketers and customers to balance supply and demand on the system.  The diversion penalty was implemented to assure that PG&amp;E core procurement had an appropriate incentive to assure gas supply was delivered to the system during cold weather conditions, rather than simply relying on diverting gas from other customers.  The threat of gas suppliers not providing gas supply to PG&amp;E for its core customers was never contemplated or even considered when these rules were developed.  The current penalty provision would increase the already record-high cost of gas to PG&amp;E’s core customers by ten-fold based on current market prices of approximately $10/Dth.  This is simply untenable. </w:t>
      </w:r>
    </w:p>
    <w:p>
      <w:pPr>
        <w:pStyle w:val="BodyText"/>
        <w:spacing w:before="0" w:after="120"/>
        <w:rPr/>
      </w:pPr>
      <w:r>
        <w:rPr/>
        <w:t>The current rules were developed primarily to address circumstances when a temporary and unusually high gas demand by core customers resulted in the need for PG&amp;E to divert gas from noncore customers to meet that high core demand.  If diversions were required under extreme weather conditions, they would only apply to a small incremental volume of gas supply.  This is not analogous to the current situation.  The current EFO and involuntary diversion rules, which were developed in 1996, simply did not contemplate the current credit-based crisis.  The EFO and OFO penalties are recovered by PG&amp;E and allocated to the Balancing Charge Account.  These penalties would only serve to increase core procurement costs, notwithstanding the fact that this is not a customer driven problem.</w:t>
      </w:r>
    </w:p>
    <w:p>
      <w:pPr>
        <w:pStyle w:val="BodyText"/>
        <w:spacing w:before="0" w:after="120"/>
        <w:rPr/>
      </w:pPr>
      <w:r>
        <w:rPr/>
        <w:t xml:space="preserve">There are two basic scenarios that could occur if PG&amp;E was forced to divert noncore gas supplies.  First, the current situation could potentially be gamed by marketers that decide not to supply PG&amp;E with gas.  ORA and TURN are concerned that marketers could exploit the current situation to the economic harm of core customers.  Aware of PG&amp;E’s worsening credit problems, gas marketers may simply refuse to provide PG&amp;E with gas at a price of $1/therm.  However, they might be willing to allow supplies being transported to noncore customers to be diverted at the $5/therm diversion penalty.  Since there is no capacity shortage they could then increase flows using interruptible transportation to meet the noncore customers actual requirements.  In other words, they may be willing to accept the nonpayment risk associated with a $5/therm diversion cost to the core rather than the $1/therm baseload gas supply cost.  ORA and TURN propose to avoid this scenario by filing this petition.  </w:t>
      </w:r>
    </w:p>
    <w:p>
      <w:pPr>
        <w:pStyle w:val="BodyText"/>
        <w:spacing w:before="0" w:after="120"/>
        <w:rPr/>
      </w:pPr>
      <w:r>
        <w:rPr/>
        <w:t xml:space="preserve">The second possible scenario is that gas suppliers may refuse to move any gas supply to California because of PG&amp;E’s credit situation.  This would leave PG&amp;E with no noncore supply on its system to divert.  While this seems unthinkable, it is not out of the question.  ORA and TURN hope that both of these quite dismal outcomes will be avoided.  It is an ironic twist that the astronomical electricity prices could ultimately result in the curtailment of California gas supplies, the costs of which core customers actually remit on a real time basis in their monthly bills.  </w:t>
      </w:r>
    </w:p>
    <w:p>
      <w:pPr>
        <w:pStyle w:val="Normal"/>
        <w:spacing w:lineRule="auto" w:line="360" w:before="0" w:after="120"/>
        <w:ind w:firstLine="720" w:end="0"/>
        <w:rPr/>
      </w:pPr>
      <w:r>
        <w:rPr/>
        <w:t>At this juncture, ORA and TURN are becoming increasingly alarmed with the potential inability of PG&amp;E to meet its public utility obligation to provide gas supply to its core customers.  The inability of PG&amp;E to secure gas supply for its core customers threatens the health and welfare of all customers in its service territory.  Core and noncore customers simply should not be exposed to gas supply interruptions especially given that gas supply is available and, unlike on the electric side, core customers pay actual gas costs.</w:t>
      </w:r>
    </w:p>
    <w:p>
      <w:pPr>
        <w:pStyle w:val="Normal"/>
        <w:spacing w:lineRule="auto" w:line="360" w:before="0" w:after="120"/>
        <w:ind w:firstLine="720" w:end="0"/>
        <w:rPr/>
      </w:pPr>
      <w:r>
        <w:rPr/>
        <w:t xml:space="preserve">The current gas situation in northern California is becomes more critical as PG&amp;E draws from its storage inventory, while pipeline capacity is underutilized due to its inability to secure core gas supply.  ORA does not know the current storage inventory of PG&amp;E’s Core Procurement Group.  However the estimated withdrawals from storage by the core over the next few days are higher than the norm.  If PG&amp;E is not able to secure physical gas supply to serve its core customers, and continues storage withdrawal at recent high levels, then curtailment of gas end-users in California will be unavoidable.  Under normal conditions, PG&amp;E follows a timely, planned storage withdrawal pattern to serve its core end use requirements.  If this storage inventory is sufficiently depleted well before the end of the winter heating season (due to wide deviations from planned withdrawal), pipeline capacity will be insufficient to meet the gas demand of both core and noncore customers requirements for the balance of the winter season.   </w:t>
      </w:r>
    </w:p>
    <w:p>
      <w:pPr>
        <w:pStyle w:val="BodyText"/>
        <w:spacing w:before="0" w:after="120"/>
        <w:rPr/>
      </w:pPr>
      <w:r>
        <w:rPr/>
        <w:t xml:space="preserve">The bottom line is that, due to its worsening credit problems, PG&amp;E is having difficulty securing gas supply.  PG&amp;E should be directed to immediately inform the Commission of the current storage and supply situation and how it intends to assure that core gas customers obtain gas supply.  </w:t>
      </w:r>
    </w:p>
    <w:p>
      <w:pPr>
        <w:pStyle w:val="BodyText"/>
        <w:spacing w:before="0" w:after="120"/>
        <w:ind w:hanging="0" w:end="0"/>
        <w:rPr/>
      </w:pPr>
      <w:r>
        <w:rPr/>
      </w:r>
    </w:p>
    <w:p>
      <w:pPr>
        <w:pStyle w:val="Heading1"/>
        <w:numPr>
          <w:ilvl w:val="0"/>
          <w:numId w:val="3"/>
        </w:numPr>
        <w:spacing w:lineRule="auto" w:line="360" w:before="0" w:after="0"/>
        <w:rPr/>
      </w:pPr>
      <w:r>
        <w:rPr/>
        <w:t xml:space="preserve">CONCLUSION </w:t>
      </w:r>
    </w:p>
    <w:p>
      <w:pPr>
        <w:pStyle w:val="BodyText"/>
        <w:rPr/>
      </w:pPr>
      <w:r>
        <w:rPr/>
        <w:t xml:space="preserve">ORA and TURN hope that PG&amp;E is able to secure gas supplies for its core ratepayers. However, the diversion of noncore end-use customers’ gas supply at a price of ten times the market price is not a viable gas procurement strategy.  ORA and TURN recommend modification of D.97-08-055, Resolution G-3288 and appropriate tariff language set forth in PG&amp;E Rule 14 in order to mitigate undue cost increases to the core procurement customers as discussed above. </w:t>
      </w:r>
    </w:p>
    <w:p>
      <w:pPr>
        <w:pStyle w:val="Normal"/>
        <w:tabs>
          <w:tab w:val="right" w:pos="5040" w:leader="none"/>
          <w:tab w:val="right" w:pos="8640" w:leader="dot"/>
        </w:tabs>
        <w:spacing w:lineRule="auto" w:line="360"/>
        <w:ind w:firstLine="720" w:end="0"/>
        <w:rPr/>
      </w:pPr>
      <w:r>
        <w:rPr/>
      </w:r>
    </w:p>
    <w:p>
      <w:pPr>
        <w:pStyle w:val="BodyText"/>
        <w:rPr/>
      </w:pPr>
      <w:r>
        <w:rPr/>
      </w:r>
    </w:p>
    <w:p>
      <w:pPr>
        <w:pStyle w:val="Normal"/>
        <w:ind w:start="4320" w:end="0"/>
        <w:rPr/>
      </w:pPr>
      <w:r>
        <w:rPr>
          <w:rStyle w:val="LineNumber"/>
        </w:rPr>
        <w:t>Respectfully submitted,</w:t>
      </w:r>
    </w:p>
    <w:p>
      <w:pPr>
        <w:pStyle w:val="Normal"/>
        <w:ind w:start="4320" w:end="0"/>
        <w:rPr>
          <w:rStyle w:val="LineNumber"/>
        </w:rPr>
      </w:pPr>
      <w:r>
        <w:rPr/>
      </w:r>
    </w:p>
    <w:p>
      <w:pPr>
        <w:pStyle w:val="Normal"/>
        <w:ind w:start="4320" w:end="0"/>
        <w:rPr>
          <w:rStyle w:val="LineNumber"/>
        </w:rPr>
      </w:pPr>
      <w:r>
        <w:rPr/>
      </w:r>
    </w:p>
    <w:p>
      <w:pPr>
        <w:pStyle w:val="Normal"/>
        <w:tabs>
          <w:tab w:val="clear" w:pos="5040"/>
        </w:tabs>
        <w:ind w:start="4320" w:end="0"/>
        <w:rPr>
          <w:rStyle w:val="LineNumber"/>
        </w:rPr>
      </w:pPr>
      <w:r>
        <w:rPr/>
      </w:r>
    </w:p>
    <w:p>
      <w:pPr>
        <w:pStyle w:val="Normal"/>
        <w:tabs>
          <w:tab w:val="clear" w:pos="5040"/>
        </w:tabs>
        <w:ind w:start="4320" w:end="0"/>
        <w:rPr>
          <w:rStyle w:val="LineNumber"/>
        </w:rPr>
      </w:pPr>
      <w:r>
        <w:rPr>
          <w:rStyle w:val="LineNumber"/>
          <w:u w:val="single"/>
        </w:rPr>
        <w:tab/>
        <w:tab/>
        <w:tab/>
        <w:tab/>
      </w:r>
    </w:p>
    <w:p>
      <w:pPr>
        <w:pStyle w:val="Normal"/>
        <w:tabs>
          <w:tab w:val="clear" w:pos="5040"/>
        </w:tabs>
        <w:ind w:start="4320" w:end="0"/>
        <w:rPr/>
      </w:pPr>
      <w:r>
        <w:rPr>
          <w:rStyle w:val="LineNumber"/>
        </w:rPr>
        <w:tab/>
        <w:t>Patrick Gileau</w:t>
      </w:r>
    </w:p>
    <w:p>
      <w:pPr>
        <w:pStyle w:val="Normal"/>
        <w:tabs>
          <w:tab w:val="clear" w:pos="5040"/>
        </w:tabs>
        <w:ind w:firstLine="720" w:start="4320" w:end="0"/>
        <w:rPr/>
      </w:pPr>
      <w:r>
        <w:rPr>
          <w:rStyle w:val="LineNumber"/>
        </w:rPr>
        <w:t>Staff Counsel</w:t>
      </w:r>
    </w:p>
    <w:p>
      <w:pPr>
        <w:pStyle w:val="Normal"/>
        <w:ind w:start="4320" w:end="0"/>
        <w:rPr>
          <w:rStyle w:val="LineNumber"/>
        </w:rPr>
      </w:pPr>
      <w:r>
        <w:rPr/>
      </w:r>
    </w:p>
    <w:p>
      <w:pPr>
        <w:pStyle w:val="Normal"/>
        <w:ind w:start="4320" w:end="0"/>
        <w:rPr/>
      </w:pPr>
      <w:r>
        <w:rPr>
          <w:rStyle w:val="LineNumber"/>
        </w:rPr>
        <w:t>Attorney for the Office of Ratepayer Advocates</w:t>
      </w:r>
    </w:p>
    <w:p>
      <w:pPr>
        <w:pStyle w:val="Normal"/>
        <w:ind w:start="4320" w:end="0"/>
        <w:rPr>
          <w:rStyle w:val="LineNumber"/>
        </w:rPr>
      </w:pPr>
      <w:r>
        <w:rPr/>
      </w:r>
    </w:p>
    <w:p>
      <w:pPr>
        <w:pStyle w:val="Normal"/>
        <w:ind w:start="4320" w:end="0"/>
        <w:rPr/>
      </w:pPr>
      <w:r>
        <w:rPr>
          <w:rStyle w:val="LineNumber"/>
        </w:rPr>
        <w:t>California Public Utilities Commission</w:t>
      </w:r>
    </w:p>
    <w:p>
      <w:pPr>
        <w:pStyle w:val="Normal"/>
        <w:ind w:start="4320" w:end="0"/>
        <w:rPr/>
      </w:pPr>
      <w:r>
        <w:rPr>
          <w:rStyle w:val="LineNumber"/>
        </w:rPr>
        <w:t>505 Van Ness Ave.</w:t>
      </w:r>
    </w:p>
    <w:p>
      <w:pPr>
        <w:pStyle w:val="Normal"/>
        <w:ind w:start="4320" w:end="0"/>
        <w:rPr/>
      </w:pPr>
      <w:r>
        <w:rPr>
          <w:rStyle w:val="LineNumber"/>
        </w:rPr>
        <w:t>San Francisco, CA 94102</w:t>
      </w:r>
    </w:p>
    <w:p>
      <w:pPr>
        <w:pStyle w:val="Normal"/>
        <w:ind w:start="4320" w:end="0"/>
        <w:rPr/>
      </w:pPr>
      <w:r>
        <w:rPr>
          <w:rStyle w:val="LineNumber"/>
        </w:rPr>
        <w:t>Phone: (415) 703-3080</w:t>
      </w:r>
    </w:p>
    <w:p>
      <w:pPr>
        <w:pStyle w:val="Normal"/>
        <w:tabs>
          <w:tab w:val="clear" w:pos="5040"/>
        </w:tabs>
        <w:rPr/>
      </w:pPr>
      <w:r>
        <w:rPr>
          <w:rStyle w:val="LineNumber"/>
        </w:rPr>
        <w:t>January 16, 2001</w:t>
        <w:tab/>
        <w:tab/>
        <w:tab/>
        <w:tab/>
        <w:t xml:space="preserve">Fax: (415) 703-4465  </w:t>
      </w:r>
    </w:p>
    <w:p>
      <w:pPr>
        <w:sectPr>
          <w:footerReference w:type="default" r:id="rId2"/>
          <w:footerReference w:type="first" r:id="rId3"/>
          <w:footnotePr>
            <w:numFmt w:val="decimal"/>
          </w:footnotePr>
          <w:type w:val="nextPage"/>
          <w:pgSz w:w="12240" w:h="15840"/>
          <w:pgMar w:left="1440" w:right="1440" w:gutter="0" w:header="0" w:top="1440" w:footer="720" w:bottom="1440"/>
          <w:pgNumType w:start="1" w:fmt="decimal"/>
          <w:formProt w:val="false"/>
          <w:titlePg/>
          <w:textDirection w:val="lrTb"/>
          <w:docGrid w:type="default" w:linePitch="360" w:charSpace="0"/>
        </w:sectPr>
        <w:pStyle w:val="Footer"/>
        <w:tabs>
          <w:tab w:val="clear" w:pos="4320"/>
          <w:tab w:val="right" w:pos="5040" w:leader="none"/>
          <w:tab w:val="right" w:pos="8640" w:leader="dot"/>
        </w:tabs>
        <w:spacing w:lineRule="auto" w:line="360"/>
        <w:rPr/>
      </w:pPr>
      <w:r>
        <w:rPr/>
      </w:r>
    </w:p>
    <w:p>
      <w:pPr>
        <w:pStyle w:val="Title"/>
        <w:rPr/>
      </w:pPr>
      <w:r>
        <w:rPr/>
      </w:r>
    </w:p>
    <w:p>
      <w:pPr>
        <w:pStyle w:val="Title"/>
        <w:rPr/>
      </w:pPr>
      <w:r>
        <w:rPr/>
        <w:t xml:space="preserve">CERTIFICATE OF SERVICE  </w:t>
      </w:r>
    </w:p>
    <w:p>
      <w:pPr>
        <w:pStyle w:val="BodyText"/>
        <w:rPr/>
      </w:pPr>
      <w:r>
        <w:rPr/>
      </w:r>
    </w:p>
    <w:p>
      <w:pPr>
        <w:pStyle w:val="BodyText"/>
        <w:rPr/>
      </w:pPr>
      <w:r>
        <w:rPr/>
        <w:t xml:space="preserve">I hereby certify that I have this day served the foregoing document entitled </w:t>
      </w:r>
      <w:r>
        <w:rPr>
          <w:b/>
        </w:rPr>
        <w:t xml:space="preserve">“EMERGENCY PETITION OF THE OFFICE OF RATEPAYER ADVOCATES AND THE UTILITY REFORM NETWORK FOR MODIFICATION OF DECISION 97-08-055 AND RESOLUTION G-3288” </w:t>
      </w:r>
      <w:r>
        <w:rPr/>
        <w:t xml:space="preserve">upon all known parties of record by mailing by first-class mail, a copy thereof properly addressed to each party. </w:t>
      </w:r>
    </w:p>
    <w:p>
      <w:pPr>
        <w:pStyle w:val="BodyText"/>
        <w:rPr/>
      </w:pPr>
      <w:r>
        <w:rPr/>
        <w:t xml:space="preserve">Dated at San Francisco, California, this 16th day of January, 2001.      </w:t>
      </w:r>
    </w:p>
    <w:p>
      <w:pPr>
        <w:pStyle w:val="BodyText"/>
        <w:rPr/>
      </w:pPr>
      <w:r>
        <w:rPr/>
      </w:r>
    </w:p>
    <w:p>
      <w:pPr>
        <w:pStyle w:val="BodyText"/>
        <w:rPr/>
      </w:pPr>
      <w:r>
        <w:rPr/>
      </w:r>
    </w:p>
    <w:p>
      <w:pPr>
        <w:pStyle w:val="BodyText"/>
        <w:spacing w:lineRule="auto" w:line="240"/>
        <w:ind w:firstLine="4320" w:end="0"/>
        <w:rPr>
          <w:u w:val="single"/>
        </w:rPr>
      </w:pPr>
      <w:r>
        <w:rPr>
          <w:u w:val="single"/>
        </w:rPr>
        <w:tab/>
        <w:tab/>
        <w:tab/>
        <w:tab/>
        <w:tab/>
        <w:tab/>
      </w:r>
    </w:p>
    <w:p>
      <w:pPr>
        <w:pStyle w:val="BodyText"/>
        <w:spacing w:lineRule="auto" w:line="240"/>
        <w:ind w:firstLine="4320" w:end="0"/>
        <w:rPr/>
      </w:pPr>
      <w:r>
        <w:rPr/>
        <w:tab/>
        <w:t xml:space="preserve">   NELLY SARMIENTO</w:t>
      </w:r>
    </w:p>
    <w:p>
      <w:pPr>
        <w:pStyle w:val="BodyText"/>
        <w:spacing w:lineRule="auto" w:line="240"/>
        <w:ind w:firstLine="4320" w:end="0"/>
        <w:rPr>
          <w:u w:val="single"/>
        </w:rPr>
      </w:pPr>
      <w:r>
        <w:rPr>
          <w:u w:val="single"/>
        </w:rPr>
      </w:r>
    </w:p>
    <w:sectPr>
      <w:footerReference w:type="default" r:id="rId4"/>
      <w:footerReference w:type="first" r:id="rId5"/>
      <w:footnotePr>
        <w:numFmt w:val="decimal"/>
      </w:footnotePr>
      <w:type w:val="nextPage"/>
      <w:pgSz w:w="12240" w:h="15840"/>
      <w:pgMar w:left="1440" w:right="1440" w:gutter="0" w:header="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Palatino">
    <w:altName w:val="Book Antiqua"/>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8">
              <wp:simplePos x="0" y="0"/>
              <wp:positionH relativeFrom="margin">
                <wp:align>center</wp:align>
              </wp:positionH>
              <wp:positionV relativeFrom="paragraph">
                <wp:posOffset>635</wp:posOffset>
              </wp:positionV>
              <wp:extent cx="83185" cy="189865"/>
              <wp:effectExtent l="0" t="0" r="0" b="0"/>
              <wp:wrapSquare wrapText="bothSides"/>
              <wp:docPr id="1" name="Frame1"/>
              <a:graphic xmlns:a="http://schemas.openxmlformats.org/drawingml/2006/main">
                <a:graphicData uri="http://schemas.microsoft.com/office/word/2010/wordprocessingShape">
                  <wps:wsp>
                    <wps:cNvSpPr txBox="1"/>
                    <wps:spPr>
                      <a:xfrm>
                        <a:off x="0" y="0"/>
                        <a:ext cx="83185" cy="18986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55pt;height:14.95pt;mso-wrap-distance-left:0pt;mso-wrap-distance-right:0pt;mso-wrap-distance-top:0pt;mso-wrap-distance-bottom:0pt;margin-top:0.05pt;mso-position-vertical-relative:text;margin-left:230.7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93345" cy="20955"/>
              <wp:effectExtent l="0" t="0" r="0" b="0"/>
              <wp:wrapSquare wrapText="bothSides"/>
              <wp:docPr id="2" name="Frame2"/>
              <a:graphic xmlns:a="http://schemas.openxmlformats.org/drawingml/2006/main">
                <a:graphicData uri="http://schemas.microsoft.com/office/word/2010/wordprocessingShape">
                  <wps:wsp>
                    <wps:cNvSpPr txBox="1"/>
                    <wps:spPr>
                      <a:xfrm>
                        <a:off x="0" y="0"/>
                        <a:ext cx="93345" cy="20955"/>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7.35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widowControl w:val="false"/>
        <w:spacing w:lineRule="exact" w:line="240" w:before="0" w:after="120"/>
        <w:rPr/>
      </w:pPr>
      <w:r>
        <w:rPr>
          <w:rStyle w:val="FootnoteCharacters"/>
        </w:rPr>
        <w:footnoteRef/>
      </w:r>
      <w:r>
        <w:rPr/>
        <w:t xml:space="preserve"> </w:t>
      </w:r>
      <w:r>
        <w:rPr/>
        <w:t>ORA has been authorized to sigh this Petition on behalf of TURN.</w:t>
      </w:r>
    </w:p>
  </w:footnote>
  <w:footnote w:id="3">
    <w:p>
      <w:pPr>
        <w:pStyle w:val="FootnoteText"/>
        <w:widowControl w:val="false"/>
        <w:spacing w:lineRule="exact" w:line="240" w:before="0" w:after="120"/>
        <w:rPr/>
      </w:pPr>
      <w:r>
        <w:rPr>
          <w:rStyle w:val="FootnoteCharacters"/>
        </w:rPr>
        <w:footnoteRef/>
      </w:r>
      <w:r>
        <w:rPr/>
        <w:t xml:space="preserve"> </w:t>
      </w:r>
      <w:r>
        <w:rPr/>
        <w:t>Pages 26 – 28 of the Gas Accord Settlement Agreement, attached as Appendix B to D.97-08-055.</w:t>
      </w:r>
    </w:p>
  </w:footnote>
  <w:footnote w:id="4">
    <w:p>
      <w:pPr>
        <w:pStyle w:val="FootnoteText"/>
        <w:widowControl w:val="false"/>
        <w:spacing w:lineRule="exact" w:line="240" w:before="0" w:after="120"/>
        <w:rPr/>
      </w:pPr>
      <w:r>
        <w:rPr>
          <w:rStyle w:val="FootnoteCharacters"/>
        </w:rPr>
        <w:footnoteRef/>
      </w:r>
      <w:r>
        <w:rPr/>
        <w:t xml:space="preserve"> </w:t>
      </w:r>
      <w:r>
        <w:rPr/>
        <w:t>See Attached letter from Gordon R. Smith of PG&amp;E to The Honorable Gray Davis, Governor, dated January 9, 2001.  Government Code Section 8558 defines a “state of emergency” to include a “sudden and severe energy shortage”.  Under a state of emergency the Governor’s powers include suspending the orders, rules and regulations of any state agency.  (Government Code Section 8571)</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upperRoman"/>
      <w:lvlText w:val="%1."/>
      <w:lvlJc w:val="start"/>
      <w:pPr>
        <w:tabs>
          <w:tab w:val="num" w:pos="720"/>
        </w:tabs>
        <w:ind w:start="720" w:hanging="720"/>
      </w:pPr>
    </w:lvl>
    <w:lvl w:ilvl="1">
      <w:start w:val="1"/>
      <w:numFmt w:val="upperLetter"/>
      <w:lvlText w:val="%2."/>
      <w:lvlJc w:val="start"/>
      <w:pPr>
        <w:tabs>
          <w:tab w:val="num" w:pos="720"/>
        </w:tabs>
        <w:ind w:start="1440" w:hanging="720"/>
      </w:pPr>
    </w:lvl>
    <w:lvl w:ilvl="2">
      <w:start w:val="1"/>
      <w:pStyle w:val="Heading3"/>
      <w:numFmt w:val="decimal"/>
      <w:lvlText w:val="%3."/>
      <w:lvlJc w:val="start"/>
      <w:pPr>
        <w:tabs>
          <w:tab w:val="num" w:pos="720"/>
        </w:tabs>
        <w:ind w:start="2160" w:hanging="720"/>
      </w:pPr>
    </w:lvl>
    <w:lvl w:ilvl="3">
      <w:start w:val="1"/>
      <w:pStyle w:val="Heading4"/>
      <w:numFmt w:val="lowerLetter"/>
      <w:lvlText w:val="%4)"/>
      <w:lvlJc w:val="start"/>
      <w:pPr>
        <w:tabs>
          <w:tab w:val="num" w:pos="720"/>
        </w:tabs>
        <w:ind w:start="2880" w:hanging="720"/>
      </w:pPr>
    </w:lvl>
    <w:lvl w:ilvl="4">
      <w:start w:val="1"/>
      <w:pStyle w:val="Heading5"/>
      <w:numFmt w:val="decimal"/>
      <w:lvlText w:val="(%5)"/>
      <w:lvlJc w:val="start"/>
      <w:pPr>
        <w:tabs>
          <w:tab w:val="num" w:pos="720"/>
        </w:tabs>
        <w:ind w:start="2880" w:hanging="720"/>
      </w:pPr>
    </w:lvl>
    <w:lvl w:ilvl="5">
      <w:start w:val="1"/>
      <w:pStyle w:val="Heading6"/>
      <w:numFmt w:val="lowerLetter"/>
      <w:lvlText w:val="(%6)"/>
      <w:lvlJc w:val="start"/>
      <w:pPr>
        <w:tabs>
          <w:tab w:val="num" w:pos="720"/>
        </w:tabs>
        <w:ind w:start="4320" w:hanging="720"/>
      </w:pPr>
    </w:lvl>
    <w:lvl w:ilvl="6">
      <w:start w:val="1"/>
      <w:pStyle w:val="Heading7"/>
      <w:numFmt w:val="lowerRoman"/>
      <w:lvlText w:val="(%7)"/>
      <w:lvlJc w:val="start"/>
      <w:pPr>
        <w:tabs>
          <w:tab w:val="num" w:pos="720"/>
        </w:tabs>
        <w:ind w:start="5040" w:hanging="720"/>
      </w:pPr>
    </w:lvl>
    <w:lvl w:ilvl="7">
      <w:start w:val="1"/>
      <w:pStyle w:val="Heading8"/>
      <w:numFmt w:val="lowerLetter"/>
      <w:lvlText w:val="(%8)"/>
      <w:lvlJc w:val="start"/>
      <w:pPr>
        <w:tabs>
          <w:tab w:val="num" w:pos="720"/>
        </w:tabs>
        <w:ind w:start="5760" w:hanging="720"/>
      </w:pPr>
    </w:lvl>
    <w:lvl w:ilvl="8">
      <w:start w:val="1"/>
      <w:pStyle w:val="Heading9"/>
      <w:numFmt w:val="lowerRoman"/>
      <w:lvlText w:val="(%9)"/>
      <w:lvlJc w:val="start"/>
      <w:pPr>
        <w:tabs>
          <w:tab w:val="num" w:pos="720"/>
        </w:tabs>
        <w:ind w:start="6480" w:hanging="720"/>
      </w:pPr>
    </w:lvl>
  </w:abstractNum>
  <w:abstractNum w:abstractNumId="2">
    <w:lvl w:ilvl="0">
      <w:start w:val="1"/>
      <w:numFmt w:val="decimal"/>
      <w:lvlText w:val="%1)"/>
      <w:lvlJc w:val="start"/>
      <w:pPr>
        <w:tabs>
          <w:tab w:val="num" w:pos="1080"/>
        </w:tabs>
        <w:ind w:start="1080" w:hanging="360"/>
      </w:pPr>
      <w:rPr/>
    </w:lvl>
  </w:abstractNum>
  <w:abstractNum w:abstractNumId="3">
    <w:lvl w:ilvl="0">
      <w:start w:val="1"/>
      <w:numFmt w:val="upperRoman"/>
      <w:lvlText w:val="%1."/>
      <w:lvlJc w:val="start"/>
      <w:pPr>
        <w:tabs>
          <w:tab w:val="num" w:pos="720"/>
        </w:tabs>
        <w:ind w:start="720" w:hanging="720"/>
      </w:pPr>
    </w:lvl>
  </w:abstractNum>
  <w:abstractNum w:abstractNumId="4">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
    <w:lvl w:ilvl="0">
      <w:start w:val="1"/>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75"/>
  <w:revisionView w:insDel="0" w:formatting="0"/>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right" w:pos="5040" w:leader="none"/>
      </w:tabs>
      <w:bidi w:val="0"/>
    </w:pPr>
    <w:rPr>
      <w:rFonts w:ascii="Times New Roman" w:hAnsi="Times New Roman" w:eastAsia="Times New Roman" w:cs="Times New Roman"/>
      <w:color w:val="auto"/>
      <w:sz w:val="26"/>
      <w:szCs w:val="20"/>
      <w:lang w:val="en-US" w:bidi="ar-SA" w:eastAsia="zh-CN"/>
    </w:rPr>
  </w:style>
  <w:style w:type="paragraph" w:styleId="Heading1">
    <w:name w:val="heading 1"/>
    <w:basedOn w:val="BodyText"/>
    <w:next w:val="BodyText"/>
    <w:qFormat/>
    <w:pPr>
      <w:keepNext w:val="true"/>
      <w:keepLines/>
      <w:numPr>
        <w:ilvl w:val="0"/>
        <w:numId w:val="3"/>
      </w:numPr>
      <w:tabs>
        <w:tab w:val="clear" w:pos="720"/>
        <w:tab w:val="right" w:pos="8640" w:leader="dot"/>
      </w:tabs>
      <w:spacing w:lineRule="auto" w:line="240" w:before="120" w:after="120"/>
      <w:ind w:firstLine="720" w:start="0" w:end="720"/>
      <w:outlineLvl w:val="0"/>
    </w:pPr>
    <w:rPr>
      <w:b/>
      <w:kern w:val="2"/>
    </w:rPr>
  </w:style>
  <w:style w:type="paragraph" w:styleId="Heading2">
    <w:name w:val="heading 2"/>
    <w:basedOn w:val="BodyText"/>
    <w:next w:val="BodyText"/>
    <w:qFormat/>
    <w:pPr>
      <w:keepNext w:val="true"/>
      <w:tabs>
        <w:tab w:val="left" w:pos="720" w:leader="none"/>
      </w:tabs>
      <w:spacing w:lineRule="auto" w:line="240" w:before="120" w:after="120"/>
      <w:ind w:firstLine="360" w:start="0" w:end="1440"/>
      <w:outlineLvl w:val="1"/>
    </w:pPr>
    <w:rPr>
      <w:b/>
    </w:rPr>
  </w:style>
  <w:style w:type="paragraph" w:styleId="Heading3">
    <w:name w:val="heading 3"/>
    <w:basedOn w:val="BodyText"/>
    <w:next w:val="BodyText"/>
    <w:qFormat/>
    <w:pPr>
      <w:keepNext w:val="true"/>
      <w:numPr>
        <w:ilvl w:val="2"/>
        <w:numId w:val="1"/>
      </w:numPr>
      <w:spacing w:lineRule="auto" w:line="240" w:before="120" w:after="120"/>
      <w:ind w:firstLine="720" w:start="0" w:end="1440"/>
      <w:outlineLvl w:val="2"/>
    </w:pPr>
    <w:rPr>
      <w:b/>
    </w:rPr>
  </w:style>
  <w:style w:type="paragraph" w:styleId="Heading4">
    <w:name w:val="heading 4"/>
    <w:basedOn w:val="BodyText"/>
    <w:next w:val="BodyText"/>
    <w:qFormat/>
    <w:pPr>
      <w:keepNext w:val="true"/>
      <w:numPr>
        <w:ilvl w:val="3"/>
        <w:numId w:val="1"/>
      </w:numPr>
      <w:spacing w:lineRule="auto" w:line="240" w:before="120" w:after="120"/>
      <w:ind w:firstLine="720" w:start="0" w:end="1440"/>
      <w:outlineLvl w:val="3"/>
    </w:pPr>
    <w:rPr>
      <w:i/>
    </w:rPr>
  </w:style>
  <w:style w:type="paragraph" w:styleId="Heading5">
    <w:name w:val="heading 5"/>
    <w:basedOn w:val="Normal"/>
    <w:next w:val="Normal"/>
    <w:qFormat/>
    <w:pPr>
      <w:numPr>
        <w:ilvl w:val="4"/>
        <w:numId w:val="1"/>
      </w:numPr>
      <w:spacing w:before="120" w:after="120"/>
      <w:outlineLvl w:val="4"/>
    </w:pPr>
    <w:rPr>
      <w:rFonts w:ascii="Arial" w:hAnsi="Arial" w:cs="Arial"/>
      <w:sz w:val="22"/>
    </w:rPr>
  </w:style>
  <w:style w:type="paragraph" w:styleId="Heading6">
    <w:name w:val="heading 6"/>
    <w:basedOn w:val="Normal"/>
    <w:next w:val="Normal"/>
    <w:qFormat/>
    <w:pPr>
      <w:numPr>
        <w:ilvl w:val="5"/>
        <w:numId w:val="1"/>
      </w:numPr>
      <w:spacing w:before="240" w:after="60"/>
      <w:outlineLvl w:val="5"/>
    </w:pPr>
    <w:rPr>
      <w:rFonts w:ascii="Arial" w:hAnsi="Arial" w:cs="Arial"/>
      <w:i/>
      <w:sz w:val="22"/>
    </w:rPr>
  </w:style>
  <w:style w:type="paragraph" w:styleId="Heading7">
    <w:name w:val="heading 7"/>
    <w:basedOn w:val="Normal"/>
    <w:next w:val="Normal"/>
    <w:qFormat/>
    <w:pPr>
      <w:numPr>
        <w:ilvl w:val="6"/>
        <w:numId w:val="1"/>
      </w:numPr>
      <w:spacing w:before="240" w:after="60"/>
      <w:outlineLvl w:val="6"/>
    </w:pPr>
    <w:rPr>
      <w:rFonts w:ascii="Arial" w:hAnsi="Arial" w:cs="Arial"/>
    </w:rPr>
  </w:style>
  <w:style w:type="paragraph" w:styleId="Heading8">
    <w:name w:val="heading 8"/>
    <w:basedOn w:val="Normal"/>
    <w:next w:val="Normal"/>
    <w:qFormat/>
    <w:pPr>
      <w:numPr>
        <w:ilvl w:val="7"/>
        <w:numId w:val="1"/>
      </w:numPr>
      <w:spacing w:before="240" w:after="60"/>
      <w:outlineLvl w:val="7"/>
    </w:pPr>
    <w:rPr>
      <w:rFonts w:ascii="Arial" w:hAnsi="Arial" w:cs="Arial"/>
      <w:i/>
    </w:rPr>
  </w:style>
  <w:style w:type="paragraph" w:styleId="Heading9">
    <w:name w:val="heading 9"/>
    <w:basedOn w:val="Normal"/>
    <w:next w:val="Normal"/>
    <w:qFormat/>
    <w:pPr>
      <w:numPr>
        <w:ilvl w:val="8"/>
        <w:numId w:val="1"/>
      </w:numPr>
      <w:spacing w:before="240" w:after="60"/>
      <w:outlineLvl w:val="8"/>
    </w:pPr>
    <w:rPr>
      <w:rFonts w:ascii="Arial" w:hAnsi="Arial" w:cs="Arial"/>
      <w:i/>
      <w:sz w:val="18"/>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11z0">
    <w:name w:val="WW8Num11z0"/>
    <w:qFormat/>
    <w:rPr>
      <w:rFonts w:ascii="Symbol" w:hAnsi="Symbol" w:cs="Symbol"/>
    </w:rPr>
  </w:style>
  <w:style w:type="character" w:styleId="WW8Num12z0">
    <w:name w:val="WW8Num12z0"/>
    <w:qFormat/>
    <w:rPr/>
  </w:style>
  <w:style w:type="character" w:styleId="WW8Num15z0">
    <w:name w:val="WW8Num15z0"/>
    <w:qFormat/>
    <w:rPr>
      <w:rFonts w:ascii="Symbol" w:hAnsi="Symbol" w:cs="Symbol"/>
    </w:rPr>
  </w:style>
  <w:style w:type="character" w:styleId="WW8Num16z0">
    <w:name w:val="WW8Num16z0"/>
    <w:qFormat/>
    <w:rPr>
      <w:rFonts w:ascii="Symbol" w:hAnsi="Symbol" w:cs="Symbol"/>
    </w:rPr>
  </w:style>
  <w:style w:type="character" w:styleId="WW8Num17z0">
    <w:name w:val="WW8Num17z0"/>
    <w:qFormat/>
    <w:rPr/>
  </w:style>
  <w:style w:type="character" w:styleId="WW8Num21z0">
    <w:name w:val="WW8Num21z0"/>
    <w:qFormat/>
    <w:rPr/>
  </w:style>
  <w:style w:type="character" w:styleId="WW8Num22z0">
    <w:name w:val="WW8Num22z0"/>
    <w:qFormat/>
    <w:rPr/>
  </w:style>
  <w:style w:type="character" w:styleId="WW8Num25z0">
    <w:name w:val="WW8Num25z0"/>
    <w:qFormat/>
    <w:rPr/>
  </w:style>
  <w:style w:type="character" w:styleId="WW8Num28z0">
    <w:name w:val="WW8Num28z0"/>
    <w:qFormat/>
    <w:rPr/>
  </w:style>
  <w:style w:type="character" w:styleId="WW8Num29z0">
    <w:name w:val="WW8Num29z0"/>
    <w:qFormat/>
    <w:rPr>
      <w:rFonts w:ascii="Symbol" w:hAnsi="Symbol" w:cs="Symbol"/>
    </w:rPr>
  </w:style>
  <w:style w:type="character" w:styleId="WW8Num30z0">
    <w:name w:val="WW8Num30z0"/>
    <w:qFormat/>
    <w:rPr>
      <w:rFonts w:ascii="Symbol" w:hAnsi="Symbol" w:cs="Symbol"/>
    </w:rPr>
  </w:style>
  <w:style w:type="character" w:styleId="DefaultParagraphFont">
    <w:name w:val="Default Paragraph Font"/>
    <w:qFormat/>
    <w:rPr/>
  </w:style>
  <w:style w:type="character" w:styleId="FootnoteCharacters">
    <w:name w:val="Footnote Characters"/>
    <w:basedOn w:val="DefaultParagraphFont"/>
    <w:qFormat/>
    <w:rPr>
      <w:b/>
      <w:sz w:val="32"/>
      <w:u w:val="single"/>
      <w:vertAlign w:val="superscript"/>
    </w:rPr>
  </w:style>
  <w:style w:type="character" w:styleId="PageNumber">
    <w:name w:val="page number"/>
    <w:basedOn w:val="DefaultParagraphFont"/>
    <w:rPr/>
  </w:style>
  <w:style w:type="character" w:styleId="LineNumber">
    <w:name w:val="line number"/>
    <w:basedOn w:val="DefaultParagraphFon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Heading1"/>
    <w:next w:val="BodyText"/>
    <w:qFormat/>
    <w:pPr>
      <w:numPr>
        <w:ilvl w:val="0"/>
        <w:numId w:val="3"/>
      </w:numPr>
      <w:ind w:hanging="0" w:start="0" w:end="720"/>
      <w:outlineLvl w:val="9"/>
    </w:pPr>
    <w:rPr>
      <w:spacing w:val="-20"/>
      <w:sz w:val="24"/>
    </w:rPr>
  </w:style>
  <w:style w:type="paragraph" w:styleId="BodyText">
    <w:name w:val="Body Text"/>
    <w:pPr>
      <w:widowControl/>
      <w:bidi w:val="0"/>
      <w:spacing w:lineRule="auto" w:line="360"/>
      <w:ind w:firstLine="720" w:start="0" w:end="0"/>
    </w:pPr>
    <w:rPr>
      <w:rFonts w:ascii="Times New Roman" w:hAnsi="Times New Roman" w:eastAsia="Times New Roman" w:cs="Times New Roman"/>
      <w:color w:val="auto"/>
      <w:sz w:val="26"/>
      <w:szCs w:val="20"/>
      <w:lang w:val="en-US" w:bidi="ar-SA" w:eastAsia="zh-CN"/>
    </w:rPr>
  </w:style>
  <w:style w:type="paragraph" w:styleId="List">
    <w:name w:val="List"/>
    <w:basedOn w:val="BodyText"/>
    <w:pPr/>
    <w:rPr>
      <w:rFonts w:cs="NotoSans NF"/>
    </w:rPr>
  </w:style>
  <w:style w:type="paragraph" w:styleId="Caption">
    <w:name w:val="caption"/>
    <w:basedOn w:val="BodyText"/>
    <w:qFormat/>
    <w:pPr>
      <w:tabs>
        <w:tab w:val="clear" w:pos="720"/>
        <w:tab w:val="left" w:pos="4320" w:leader="none"/>
        <w:tab w:val="left" w:pos="5040" w:leader="none"/>
      </w:tabs>
      <w:spacing w:lineRule="auto" w:line="240"/>
      <w:ind w:hanging="0" w:start="0" w:end="0"/>
    </w:pPr>
    <w:rPr/>
  </w:style>
  <w:style w:type="paragraph" w:styleId="Index">
    <w:name w:val="Index"/>
    <w:basedOn w:val="Normal"/>
    <w:qFormat/>
    <w:pPr>
      <w:suppressLineNumbers/>
    </w:pPr>
    <w:rPr>
      <w:rFonts w:cs="NotoSans NF"/>
    </w:rPr>
  </w:style>
  <w:style w:type="paragraph" w:styleId="FootnoteText">
    <w:name w:val="footnote text"/>
    <w:basedOn w:val="Normal"/>
    <w:pPr>
      <w:widowControl w:val="false"/>
      <w:spacing w:lineRule="exact" w:line="240" w:before="0" w:after="120"/>
    </w:pPr>
    <w:rPr>
      <w:sz w:val="22"/>
    </w:rPr>
  </w:style>
  <w:style w:type="paragraph" w:styleId="HeaderandFooter">
    <w:name w:val="Header and Footer"/>
    <w:basedOn w:val="Normal"/>
    <w:qFormat/>
    <w:pPr>
      <w:suppressLineNumbers/>
      <w:tabs>
        <w:tab w:val="clear" w:pos="5040"/>
        <w:tab w:val="center" w:pos="4986" w:leader="none"/>
        <w:tab w:val="right" w:pos="9972" w:leader="none"/>
      </w:tabs>
    </w:pPr>
    <w:rPr/>
  </w:style>
  <w:style w:type="paragraph" w:styleId="Footer">
    <w:name w:val="footer"/>
    <w:basedOn w:val="Normal"/>
    <w:pPr>
      <w:tabs>
        <w:tab w:val="center" w:pos="4320" w:leader="none"/>
        <w:tab w:val="right" w:pos="5040" w:leader="none"/>
        <w:tab w:val="right" w:pos="8640" w:leader="none"/>
      </w:tabs>
    </w:pPr>
    <w:rPr/>
  </w:style>
  <w:style w:type="paragraph" w:styleId="TOC1">
    <w:name w:val="toc 1"/>
    <w:basedOn w:val="Normal"/>
    <w:next w:val="Normal"/>
    <w:pPr>
      <w:keepNext w:val="true"/>
      <w:tabs>
        <w:tab w:val="clear" w:pos="5040"/>
        <w:tab w:val="left" w:pos="180" w:leader="dot"/>
        <w:tab w:val="left" w:pos="864" w:leader="none"/>
        <w:tab w:val="right" w:pos="8640" w:leader="dot"/>
      </w:tabs>
      <w:suppressAutoHyphens w:val="true"/>
      <w:spacing w:before="120" w:after="120"/>
      <w:ind w:hanging="245" w:start="245" w:end="1440"/>
      <w:jc w:val="both"/>
    </w:pPr>
    <w:rPr>
      <w:b/>
      <w:caps/>
      <w:lang w:val="en-CA" w:eastAsia="en-CA"/>
    </w:rPr>
  </w:style>
  <w:style w:type="paragraph" w:styleId="TOC2">
    <w:name w:val="toc 2"/>
    <w:basedOn w:val="Normal"/>
    <w:next w:val="Normal"/>
    <w:pPr>
      <w:tabs>
        <w:tab w:val="right" w:pos="5040" w:leader="dot"/>
        <w:tab w:val="right" w:pos="8640" w:leader="dot"/>
      </w:tabs>
      <w:suppressAutoHyphens w:val="true"/>
      <w:spacing w:before="0" w:after="120"/>
      <w:ind w:hanging="288" w:start="720" w:end="1440"/>
    </w:pPr>
    <w:rPr>
      <w:smallCaps/>
      <w:lang w:val="en-CA" w:eastAsia="en-CA"/>
    </w:rPr>
  </w:style>
  <w:style w:type="paragraph" w:styleId="TOC3">
    <w:name w:val="toc 3"/>
    <w:basedOn w:val="Normal"/>
    <w:next w:val="Normal"/>
    <w:pPr>
      <w:tabs>
        <w:tab w:val="clear" w:pos="5040"/>
        <w:tab w:val="right" w:pos="8640" w:leader="dot"/>
      </w:tabs>
      <w:spacing w:before="0" w:after="120"/>
      <w:ind w:hanging="245" w:start="1109" w:end="1440"/>
    </w:pPr>
    <w:rPr>
      <w:lang w:val="en-CA" w:eastAsia="en-CA"/>
    </w:rPr>
  </w:style>
  <w:style w:type="paragraph" w:styleId="TOC4">
    <w:name w:val="toc 4"/>
    <w:basedOn w:val="Normal"/>
    <w:next w:val="Normal"/>
    <w:pPr>
      <w:tabs>
        <w:tab w:val="clear" w:pos="5040"/>
        <w:tab w:val="right" w:pos="8640" w:leader="dot"/>
      </w:tabs>
      <w:ind w:hanging="475" w:start="1627" w:end="0"/>
    </w:pPr>
    <w:rPr/>
  </w:style>
  <w:style w:type="paragraph" w:styleId="TOC5">
    <w:name w:val="toc 5"/>
    <w:basedOn w:val="Normal"/>
    <w:next w:val="Normal"/>
    <w:pPr>
      <w:tabs>
        <w:tab w:val="right" w:pos="5040" w:leader="none"/>
        <w:tab w:val="right" w:pos="8640" w:leader="dot"/>
      </w:tabs>
      <w:ind w:hanging="0" w:start="720" w:end="0"/>
    </w:pPr>
    <w:rPr>
      <w:sz w:val="18"/>
    </w:rPr>
  </w:style>
  <w:style w:type="paragraph" w:styleId="TOC6">
    <w:name w:val="toc 6"/>
    <w:basedOn w:val="Normal"/>
    <w:next w:val="Normal"/>
    <w:pPr>
      <w:tabs>
        <w:tab w:val="right" w:pos="5040" w:leader="none"/>
        <w:tab w:val="right" w:pos="8640" w:leader="dot"/>
      </w:tabs>
      <w:ind w:hanging="0" w:start="960" w:end="0"/>
    </w:pPr>
    <w:rPr>
      <w:sz w:val="18"/>
    </w:rPr>
  </w:style>
  <w:style w:type="paragraph" w:styleId="TOC7">
    <w:name w:val="toc 7"/>
    <w:basedOn w:val="Normal"/>
    <w:next w:val="Normal"/>
    <w:pPr>
      <w:tabs>
        <w:tab w:val="right" w:pos="5040" w:leader="none"/>
        <w:tab w:val="right" w:pos="8640" w:leader="dot"/>
      </w:tabs>
      <w:ind w:hanging="0" w:start="1200" w:end="0"/>
    </w:pPr>
    <w:rPr>
      <w:sz w:val="18"/>
    </w:rPr>
  </w:style>
  <w:style w:type="paragraph" w:styleId="TOC8">
    <w:name w:val="toc 8"/>
    <w:basedOn w:val="Normal"/>
    <w:next w:val="Normal"/>
    <w:pPr>
      <w:tabs>
        <w:tab w:val="right" w:pos="5040" w:leader="none"/>
        <w:tab w:val="right" w:pos="8640" w:leader="dot"/>
      </w:tabs>
      <w:ind w:hanging="0" w:start="1440" w:end="0"/>
    </w:pPr>
    <w:rPr>
      <w:sz w:val="18"/>
    </w:rPr>
  </w:style>
  <w:style w:type="paragraph" w:styleId="TOC9">
    <w:name w:val="toc 9"/>
    <w:basedOn w:val="Normal"/>
    <w:next w:val="Normal"/>
    <w:pPr>
      <w:tabs>
        <w:tab w:val="right" w:pos="5040" w:leader="none"/>
        <w:tab w:val="right" w:pos="8640" w:leader="dot"/>
      </w:tabs>
      <w:ind w:hanging="0" w:start="1680" w:end="0"/>
    </w:pPr>
    <w:rPr>
      <w:sz w:val="18"/>
    </w:rPr>
  </w:style>
  <w:style w:type="paragraph" w:styleId="Header">
    <w:name w:val="header"/>
    <w:basedOn w:val="Normal"/>
    <w:pPr>
      <w:tabs>
        <w:tab w:val="center" w:pos="4320" w:leader="none"/>
        <w:tab w:val="right" w:pos="5040" w:leader="none"/>
        <w:tab w:val="right" w:pos="8640" w:leader="none"/>
      </w:tabs>
    </w:pPr>
    <w:rPr/>
  </w:style>
  <w:style w:type="paragraph" w:styleId="Quotation">
    <w:name w:val="Quotation"/>
    <w:basedOn w:val="BodyText"/>
    <w:next w:val="BodyText"/>
    <w:qFormat/>
    <w:pPr>
      <w:spacing w:lineRule="auto" w:line="240" w:before="0" w:after="120"/>
      <w:ind w:hanging="0" w:start="1440" w:end="1440"/>
    </w:pPr>
    <w:rPr/>
  </w:style>
  <w:style w:type="paragraph" w:styleId="TableofAuthorities">
    <w:name w:val="Table of Authorities"/>
    <w:basedOn w:val="Normal"/>
    <w:next w:val="Normal"/>
    <w:qFormat/>
    <w:pPr>
      <w:tabs>
        <w:tab w:val="right" w:pos="5040" w:leader="none"/>
        <w:tab w:val="right" w:pos="8640" w:leader="dot"/>
      </w:tabs>
      <w:ind w:hanging="245" w:start="245" w:end="1440"/>
    </w:pPr>
    <w:rPr>
      <w:i/>
      <w:lang w:val="en-CA" w:eastAsia="en-CA"/>
    </w:rPr>
  </w:style>
  <w:style w:type="paragraph" w:styleId="ListNumber3">
    <w:name w:val="List Number 3"/>
    <w:basedOn w:val="Normal"/>
    <w:qFormat/>
    <w:pPr>
      <w:numPr>
        <w:ilvl w:val="0"/>
        <w:numId w:val="4"/>
      </w:numPr>
      <w:ind w:hanging="360" w:start="1080" w:end="0"/>
    </w:pPr>
    <w:rPr/>
  </w:style>
  <w:style w:type="paragraph" w:styleId="TOAHeading">
    <w:name w:val="TOA Heading"/>
    <w:basedOn w:val="ListNumber3"/>
    <w:next w:val="Normal"/>
    <w:qFormat/>
    <w:pPr>
      <w:spacing w:before="240" w:after="120"/>
      <w:ind w:hanging="0" w:start="0" w:end="0"/>
    </w:pPr>
    <w:rPr>
      <w:b/>
      <w:smallCaps/>
    </w:rPr>
  </w:style>
  <w:style w:type="paragraph" w:styleId="BriefHeading">
    <w:name w:val="Brief Heading"/>
    <w:basedOn w:val="Normal"/>
    <w:qFormat/>
    <w:pPr>
      <w:jc w:val="center"/>
    </w:pPr>
    <w:rPr>
      <w:smallCaps/>
      <w:sz w:val="28"/>
    </w:rPr>
  </w:style>
  <w:style w:type="paragraph" w:styleId="Signature">
    <w:name w:val="Signature"/>
    <w:basedOn w:val="BodyText"/>
    <w:pPr>
      <w:keepNext w:val="true"/>
      <w:keepLines/>
      <w:spacing w:lineRule="auto" w:line="240"/>
      <w:ind w:firstLine="720" w:start="4320" w:end="0"/>
    </w:pPr>
    <w:rPr/>
  </w:style>
  <w:style w:type="paragraph" w:styleId="ListBullet">
    <w:name w:val="List Bullet"/>
    <w:basedOn w:val="Normal"/>
    <w:qFormat/>
    <w:pPr>
      <w:numPr>
        <w:ilvl w:val="0"/>
        <w:numId w:val="5"/>
      </w:numPr>
      <w:spacing w:before="0" w:after="120"/>
      <w:ind w:hanging="360" w:start="360" w:end="0"/>
    </w:pPr>
    <w:rPr/>
  </w:style>
  <w:style w:type="paragraph" w:styleId="BriefTitle">
    <w:name w:val="Brief Title"/>
    <w:basedOn w:val="Normal"/>
    <w:qFormat/>
    <w:pPr>
      <w:jc w:val="center"/>
    </w:pPr>
    <w:rPr>
      <w:b/>
      <w:caps/>
    </w:rPr>
  </w:style>
  <w:style w:type="paragraph" w:styleId="BodyTextIndent">
    <w:name w:val="Body Text Indent"/>
    <w:basedOn w:val="Normal"/>
    <w:pPr>
      <w:tabs>
        <w:tab w:val="clear" w:pos="5040"/>
      </w:tabs>
      <w:ind w:firstLine="720" w:start="0" w:end="0"/>
    </w:pPr>
    <w:rPr>
      <w:sz w:val="28"/>
    </w:rPr>
  </w:style>
  <w:style w:type="paragraph" w:styleId="BodyTextIndent2">
    <w:name w:val="Body Text Indent 2"/>
    <w:basedOn w:val="Normal"/>
    <w:qFormat/>
    <w:pPr>
      <w:tabs>
        <w:tab w:val="clear" w:pos="5040"/>
      </w:tabs>
      <w:ind w:hanging="0" w:start="720" w:end="0"/>
    </w:pPr>
    <w:rPr>
      <w:sz w:val="28"/>
    </w:rPr>
  </w:style>
  <w:style w:type="paragraph" w:styleId="BodyTextIndent3">
    <w:name w:val="Body Text Indent 3"/>
    <w:basedOn w:val="Normal"/>
    <w:qFormat/>
    <w:pPr>
      <w:tabs>
        <w:tab w:val="clear" w:pos="5040"/>
      </w:tabs>
      <w:ind w:hanging="0" w:start="720" w:end="0"/>
    </w:pPr>
    <w:rPr>
      <w:sz w:val="28"/>
      <w:u w:val="single"/>
    </w:rPr>
  </w:style>
  <w:style w:type="paragraph" w:styleId="BodyText2">
    <w:name w:val="Body Text 2"/>
    <w:basedOn w:val="Normal"/>
    <w:qFormat/>
    <w:pPr>
      <w:tabs>
        <w:tab w:val="clear" w:pos="5040"/>
      </w:tabs>
    </w:pPr>
    <w:rPr/>
  </w:style>
  <w:style w:type="paragraph" w:styleId="BodyText3">
    <w:name w:val="Body Text 3"/>
    <w:basedOn w:val="Normal"/>
    <w:qFormat/>
    <w:pPr>
      <w:spacing w:lineRule="auto" w:line="360"/>
    </w:pPr>
    <w:rPr>
      <w:b/>
      <w:sz w:val="28"/>
    </w:rPr>
  </w:style>
  <w:style w:type="paragraph" w:styleId="Title">
    <w:name w:val="Title"/>
    <w:basedOn w:val="Normal"/>
    <w:next w:val="BodyText"/>
    <w:qFormat/>
    <w:pPr>
      <w:tabs>
        <w:tab w:val="clear" w:pos="5040"/>
      </w:tabs>
      <w:jc w:val="center"/>
    </w:pPr>
    <w:rPr>
      <w:b/>
      <w:sz w:val="28"/>
      <w:u w:val="single"/>
    </w:rPr>
  </w:style>
  <w:style w:type="paragraph" w:styleId="num1">
    <w:name w:val="num1"/>
    <w:basedOn w:val="Normal"/>
    <w:qFormat/>
    <w:pPr>
      <w:numPr>
        <w:ilvl w:val="0"/>
        <w:numId w:val="6"/>
      </w:numPr>
      <w:tabs>
        <w:tab w:val="clear" w:pos="5040"/>
        <w:tab w:val="left" w:pos="-720" w:leader="none"/>
      </w:tabs>
      <w:suppressAutoHyphens w:val="true"/>
      <w:spacing w:lineRule="auto" w:line="360"/>
      <w:ind w:firstLine="360" w:start="0" w:end="0"/>
    </w:pPr>
    <w:rPr>
      <w:rFonts w:ascii="Palatino;Book Antiqua" w:hAnsi="Palatino;Book Antiqua" w:cs="Palatino;Book Antiqua"/>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StyleNum">
    <w:name w:val="WW8StyleNum"/>
    <w:qFormat/>
  </w:style>
  <w:style w:type="numbering" w:styleId="WW8StyleNum1">
    <w:name w:val="WW8StyleNum1"/>
    <w:qFormat/>
  </w:style>
  <w:style w:type="numbering" w:styleId="WW8StyleNum2">
    <w:name w:val="WW8Style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notes" Target="footnotes.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SHORT Brief or Pleading (ORA) V1a.dot</Template>
  <TotalTime>203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2001-01-16T16:02:00Z</dcterms:created>
  <dc:creator>Janice Grau</dc:creator>
  <dc:description/>
  <dc:language>en-CA</dc:language>
  <cp:lastModifiedBy>Albert Hill</cp:lastModifiedBy>
  <cp:lastPrinted>2001-01-16T14:46:00Z</cp:lastPrinted>
  <dcterms:modified xsi:type="dcterms:W3CDTF">2001-01-16T20:27:00Z</dcterms:modified>
  <cp:revision>42</cp:revision>
  <dc:subject/>
  <dc:title>BEFORE THE PUBLIC UTILITIES COMMISSION OF THE STATE OF CALIFORNIA</dc:title>
</cp:coreProperties>
</file>