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hanging="0" w:end="0"/>
        <w:jc w:val="center"/>
        <w:rPr>
          <w:smallCaps/>
          <w:sz w:val="28"/>
        </w:rPr>
      </w:pPr>
      <w:r>
        <w:rPr>
          <w:smallCaps/>
          <w:sz w:val="28"/>
        </w:rPr>
        <w:t>Before the Public Utilities Commission of the State of California</w:t>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9245" w:type="dxa"/>
        <w:jc w:val="start"/>
        <w:tblInd w:w="0" w:type="dxa"/>
        <w:tblLayout w:type="fixed"/>
        <w:tblCellMar>
          <w:top w:w="0" w:type="dxa"/>
          <w:start w:w="108" w:type="dxa"/>
          <w:bottom w:w="0" w:type="dxa"/>
          <w:end w:w="108" w:type="dxa"/>
        </w:tblCellMar>
      </w:tblPr>
      <w:tblGrid>
        <w:gridCol w:w="5688"/>
        <w:gridCol w:w="3557"/>
      </w:tblGrid>
      <w:tr>
        <w:trPr/>
        <w:tc>
          <w:tcPr>
            <w:tcW w:w="5688" w:type="dxa"/>
            <w:tcBorders>
              <w:end w:val="single" w:sz="6" w:space="0" w:color="000000"/>
            </w:tcBorders>
          </w:tcPr>
          <w:p>
            <w:pPr>
              <w:pStyle w:val="Normal"/>
              <w:tabs>
                <w:tab w:val="left" w:pos="2160" w:leader="none"/>
                <w:tab w:val="left" w:pos="3600" w:leader="none"/>
                <w:tab w:val="right" w:pos="5040" w:leader="none"/>
              </w:tabs>
              <w:rPr/>
            </w:pPr>
            <w:r>
              <w:rPr/>
              <w:t>Application of Southern California Edison Company (E 3338-E) for Authority to Institute a Rate Stabilization Plan with a Rate Increase and End of Rate Freeze Tariffs.</w:t>
            </w:r>
          </w:p>
          <w:p>
            <w:pPr>
              <w:pStyle w:val="Normal"/>
              <w:rPr/>
            </w:pPr>
            <w:r>
              <w:rPr/>
            </w:r>
          </w:p>
        </w:tc>
        <w:tc>
          <w:tcPr>
            <w:tcW w:w="3557" w:type="dxa"/>
            <w:tcBorders>
              <w:start w:val="single" w:sz="6" w:space="0" w:color="000000"/>
            </w:tcBorders>
          </w:tcPr>
          <w:p>
            <w:pPr>
              <w:pStyle w:val="Normal"/>
              <w:snapToGrid w:val="false"/>
              <w:jc w:val="center"/>
              <w:rPr/>
            </w:pPr>
            <w:r>
              <w:rPr/>
            </w:r>
          </w:p>
          <w:p>
            <w:pPr>
              <w:pStyle w:val="Normal"/>
              <w:jc w:val="center"/>
              <w:rPr/>
            </w:pPr>
            <w:r>
              <w:rPr/>
              <w:t>Application 00-11-038</w:t>
            </w:r>
          </w:p>
          <w:p>
            <w:pPr>
              <w:pStyle w:val="Normal"/>
              <w:jc w:val="center"/>
              <w:rPr/>
            </w:pPr>
            <w:r>
              <w:rPr/>
              <w:t>(Filed November 16, 2000)</w:t>
            </w:r>
          </w:p>
        </w:tc>
      </w:tr>
      <w:tr>
        <w:trPr/>
        <w:tc>
          <w:tcPr>
            <w:tcW w:w="5688" w:type="dxa"/>
            <w:tcBorders>
              <w:top w:val="single" w:sz="6" w:space="0" w:color="000000"/>
              <w:end w:val="single" w:sz="6" w:space="0" w:color="000000"/>
            </w:tcBorders>
          </w:tcPr>
          <w:p>
            <w:pPr>
              <w:pStyle w:val="Normal"/>
              <w:tabs>
                <w:tab w:val="left" w:pos="2160" w:leader="none"/>
                <w:tab w:val="left" w:pos="3600" w:leader="none"/>
                <w:tab w:val="right" w:pos="5040" w:leader="none"/>
              </w:tabs>
              <w:snapToGrid w:val="false"/>
              <w:rPr/>
            </w:pPr>
            <w:r>
              <w:rPr/>
            </w:r>
          </w:p>
          <w:p>
            <w:pPr>
              <w:pStyle w:val="Normal"/>
              <w:tabs>
                <w:tab w:val="left" w:pos="2160" w:leader="none"/>
                <w:tab w:val="left" w:pos="3600" w:leader="none"/>
                <w:tab w:val="right" w:pos="5040" w:leader="none"/>
              </w:tabs>
              <w:rPr/>
            </w:pPr>
            <w:r>
              <w:rPr/>
              <w:t>Emergency Application of Pacific Gas and Electric Company to Adopt a Rate Stabilization Plan.</w:t>
            </w:r>
          </w:p>
          <w:p>
            <w:pPr>
              <w:pStyle w:val="Normal"/>
              <w:tabs>
                <w:tab w:val="left" w:pos="2160" w:leader="none"/>
                <w:tab w:val="left" w:pos="3600" w:leader="none"/>
                <w:tab w:val="right" w:pos="5040" w:leader="none"/>
              </w:tabs>
              <w:rPr/>
            </w:pPr>
            <w:r>
              <w:rPr/>
            </w:r>
          </w:p>
          <w:p>
            <w:pPr>
              <w:pStyle w:val="Normal"/>
              <w:tabs>
                <w:tab w:val="left" w:pos="2160" w:leader="none"/>
                <w:tab w:val="left" w:pos="3600" w:leader="none"/>
                <w:tab w:val="right" w:pos="5040" w:leader="none"/>
              </w:tabs>
              <w:rPr/>
            </w:pPr>
            <w:r>
              <w:rPr/>
              <w:tab/>
              <w:tab/>
              <w:t>(U 39 E)</w:t>
            </w:r>
          </w:p>
          <w:p>
            <w:pPr>
              <w:pStyle w:val="Normal"/>
              <w:tabs>
                <w:tab w:val="left" w:pos="2160" w:leader="none"/>
                <w:tab w:val="left" w:pos="3600" w:leader="none"/>
                <w:tab w:val="right" w:pos="5040" w:leader="none"/>
              </w:tabs>
              <w:rPr/>
            </w:pPr>
            <w:r>
              <w:rPr/>
            </w:r>
          </w:p>
        </w:tc>
        <w:tc>
          <w:tcPr>
            <w:tcW w:w="3557" w:type="dxa"/>
            <w:tcBorders>
              <w:start w:val="single" w:sz="6" w:space="0" w:color="000000"/>
            </w:tcBorders>
          </w:tcPr>
          <w:p>
            <w:pPr>
              <w:pStyle w:val="Normal"/>
              <w:snapToGrid w:val="false"/>
              <w:jc w:val="center"/>
              <w:rPr/>
            </w:pPr>
            <w:r>
              <w:rPr/>
            </w:r>
          </w:p>
          <w:p>
            <w:pPr>
              <w:pStyle w:val="Normal"/>
              <w:jc w:val="center"/>
              <w:rPr/>
            </w:pPr>
            <w:r>
              <w:rPr/>
              <w:t>Application 00-11-056</w:t>
            </w:r>
          </w:p>
          <w:p>
            <w:pPr>
              <w:pStyle w:val="Normal"/>
              <w:jc w:val="center"/>
              <w:rPr/>
            </w:pPr>
            <w:r>
              <w:rPr/>
              <w:t>(Filed November 22, 2000)</w:t>
            </w:r>
          </w:p>
          <w:p>
            <w:pPr>
              <w:pStyle w:val="Normal"/>
              <w:jc w:val="center"/>
              <w:rPr/>
            </w:pPr>
            <w:r>
              <w:rPr/>
            </w:r>
          </w:p>
        </w:tc>
      </w:tr>
      <w:tr>
        <w:trPr/>
        <w:tc>
          <w:tcPr>
            <w:tcW w:w="5688" w:type="dxa"/>
            <w:tcBorders>
              <w:top w:val="single" w:sz="6" w:space="0" w:color="000000"/>
              <w:bottom w:val="single" w:sz="6" w:space="0" w:color="000000"/>
              <w:end w:val="single" w:sz="6" w:space="0" w:color="000000"/>
            </w:tcBorders>
          </w:tcPr>
          <w:p>
            <w:pPr>
              <w:pStyle w:val="Normal"/>
              <w:tabs>
                <w:tab w:val="left" w:pos="2160" w:leader="none"/>
                <w:tab w:val="left" w:pos="3600" w:leader="none"/>
                <w:tab w:val="right" w:pos="5040" w:leader="none"/>
              </w:tabs>
              <w:snapToGrid w:val="false"/>
              <w:rPr/>
            </w:pPr>
            <w:r>
              <w:rPr/>
            </w:r>
          </w:p>
          <w:p>
            <w:pPr>
              <w:pStyle w:val="Normal"/>
              <w:rPr/>
            </w:pPr>
            <w:r>
              <w:rPr/>
              <w:t>Petition of THE UTILITY REFORM NETWORK for Modification of Resolution E-3527.</w:t>
            </w:r>
          </w:p>
          <w:p>
            <w:pPr>
              <w:pStyle w:val="Normal"/>
              <w:rPr/>
            </w:pPr>
            <w:r>
              <w:rPr/>
            </w:r>
          </w:p>
        </w:tc>
        <w:tc>
          <w:tcPr>
            <w:tcW w:w="3557" w:type="dxa"/>
            <w:tcBorders>
              <w:start w:val="single" w:sz="6" w:space="0" w:color="000000"/>
            </w:tcBorders>
          </w:tcPr>
          <w:p>
            <w:pPr>
              <w:pStyle w:val="Normal"/>
              <w:snapToGrid w:val="false"/>
              <w:jc w:val="center"/>
              <w:rPr/>
            </w:pPr>
            <w:r>
              <w:rPr/>
            </w:r>
          </w:p>
          <w:p>
            <w:pPr>
              <w:pStyle w:val="Normal"/>
              <w:jc w:val="center"/>
              <w:rPr/>
            </w:pPr>
            <w:r>
              <w:rPr/>
              <w:t>Application 00-10-028</w:t>
            </w:r>
          </w:p>
          <w:p>
            <w:pPr>
              <w:pStyle w:val="Normal"/>
              <w:jc w:val="center"/>
              <w:rPr/>
            </w:pPr>
            <w:r>
              <w:rPr/>
              <w:t>(Filed October 17, 2000)</w:t>
            </w:r>
          </w:p>
          <w:p>
            <w:pPr>
              <w:pStyle w:val="Normal"/>
              <w:jc w:val="center"/>
              <w:rPr/>
            </w:pPr>
            <w:r>
              <w:rPr/>
            </w:r>
          </w:p>
          <w:p>
            <w:pPr>
              <w:pStyle w:val="Normal"/>
              <w:jc w:val="center"/>
              <w:rPr/>
            </w:pPr>
            <w:r>
              <w:rPr/>
            </w:r>
          </w:p>
        </w:tc>
      </w:tr>
    </w:tbl>
    <w:p>
      <w:pPr>
        <w:pStyle w:val="Normal"/>
        <w:jc w:val="center"/>
        <w:rPr>
          <w:b/>
          <w:smallCaps/>
          <w:sz w:val="28"/>
        </w:rPr>
      </w:pPr>
      <w:r>
        <w:rPr>
          <w:b/>
          <w:smallCaps/>
          <w:sz w:val="28"/>
        </w:rPr>
      </w:r>
    </w:p>
    <w:p>
      <w:pPr>
        <w:pStyle w:val="Normal"/>
        <w:jc w:val="center"/>
        <w:rPr>
          <w:b/>
          <w:smallCaps/>
          <w:sz w:val="28"/>
        </w:rPr>
      </w:pPr>
      <w:r>
        <w:rPr>
          <w:b/>
          <w:smallCaps/>
          <w:sz w:val="28"/>
        </w:rPr>
      </w:r>
    </w:p>
    <w:p>
      <w:pPr>
        <w:pStyle w:val="Normal"/>
        <w:rPr>
          <w:b/>
          <w:smallCaps/>
          <w:sz w:val="28"/>
        </w:rPr>
      </w:pPr>
      <w:r>
        <w:rPr>
          <w:b/>
          <w:smallCaps/>
          <w:sz w:val="28"/>
        </w:rPr>
      </w:r>
    </w:p>
    <w:p>
      <w:pPr>
        <w:pStyle w:val="BriefTitle"/>
        <w:rPr/>
      </w:pPr>
      <w:r>
        <w:rPr/>
        <w:t xml:space="preserve">COMMENTS </w:t>
      </w:r>
    </w:p>
    <w:p>
      <w:pPr>
        <w:pStyle w:val="BriefTitle"/>
        <w:rPr/>
      </w:pPr>
      <w:r>
        <w:rPr/>
        <w:t>OF THE OFFICE OF RATEPAYER ADVOCATES</w:t>
      </w:r>
    </w:p>
    <w:p>
      <w:pPr>
        <w:pStyle w:val="BriefTitle"/>
        <w:rPr/>
      </w:pPr>
      <w:r>
        <w:rPr/>
        <w:t>ON THE DRAFT DECISION OF ALJ DEULLOA</w:t>
      </w:r>
    </w:p>
    <w:p>
      <w:pPr>
        <w:pStyle w:val="Normal"/>
        <w:ind w:start="4320" w:end="0"/>
        <w:rPr>
          <w:rStyle w:val="LineNumber"/>
        </w:rPr>
      </w:pPr>
      <w:r>
        <w:rPr/>
      </w:r>
    </w:p>
    <w:p>
      <w:pPr>
        <w:pStyle w:val="Normal"/>
        <w:ind w:start="4320" w:end="0"/>
        <w:rPr>
          <w:rStyle w:val="LineNumber"/>
        </w:rPr>
      </w:pPr>
      <w:r>
        <w:rPr/>
      </w:r>
    </w:p>
    <w:p>
      <w:pPr>
        <w:pStyle w:val="BodyText"/>
        <w:rPr/>
      </w:pPr>
      <w:r>
        <w:rPr/>
        <w:t xml:space="preserve">The Office of Ratepayer Advocates (ORA) submits these comments pursuant to the February 20 Ruling. </w:t>
      </w:r>
    </w:p>
    <w:p>
      <w:pPr>
        <w:pStyle w:val="BodyText"/>
        <w:rPr/>
      </w:pPr>
      <w:r>
        <w:rPr/>
        <w:t>ORA notes that the implications of the Department of Water Resources’ (DWR) letter are more extensive than the issues addressed in the draft decision, and  the Commission would likely benefit from a more extensive comment period, despite the considerable urgency in addressing DWR’s needs.</w:t>
      </w:r>
    </w:p>
    <w:p>
      <w:pPr>
        <w:pStyle w:val="Heading1"/>
        <w:numPr>
          <w:ilvl w:val="0"/>
          <w:numId w:val="2"/>
        </w:numPr>
        <w:rPr/>
      </w:pPr>
      <w:r>
        <w:rPr/>
        <w:t>AN ORDERING PARAGRAPH SHOULD BE ADDED TO ADDRESS ACCEPTANCE BY THE DWR</w:t>
      </w:r>
    </w:p>
    <w:p>
      <w:pPr>
        <w:pStyle w:val="BodyText"/>
        <w:rPr/>
      </w:pPr>
      <w:r>
        <w:rPr/>
        <w:t>DWR requests that the Commission issue an order that  “… upon its acceptance by the Department … will constitute an agreement between the Department and the Commission within the meaning of Section 80110 of the Water Code.” Under this process, the agreement will not be completed until DWR “accepts” the Commission order. However, how this acceptance will be reflected in the CPUC record is unclear in the Draft Decision.  The Commission should provide a means that allows all parties to be formally noticed of DWR’s acceptance or non-acceptance of this order.</w:t>
      </w:r>
    </w:p>
    <w:p>
      <w:pPr>
        <w:pStyle w:val="Heading1"/>
        <w:numPr>
          <w:ilvl w:val="0"/>
          <w:numId w:val="2"/>
        </w:numPr>
        <w:rPr/>
      </w:pPr>
      <w:r>
        <w:rPr/>
        <w:t>THE ORDER MUST DEAL WITH ARTICLE 5.5 OF THE PUBLIC UTILITIES CODE</w:t>
      </w:r>
    </w:p>
    <w:p>
      <w:pPr>
        <w:pStyle w:val="BodyText"/>
        <w:rPr/>
      </w:pPr>
      <w:r>
        <w:rPr/>
        <w:t>P.U. Code § 80100 states in pertinent part:</w:t>
      </w:r>
    </w:p>
    <w:p>
      <w:pPr>
        <w:pStyle w:val="Quotation"/>
        <w:rPr/>
      </w:pPr>
      <w:r>
        <w:rPr/>
        <w:t>The commission may enter into an agreement with the department with respect to charges under Section 451 for purposes of this division, and that agreement shall have the force and effect of a financing order adopted in accordance with Article 5.5… as determined by the Commission.</w:t>
      </w:r>
    </w:p>
    <w:p>
      <w:pPr>
        <w:pStyle w:val="BodyText"/>
        <w:rPr/>
      </w:pPr>
      <w:r>
        <w:rPr/>
        <w:t xml:space="preserve">  </w:t>
      </w:r>
      <w:r>
        <w:rPr/>
        <w:t xml:space="preserve">Article 5.5 provides that the Commission’s determinations regarding financing orders “shall be irrevocable” and otherwise severely limits the Commission’s authority to modify such decisions later. </w:t>
      </w:r>
      <w:r>
        <w:rPr>
          <w:i/>
          <w:iCs/>
        </w:rPr>
        <w:t xml:space="preserve">See </w:t>
      </w:r>
      <w:r>
        <w:rPr/>
        <w:t>P.U. Code § 841(c).</w:t>
      </w:r>
    </w:p>
    <w:p>
      <w:pPr>
        <w:pStyle w:val="BodyText"/>
        <w:rPr/>
      </w:pPr>
      <w:r>
        <w:rPr/>
        <w:t>First, the Draft Decision makes no finding or conclusion whether the agreement is with respect to charges under Section 451.  If that is the Commission’s intent, the decision should so state.</w:t>
      </w:r>
    </w:p>
    <w:p>
      <w:pPr>
        <w:pStyle w:val="BodyText"/>
        <w:rPr/>
      </w:pPr>
      <w:r>
        <w:rPr/>
        <w:t>Secondly, if the agreement addresses Section 451, ORA is concerned that the methodology the Draft Decision proposes in ordering paragraph 1 will later be found irrevocable.  Thus, while the methodology might be adjusted in the future, it could not be subject to refund as long as it endures.</w:t>
      </w:r>
      <w:r>
        <w:rPr>
          <w:rStyle w:val="FootnoteCharacters"/>
          <w:rStyle w:val="FootnoteReference"/>
          <w:sz w:val="26"/>
        </w:rPr>
        <w:footnoteReference w:id="2"/>
      </w:r>
    </w:p>
    <w:p>
      <w:pPr>
        <w:pStyle w:val="BodyText"/>
        <w:rPr/>
      </w:pPr>
      <w:r>
        <w:rPr/>
        <w:t xml:space="preserve">Thirdly, the Commission should state that the interim method shall be subject to prospective adjustment, both on an interim and permanent basis. </w:t>
      </w:r>
    </w:p>
    <w:p>
      <w:pPr>
        <w:pStyle w:val="Heading1"/>
        <w:numPr>
          <w:ilvl w:val="0"/>
          <w:numId w:val="2"/>
        </w:numPr>
        <w:rPr/>
      </w:pPr>
      <w:r>
        <w:rPr/>
        <w:t>COMMISSION ACTION IS NECESSARY TO IMPLEMENT DWR’S RIGHT TO RECOVER REVENUE REQUIREMENT</w:t>
      </w:r>
    </w:p>
    <w:p>
      <w:pPr>
        <w:pStyle w:val="BodyText"/>
        <w:rPr/>
      </w:pPr>
      <w:r>
        <w:rPr/>
        <w:t>Page 2 of the draft decision states, “Because the statute establishes this right, no action is required by DWR or the Commission to establish DWR’s right to recover its revenue requirement.”  While the right may be established, effecting the right requires Commission action.  There are two elements of the right to recover: determination of a revenue requirement, and the means to recover that revenue requirement.  The draft decision appropriately finds that DWR is authorized to determine its revenue requirement.  The draft also addresses recovery and allocation, but only in part.</w:t>
      </w:r>
    </w:p>
    <w:p>
      <w:pPr>
        <w:pStyle w:val="BodyText"/>
        <w:rPr/>
      </w:pPr>
      <w:r>
        <w:rPr/>
        <w:t>Neither D.01-01-061 nor the draft decision establish a California Procurement Adjustment or a Fixed Department of Water Resources Set-Aside, as provided by P. U Code § 360.5.  DWR’s letter indicates that lenders and sellers seek assurances that DWR will be able to recover its revenue requirement.  Establishing the California Procurement Adjustment (CPA) and the Set-Aside surely enhance achievement of that objective.  While these may not be the most critical steps from sellers’ perspective, linkage of the amount to be recovered with the statutory recovery mechanism create additional certainty.  Consequently, ORA recommends that the Commission direct the utilities to file advice letters to explicitly establish a CPA and Set-Aside, and that the procedure provided for in ordering paragraph 2 applies.  Ordering paragraph 2 directs that the utilities work with DWR, which is obviously beneficial for these mechanisms intended to provide funds to DWR.  The CPA and Set-Aside established in the decision as issued could be modified subsequent to the process laid out in Judge DeUlloa’s February 9 ruling setting a schedule for developing an interim CAP.</w:t>
      </w:r>
    </w:p>
    <w:p>
      <w:pPr>
        <w:pStyle w:val="Heading1"/>
        <w:numPr>
          <w:ilvl w:val="0"/>
          <w:numId w:val="2"/>
        </w:numPr>
        <w:rPr/>
      </w:pPr>
      <w:r>
        <w:rPr/>
        <w:t xml:space="preserve">THE INTERIM METHODOLOGY MUST CONFRONT THE TRADEOFF BETWEEN DWR AND THE UTILITIES </w:t>
      </w:r>
    </w:p>
    <w:p>
      <w:pPr>
        <w:pStyle w:val="standard"/>
        <w:spacing w:before="0" w:after="120"/>
        <w:ind w:end="-180"/>
        <w:rPr>
          <w:rFonts w:ascii="Times New Roman" w:hAnsi="Times New Roman" w:cs="Times New Roman"/>
        </w:rPr>
      </w:pPr>
      <w:r>
        <w:rPr>
          <w:rFonts w:cs="Times New Roman" w:ascii="Times New Roman" w:hAnsi="Times New Roman"/>
        </w:rPr>
        <w:t>The draft decision affirms the interim methodology stated in D.01-01-061 (pp. 4-5).  Generally, the draft decision would provide for a substantial portion of generation related rates to go to DWR.  For example, while illustrative, Southern California Edison’s (SCE or Edison) and Pacific Gas &amp; Electric’s (PG&amp;E) workshop presentation on the portion of procurement to be undertaken by DWR reflected 27% and 44% of load, respectively.</w:t>
      </w:r>
      <w:r>
        <w:rPr>
          <w:rStyle w:val="FootnoteCharacters"/>
          <w:rStyle w:val="FootnoteReference"/>
          <w:rFonts w:cs="Times New Roman" w:ascii="Times New Roman" w:hAnsi="Times New Roman"/>
          <w:sz w:val="24"/>
        </w:rPr>
        <w:footnoteReference w:id="3"/>
      </w:r>
    </w:p>
    <w:p>
      <w:pPr>
        <w:pStyle w:val="standard"/>
        <w:spacing w:before="0" w:after="120"/>
        <w:rPr/>
      </w:pPr>
      <w:r>
        <w:rPr>
          <w:rFonts w:cs="Times New Roman" w:ascii="Times New Roman" w:hAnsi="Times New Roman"/>
        </w:rPr>
        <w:t>There is no assurance that the allocated revenues will match either DWR’s related financial needs or those of the utilities.  PG&amp;E’s estimate is that its revenue requirement would be 60% of the generation related rate.  Thus, again on an illustrative basis, PG&amp;E would receive 56% of generation related rates, with obligations for 60%, leaving a 4% shortfall.</w:t>
      </w:r>
      <w:r>
        <w:rPr>
          <w:rStyle w:val="FootnoteCharacters"/>
          <w:rStyle w:val="FootnoteReference"/>
          <w:rFonts w:cs="Times New Roman" w:ascii="Times New Roman" w:hAnsi="Times New Roman"/>
          <w:sz w:val="24"/>
        </w:rPr>
        <w:footnoteReference w:id="4"/>
      </w:r>
      <w:r>
        <w:rPr>
          <w:rFonts w:cs="Times New Roman" w:ascii="Times New Roman" w:hAnsi="Times New Roman"/>
        </w:rPr>
        <w:t xml:space="preserve">  According to Edison, its obligations consume very close to 100% of generation, which would leave it with a shortfall of over 20%.</w:t>
      </w:r>
    </w:p>
    <w:p>
      <w:pPr>
        <w:pStyle w:val="BodyText"/>
        <w:rPr/>
      </w:pPr>
      <w:r>
        <w:rPr/>
        <w:t>ORA understands the overall purpose of ABX1 to be to sustain California’s ability to deliver power to the customers of investor-owned utilities, while relieving utilities of the financial burden associated with procurement.  In rebuttal testimony in the rate stabilization phase of this docket, PG&amp;E and Edison have averred that the risks of procurement for them may continue to be substantial.  At the same time, sustaining California’s ability to deliver power to customers requires that DWR have the means and standing necessary to recover its costs.</w:t>
      </w:r>
    </w:p>
    <w:p>
      <w:pPr>
        <w:pStyle w:val="BodyText"/>
        <w:rPr>
          <w:rStyle w:val="LineNumber"/>
        </w:rPr>
      </w:pPr>
      <w:r>
        <w:rPr/>
        <w:t>These prospective current conflicts require a careful balancing of the needs and equities involved.  PG&amp;E puts forth certain uncertainties associated with ABX1 in justification of a rate increase.</w:t>
      </w:r>
      <w:r>
        <w:rPr>
          <w:rStyle w:val="FootnoteCharacters"/>
          <w:rStyle w:val="FootnoteReference"/>
          <w:sz w:val="24"/>
        </w:rPr>
        <w:footnoteReference w:id="5"/>
      </w:r>
      <w:r>
        <w:rPr>
          <w:sz w:val="24"/>
        </w:rPr>
        <w:t xml:space="preserve"> </w:t>
      </w:r>
      <w:r>
        <w:rPr/>
        <w:t xml:space="preserve"> ORA does not believe ABX1 justifies a rate increase for utilities.  Therefore, in balancing the needs here, the interim allocation methodology should avoid the potential for additional financial burdens upon PG&amp;E and SCE.  ORA therefore recommends that on an </w:t>
      </w:r>
      <w:r>
        <w:rPr>
          <w:i/>
          <w:iCs/>
        </w:rPr>
        <w:t>interim</w:t>
      </w:r>
      <w:r>
        <w:rPr/>
        <w:t xml:space="preserve"> basis, the allocation methodology provide that the lesser of the amount provided for in D.01-01-061, or the remaining generation related revenue after the utility pays the cost of its own generation and purchases, be placed in trust for DWR.  On a permanent basis, ORA leans toward the development of a specified rate.  For now, ORA believes that prevention of further utility rate increases is paramount, and justifies a potential temporary reduction in the amounts available to DWR.</w:t>
      </w:r>
    </w:p>
    <w:p>
      <w:pPr>
        <w:pStyle w:val="Normal"/>
        <w:ind w:start="4320" w:end="0"/>
        <w:rPr/>
      </w:pPr>
      <w:r>
        <w:rPr>
          <w:rStyle w:val="LineNumber"/>
        </w:rPr>
        <w:t>Respectfully submitted,</w:t>
      </w:r>
    </w:p>
    <w:p>
      <w:pPr>
        <w:pStyle w:val="Normal"/>
        <w:ind w:start="4320" w:end="0"/>
        <w:rPr>
          <w:rStyle w:val="LineNumber"/>
        </w:rPr>
      </w:pPr>
      <w:r>
        <w:rPr/>
      </w:r>
    </w:p>
    <w:p>
      <w:pPr>
        <w:pStyle w:val="Normal"/>
        <w:ind w:start="4320" w:end="0"/>
        <w:rPr>
          <w:rStyle w:val="LineNumber"/>
        </w:rPr>
      </w:pPr>
      <w:r>
        <w:rPr/>
      </w:r>
    </w:p>
    <w:p>
      <w:pPr>
        <w:pStyle w:val="Normal"/>
        <w:ind w:start="4320" w:end="0"/>
        <w:rPr>
          <w:rStyle w:val="LineNumber"/>
        </w:rPr>
      </w:pPr>
      <w:r>
        <w:rPr/>
      </w:r>
    </w:p>
    <w:p>
      <w:pPr>
        <w:pStyle w:val="Normal"/>
        <w:tabs>
          <w:tab w:val="clear" w:pos="5040"/>
        </w:tabs>
        <w:ind w:start="4320" w:end="0"/>
        <w:rPr>
          <w:rStyle w:val="LineNumber"/>
        </w:rPr>
      </w:pPr>
      <w:r>
        <w:rPr>
          <w:rStyle w:val="LineNumber"/>
          <w:u w:val="single"/>
        </w:rPr>
        <w:tab/>
        <w:tab/>
        <w:tab/>
        <w:tab/>
      </w:r>
    </w:p>
    <w:p>
      <w:pPr>
        <w:pStyle w:val="Normal"/>
        <w:tabs>
          <w:tab w:val="clear" w:pos="5040"/>
        </w:tabs>
        <w:ind w:start="4320" w:end="0"/>
        <w:rPr/>
      </w:pPr>
      <w:r>
        <w:rPr>
          <w:rStyle w:val="LineNumber"/>
        </w:rPr>
        <w:t xml:space="preserve">      </w:t>
      </w:r>
      <w:r>
        <w:rPr>
          <w:rStyle w:val="LineNumber"/>
        </w:rPr>
        <w:t>JASON J. ZELLER</w:t>
      </w:r>
    </w:p>
    <w:p>
      <w:pPr>
        <w:pStyle w:val="Normal"/>
        <w:tabs>
          <w:tab w:val="clear" w:pos="5040"/>
        </w:tabs>
        <w:ind w:firstLine="720" w:start="3600" w:end="0"/>
        <w:rPr/>
      </w:pPr>
      <w:r>
        <w:rPr>
          <w:rStyle w:val="LineNumber"/>
        </w:rPr>
        <w:t xml:space="preserve">      </w:t>
      </w:r>
      <w:r>
        <w:rPr>
          <w:rStyle w:val="LineNumber"/>
        </w:rPr>
        <w:t>Staff Counsel</w:t>
      </w:r>
    </w:p>
    <w:p>
      <w:pPr>
        <w:pStyle w:val="Normal"/>
        <w:ind w:start="4320" w:end="0"/>
        <w:rPr>
          <w:rStyle w:val="LineNumber"/>
        </w:rPr>
      </w:pPr>
      <w:r>
        <w:rPr/>
      </w:r>
    </w:p>
    <w:p>
      <w:pPr>
        <w:pStyle w:val="Normal"/>
        <w:ind w:start="4320" w:end="0"/>
        <w:rPr/>
      </w:pPr>
      <w:r>
        <w:rPr>
          <w:rStyle w:val="LineNumber"/>
        </w:rPr>
        <w:t>Attorney for the Office of Ratepayer Advocates</w:t>
      </w:r>
    </w:p>
    <w:p>
      <w:pPr>
        <w:pStyle w:val="Normal"/>
        <w:ind w:start="4320" w:end="0"/>
        <w:rPr>
          <w:rStyle w:val="LineNumber"/>
        </w:rPr>
      </w:pPr>
      <w:r>
        <w:rPr/>
      </w:r>
    </w:p>
    <w:p>
      <w:pPr>
        <w:pStyle w:val="Normal"/>
        <w:ind w:start="4320" w:end="0"/>
        <w:rPr/>
      </w:pPr>
      <w:r>
        <w:rPr>
          <w:rStyle w:val="LineNumber"/>
        </w:rPr>
        <w:t>California Public Utilities Commission</w:t>
      </w:r>
    </w:p>
    <w:p>
      <w:pPr>
        <w:pStyle w:val="Normal"/>
        <w:ind w:start="4320" w:end="0"/>
        <w:rPr/>
      </w:pPr>
      <w:r>
        <w:rPr>
          <w:rStyle w:val="LineNumber"/>
        </w:rPr>
        <w:t>505 Van Ness Ave.</w:t>
      </w:r>
    </w:p>
    <w:p>
      <w:pPr>
        <w:pStyle w:val="Normal"/>
        <w:ind w:start="4320" w:end="0"/>
        <w:rPr/>
      </w:pPr>
      <w:r>
        <w:rPr>
          <w:rStyle w:val="LineNumber"/>
        </w:rPr>
        <w:t>San Francisco, CA 94102</w:t>
      </w:r>
    </w:p>
    <w:p>
      <w:pPr>
        <w:pStyle w:val="Normal"/>
        <w:ind w:start="4320" w:end="0"/>
        <w:rPr/>
      </w:pPr>
      <w:r>
        <w:rPr>
          <w:rStyle w:val="LineNumber"/>
        </w:rPr>
        <w:t>Phone: (415) 703-4673</w:t>
      </w:r>
    </w:p>
    <w:p>
      <w:pPr>
        <w:sectPr>
          <w:footerReference w:type="default" r:id="rId2"/>
          <w:footerReference w:type="first" r:id="rId3"/>
          <w:footnotePr>
            <w:numFmt w:val="decimal"/>
          </w:footnotePr>
          <w:type w:val="nextPage"/>
          <w:pgSz w:w="12240" w:h="15840"/>
          <w:pgMar w:left="1440" w:right="1440" w:gutter="0" w:header="0" w:top="1440" w:footer="720" w:bottom="1440"/>
          <w:pgNumType w:start="1" w:fmt="decimal"/>
          <w:formProt w:val="false"/>
          <w:titlePg/>
          <w:textDirection w:val="lrTb"/>
          <w:docGrid w:type="default" w:linePitch="360" w:charSpace="0"/>
        </w:sectPr>
        <w:pStyle w:val="Quotation"/>
        <w:ind w:start="0" w:end="1440"/>
        <w:rPr/>
      </w:pPr>
      <w:r>
        <w:rPr>
          <w:rStyle w:val="LineNumber"/>
        </w:rPr>
        <w:t xml:space="preserve">February 21, 2000 </w:t>
        <w:tab/>
        <w:tab/>
        <w:tab/>
        <w:tab/>
        <w:t>Fax: (415) 703-2262</w:t>
      </w:r>
      <w:r>
        <w:rPr/>
        <w:t>.</w:t>
      </w:r>
    </w:p>
    <w:p>
      <w:pPr>
        <w:pStyle w:val="Title"/>
        <w:rPr/>
      </w:pPr>
      <w:r>
        <w:rPr/>
        <w:t>CERTIFICATE OF SERVICE</w:t>
      </w:r>
    </w:p>
    <w:p>
      <w:pPr>
        <w:pStyle w:val="BodyText"/>
        <w:rPr/>
      </w:pPr>
      <w:r>
        <w:rPr/>
      </w:r>
    </w:p>
    <w:p>
      <w:pPr>
        <w:pStyle w:val="BodyText"/>
        <w:rPr/>
      </w:pPr>
      <w:r>
        <w:rPr/>
      </w:r>
    </w:p>
    <w:p>
      <w:pPr>
        <w:pStyle w:val="BodyText"/>
        <w:rPr/>
      </w:pPr>
      <w:r>
        <w:rPr/>
        <w:t>I hereby certify that I have this day served the foregoing document entitled “</w:t>
      </w:r>
      <w:r>
        <w:rPr>
          <w:b/>
          <w:bCs/>
        </w:rPr>
        <w:t xml:space="preserve">COMMENTS OF THE OFFICE OF RATEPAYER ADVOCATES ON THE DRAFT DECISION OF ALJ DEULLOA” </w:t>
      </w:r>
      <w:r>
        <w:rPr/>
        <w:t>upon all known parties of record in this proceeding who have e-mail addresses and was served by paper mail, first class, a copy properly addressed to each party..</w:t>
      </w:r>
    </w:p>
    <w:p>
      <w:pPr>
        <w:pStyle w:val="BodyText"/>
        <w:rPr/>
      </w:pPr>
      <w:r>
        <w:rPr/>
        <w:t xml:space="preserve">Dated at San Francisco, California, this 21st day of February, 2001.  </w:t>
      </w:r>
    </w:p>
    <w:p>
      <w:pPr>
        <w:pStyle w:val="BodyText"/>
        <w:rPr/>
      </w:pPr>
      <w:r>
        <w:rPr/>
      </w:r>
    </w:p>
    <w:p>
      <w:pPr>
        <w:pStyle w:val="BodyText"/>
        <w:rPr/>
      </w:pPr>
      <w:r>
        <w:rPr/>
      </w:r>
    </w:p>
    <w:p>
      <w:pPr>
        <w:pStyle w:val="BodyText"/>
        <w:spacing w:lineRule="auto" w:line="240"/>
        <w:rPr/>
      </w:pPr>
      <w:r>
        <w:rPr/>
        <w:tab/>
        <w:tab/>
        <w:tab/>
        <w:tab/>
        <w:tab/>
      </w:r>
      <w:r>
        <w:rPr>
          <w:u w:val="single"/>
        </w:rPr>
        <w:tab/>
        <w:tab/>
        <w:tab/>
        <w:tab/>
        <w:tab/>
        <w:tab/>
      </w:r>
    </w:p>
    <w:p>
      <w:pPr>
        <w:pStyle w:val="BodyText"/>
        <w:spacing w:lineRule="auto" w:line="240"/>
        <w:rPr/>
      </w:pPr>
      <w:r>
        <w:rPr/>
        <w:tab/>
        <w:tab/>
        <w:tab/>
        <w:tab/>
        <w:tab/>
        <w:tab/>
        <w:t xml:space="preserve">   NELLY SARMIENTO</w:t>
      </w:r>
    </w:p>
    <w:p>
      <w:pPr>
        <w:pStyle w:val="Quotation"/>
        <w:spacing w:before="0" w:after="120"/>
        <w:rPr/>
      </w:pPr>
      <w:r>
        <w:rPr/>
      </w:r>
    </w:p>
    <w:sectPr>
      <w:footerReference w:type="default" r:id="rId4"/>
      <w:footerReference w:type="first" r:id="rId5"/>
      <w:footnotePr>
        <w:numFmt w:val="decimal"/>
      </w:footnotePr>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Palatino">
    <w:altName w:val="Book Antiqua"/>
    <w:charset w:val="00" w:characterSet="windows-1252"/>
    <w:family w:val="roman"/>
    <w:pitch w:val="default"/>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83185" cy="189865"/>
              <wp:effectExtent l="0" t="0" r="0" b="0"/>
              <wp:wrapSquare wrapText="bothSides"/>
              <wp:docPr id="1" name="Frame1"/>
              <a:graphic xmlns:a="http://schemas.openxmlformats.org/drawingml/2006/main">
                <a:graphicData uri="http://schemas.microsoft.com/office/word/2010/wordprocessingShape">
                  <wps:wsp>
                    <wps:cNvSpPr txBox="1"/>
                    <wps:spPr>
                      <a:xfrm>
                        <a:off x="0" y="0"/>
                        <a:ext cx="83185" cy="1898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55pt;height:14.95pt;mso-wrap-distance-left:0pt;mso-wrap-distance-right:0pt;mso-wrap-distance-top:0pt;mso-wrap-distance-bottom:0pt;margin-top:0.05pt;mso-position-vertical-relative:text;margin-left:230.7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93345"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93345"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3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val="false"/>
        <w:spacing w:lineRule="exact" w:line="240" w:before="0" w:after="120"/>
        <w:rPr/>
      </w:pPr>
      <w:r>
        <w:rPr>
          <w:rStyle w:val="FootnoteCharacters"/>
        </w:rPr>
        <w:footnoteRef/>
      </w:r>
      <w:r>
        <w:rPr>
          <w:sz w:val="24"/>
        </w:rPr>
        <w:t xml:space="preserve"> </w:t>
      </w:r>
      <w:r>
        <w:rPr/>
        <w:t>However, it may be possible to provide greater flexibility in addressing this issue.  The Commission may be able to make an interim, but irrevocable determination as to the California Procurement Adjustment, and reserve for the future, the portion of that which will go to the Fixed Department of Water Resources Set-Aside.</w:t>
      </w:r>
    </w:p>
  </w:footnote>
  <w:footnote w:id="3">
    <w:p>
      <w:pPr>
        <w:pStyle w:val="FootnoteText"/>
        <w:widowControl w:val="false"/>
        <w:spacing w:lineRule="exact" w:line="240" w:before="0" w:after="120"/>
        <w:rPr/>
      </w:pPr>
      <w:r>
        <w:rPr>
          <w:rStyle w:val="FootnoteCharacters"/>
        </w:rPr>
        <w:footnoteRef/>
      </w:r>
      <w:r>
        <w:rPr>
          <w:sz w:val="24"/>
        </w:rPr>
        <w:t xml:space="preserve"> </w:t>
      </w:r>
      <w:r>
        <w:rPr/>
        <w:t>For SCE, 21,000 GWh out of 77,000 and for PG&amp;E 33,000 GWh out of 75,000.</w:t>
      </w:r>
    </w:p>
  </w:footnote>
  <w:footnote w:id="4">
    <w:p>
      <w:pPr>
        <w:pStyle w:val="FootnoteText"/>
        <w:widowControl w:val="false"/>
        <w:spacing w:lineRule="exact" w:line="240" w:before="0" w:after="120"/>
        <w:rPr/>
      </w:pPr>
      <w:r>
        <w:rPr>
          <w:rStyle w:val="FootnoteCharacters"/>
        </w:rPr>
        <w:footnoteRef/>
      </w:r>
      <w:r>
        <w:rPr>
          <w:sz w:val="24"/>
        </w:rPr>
        <w:t xml:space="preserve"> </w:t>
      </w:r>
      <w:r>
        <w:rPr/>
        <w:t>For purposes of this filing, ORA is simply using utility illustrative numbers.  This should not be interpreted to mean that ORA agrees with the basis for utility calculations.</w:t>
      </w:r>
    </w:p>
  </w:footnote>
  <w:footnote w:id="5">
    <w:p>
      <w:pPr>
        <w:pStyle w:val="FootnoteText"/>
        <w:widowControl w:val="false"/>
        <w:spacing w:lineRule="exact" w:line="240" w:before="0" w:after="120"/>
        <w:rPr/>
      </w:pPr>
      <w:r>
        <w:rPr>
          <w:rStyle w:val="FootnoteCharacters"/>
        </w:rPr>
        <w:footnoteRef/>
      </w:r>
      <w:r>
        <w:rPr/>
        <w:t xml:space="preserve"> </w:t>
      </w:r>
      <w:r>
        <w:rPr/>
        <w:t>February 14, 2001 rebuttal testimony, page 1-10</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2880" w:hanging="720"/>
      </w:pPr>
    </w:lvl>
    <w:lvl w:ilvl="5">
      <w:start w:val="1"/>
      <w:numFmt w:val="lowerLetter"/>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numFmt w:val="lowerLetter"/>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textFit" w:percent="2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right" w:pos="5040" w:leader="none"/>
      </w:tabs>
      <w:bidi w:val="0"/>
    </w:pPr>
    <w:rPr>
      <w:rFonts w:ascii="Times New Roman" w:hAnsi="Times New Roman" w:eastAsia="Times New Roman" w:cs="Times New Roman"/>
      <w:color w:val="auto"/>
      <w:sz w:val="26"/>
      <w:szCs w:val="20"/>
      <w:lang w:val="en-US" w:bidi="ar-SA" w:eastAsia="zh-CN"/>
    </w:rPr>
  </w:style>
  <w:style w:type="paragraph" w:styleId="Heading1">
    <w:name w:val="heading 1"/>
    <w:basedOn w:val="BodyText"/>
    <w:next w:val="BodyText"/>
    <w:qFormat/>
    <w:pPr>
      <w:keepNext w:val="true"/>
      <w:keepLines/>
      <w:numPr>
        <w:ilvl w:val="0"/>
        <w:numId w:val="2"/>
      </w:numPr>
      <w:spacing w:lineRule="auto" w:line="240" w:before="120" w:after="120"/>
      <w:ind w:firstLine="720" w:start="0" w:end="720"/>
      <w:outlineLvl w:val="0"/>
    </w:pPr>
    <w:rPr>
      <w:b/>
      <w:smallCaps/>
      <w:kern w:val="2"/>
    </w:rPr>
  </w:style>
  <w:style w:type="paragraph" w:styleId="Heading2">
    <w:name w:val="heading 2"/>
    <w:basedOn w:val="BodyText"/>
    <w:next w:val="BodyText"/>
    <w:qFormat/>
    <w:pPr>
      <w:keepNext w:val="true"/>
      <w:numPr>
        <w:ilvl w:val="0"/>
        <w:numId w:val="2"/>
      </w:numPr>
      <w:spacing w:lineRule="auto" w:line="240" w:before="120" w:after="120"/>
      <w:ind w:firstLine="720" w:start="0" w:end="1440"/>
      <w:outlineLvl w:val="1"/>
    </w:pPr>
    <w:rPr>
      <w:b/>
    </w:rPr>
  </w:style>
  <w:style w:type="paragraph" w:styleId="Heading3">
    <w:name w:val="heading 3"/>
    <w:basedOn w:val="BodyText"/>
    <w:next w:val="BodyText"/>
    <w:qFormat/>
    <w:pPr>
      <w:keepNext w:val="true"/>
      <w:numPr>
        <w:ilvl w:val="0"/>
        <w:numId w:val="2"/>
      </w:numPr>
      <w:spacing w:lineRule="auto" w:line="240" w:before="120" w:after="120"/>
      <w:ind w:firstLine="720" w:start="0" w:end="1440"/>
      <w:outlineLvl w:val="2"/>
    </w:pPr>
    <w:rPr>
      <w:b/>
    </w:rPr>
  </w:style>
  <w:style w:type="paragraph" w:styleId="Heading4">
    <w:name w:val="heading 4"/>
    <w:basedOn w:val="BodyText"/>
    <w:next w:val="BodyText"/>
    <w:qFormat/>
    <w:pPr>
      <w:keepNext w:val="true"/>
      <w:numPr>
        <w:ilvl w:val="0"/>
        <w:numId w:val="2"/>
      </w:numPr>
      <w:spacing w:lineRule="auto" w:line="240" w:before="120" w:after="120"/>
      <w:ind w:firstLine="720" w:start="0" w:end="1440"/>
      <w:outlineLvl w:val="3"/>
    </w:pPr>
    <w:rPr>
      <w:i/>
    </w:rPr>
  </w:style>
  <w:style w:type="paragraph" w:styleId="Heading5">
    <w:name w:val="heading 5"/>
    <w:basedOn w:val="Normal"/>
    <w:next w:val="Normal"/>
    <w:qFormat/>
    <w:pPr>
      <w:numPr>
        <w:ilvl w:val="0"/>
        <w:numId w:val="2"/>
      </w:numPr>
      <w:spacing w:before="120" w:after="120"/>
      <w:outlineLvl w:val="4"/>
    </w:pPr>
    <w:rPr>
      <w:rFonts w:ascii="Arial" w:hAnsi="Arial" w:cs="Arial"/>
      <w:sz w:val="22"/>
    </w:rPr>
  </w:style>
  <w:style w:type="paragraph" w:styleId="Heading6">
    <w:name w:val="heading 6"/>
    <w:basedOn w:val="Normal"/>
    <w:next w:val="Normal"/>
    <w:qFormat/>
    <w:pPr>
      <w:numPr>
        <w:ilvl w:val="0"/>
        <w:numId w:val="2"/>
      </w:numPr>
      <w:spacing w:before="240" w:after="60"/>
      <w:outlineLvl w:val="5"/>
    </w:pPr>
    <w:rPr>
      <w:rFonts w:ascii="Arial" w:hAnsi="Arial" w:cs="Arial"/>
      <w:i/>
      <w:sz w:val="22"/>
    </w:rPr>
  </w:style>
  <w:style w:type="paragraph" w:styleId="Heading7">
    <w:name w:val="heading 7"/>
    <w:basedOn w:val="Normal"/>
    <w:next w:val="Normal"/>
    <w:qFormat/>
    <w:pPr>
      <w:numPr>
        <w:ilvl w:val="0"/>
        <w:numId w:val="2"/>
      </w:numPr>
      <w:spacing w:before="240" w:after="60"/>
      <w:outlineLvl w:val="6"/>
    </w:pPr>
    <w:rPr>
      <w:rFonts w:ascii="Arial" w:hAnsi="Arial" w:cs="Arial"/>
    </w:rPr>
  </w:style>
  <w:style w:type="paragraph" w:styleId="Heading8">
    <w:name w:val="heading 8"/>
    <w:basedOn w:val="Normal"/>
    <w:next w:val="Normal"/>
    <w:qFormat/>
    <w:pPr>
      <w:numPr>
        <w:ilvl w:val="0"/>
        <w:numId w:val="2"/>
      </w:numPr>
      <w:spacing w:before="240" w:after="60"/>
      <w:outlineLvl w:val="7"/>
    </w:pPr>
    <w:rPr>
      <w:rFonts w:ascii="Arial" w:hAnsi="Arial" w:cs="Arial"/>
      <w:i/>
    </w:rPr>
  </w:style>
  <w:style w:type="paragraph" w:styleId="Heading9">
    <w:name w:val="heading 9"/>
    <w:basedOn w:val="Normal"/>
    <w:next w:val="Normal"/>
    <w:qFormat/>
    <w:pPr>
      <w:numPr>
        <w:ilvl w:val="0"/>
        <w:numId w:val="2"/>
      </w:numPr>
      <w:spacing w:before="240" w:after="60"/>
      <w:outlineLvl w:val="8"/>
    </w:pPr>
    <w:rPr>
      <w:rFonts w:ascii="Arial" w:hAnsi="Arial" w:cs="Arial"/>
      <w:i/>
      <w:sz w:val="18"/>
    </w:rPr>
  </w:style>
  <w:style w:type="character" w:styleId="WW8Num2z0">
    <w:name w:val="WW8Num2z0"/>
    <w:qFormat/>
    <w:rPr/>
  </w:style>
  <w:style w:type="character" w:styleId="WW8Num3z0">
    <w:name w:val="WW8Num3z0"/>
    <w:qFormat/>
    <w:rPr>
      <w:b/>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7z0">
    <w:name w:val="WW8Num7z0"/>
    <w:qFormat/>
    <w:rPr/>
  </w:style>
  <w:style w:type="character" w:styleId="WW8Num8z0">
    <w:name w:val="WW8Num8z0"/>
    <w:qFormat/>
    <w:rPr>
      <w:rFonts w:ascii="Symbol" w:hAnsi="Symbol" w:cs="Symbol"/>
    </w:rPr>
  </w:style>
  <w:style w:type="character" w:styleId="WW8Num9z1">
    <w:name w:val="WW8Num9z1"/>
    <w:qFormat/>
    <w:rPr>
      <w:b/>
      <w:i w:val="false"/>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b/>
      <w:sz w:val="32"/>
      <w:u w:val="single"/>
      <w:vertAlign w:val="superscript"/>
    </w:rPr>
  </w:style>
  <w:style w:type="character" w:styleId="PageNumber">
    <w:name w:val="page number"/>
    <w:basedOn w:val="DefaultParagraphFont"/>
    <w:rPr/>
  </w:style>
  <w:style w:type="character" w:styleId="LineNumber">
    <w:name w:val="lin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Heading1"/>
    <w:next w:val="BodyText"/>
    <w:qFormat/>
    <w:pPr>
      <w:numPr>
        <w:ilvl w:val="0"/>
        <w:numId w:val="2"/>
      </w:numPr>
      <w:ind w:hanging="0" w:start="0" w:end="720"/>
      <w:outlineLvl w:val="9"/>
    </w:pPr>
    <w:rPr>
      <w:spacing w:val="-20"/>
      <w:sz w:val="24"/>
    </w:rPr>
  </w:style>
  <w:style w:type="paragraph" w:styleId="BodyText">
    <w:name w:val="Body Text"/>
    <w:pPr>
      <w:widowControl/>
      <w:bidi w:val="0"/>
      <w:spacing w:lineRule="auto" w:line="360"/>
      <w:ind w:firstLine="720" w:start="0" w:end="0"/>
    </w:pPr>
    <w:rPr>
      <w:rFonts w:ascii="Times New Roman" w:hAnsi="Times New Roman" w:eastAsia="Times New Roman" w:cs="Times New Roman"/>
      <w:color w:val="auto"/>
      <w:sz w:val="26"/>
      <w:szCs w:val="20"/>
      <w:lang w:val="en-US" w:bidi="ar-SA" w:eastAsia="zh-CN"/>
    </w:rPr>
  </w:style>
  <w:style w:type="paragraph" w:styleId="List">
    <w:name w:val="List"/>
    <w:basedOn w:val="BodyText"/>
    <w:pPr/>
    <w:rPr>
      <w:rFonts w:cs="NotoSans NF"/>
    </w:rPr>
  </w:style>
  <w:style w:type="paragraph" w:styleId="Caption">
    <w:name w:val="caption"/>
    <w:basedOn w:val="BodyText"/>
    <w:qFormat/>
    <w:pPr>
      <w:tabs>
        <w:tab w:val="clear" w:pos="720"/>
        <w:tab w:val="left" w:pos="4320" w:leader="none"/>
        <w:tab w:val="left" w:pos="5040" w:leader="none"/>
      </w:tabs>
      <w:spacing w:lineRule="auto" w:line="240"/>
      <w:ind w:hanging="0" w:start="0" w:end="0"/>
    </w:pPr>
    <w:rPr/>
  </w:style>
  <w:style w:type="paragraph" w:styleId="Index">
    <w:name w:val="Index"/>
    <w:basedOn w:val="Normal"/>
    <w:qFormat/>
    <w:pPr>
      <w:suppressLineNumbers/>
    </w:pPr>
    <w:rPr>
      <w:rFonts w:cs="NotoSans NF"/>
    </w:rPr>
  </w:style>
  <w:style w:type="paragraph" w:styleId="FootnoteText">
    <w:name w:val="footnote text"/>
    <w:basedOn w:val="Normal"/>
    <w:pPr>
      <w:widowControl w:val="false"/>
      <w:spacing w:lineRule="exact" w:line="240" w:before="0" w:after="120"/>
    </w:pPr>
    <w:rPr>
      <w:sz w:val="22"/>
    </w:rPr>
  </w:style>
  <w:style w:type="paragraph" w:styleId="HeaderandFooter">
    <w:name w:val="Header and Footer"/>
    <w:basedOn w:val="Normal"/>
    <w:qFormat/>
    <w:pPr>
      <w:suppressLineNumbers/>
      <w:tabs>
        <w:tab w:val="clear" w:pos="5040"/>
        <w:tab w:val="center" w:pos="4986" w:leader="none"/>
        <w:tab w:val="right" w:pos="9972" w:leader="none"/>
      </w:tabs>
    </w:pPr>
    <w:rPr/>
  </w:style>
  <w:style w:type="paragraph" w:styleId="Footer">
    <w:name w:val="footer"/>
    <w:basedOn w:val="Normal"/>
    <w:pPr>
      <w:tabs>
        <w:tab w:val="center" w:pos="4320" w:leader="none"/>
        <w:tab w:val="right" w:pos="5040" w:leader="none"/>
        <w:tab w:val="right" w:pos="8640" w:leader="none"/>
      </w:tabs>
    </w:pPr>
    <w:rPr/>
  </w:style>
  <w:style w:type="paragraph" w:styleId="TOC1">
    <w:name w:val="toc 1"/>
    <w:basedOn w:val="Normal"/>
    <w:next w:val="Normal"/>
    <w:pPr>
      <w:keepNext w:val="true"/>
      <w:tabs>
        <w:tab w:val="clear" w:pos="5040"/>
        <w:tab w:val="left" w:pos="180" w:leader="dot"/>
        <w:tab w:val="left" w:pos="864" w:leader="none"/>
        <w:tab w:val="right" w:pos="8640" w:leader="dot"/>
      </w:tabs>
      <w:suppressAutoHyphens w:val="true"/>
      <w:spacing w:before="120" w:after="120"/>
      <w:ind w:hanging="245" w:start="245" w:end="1440"/>
      <w:jc w:val="both"/>
    </w:pPr>
    <w:rPr>
      <w:b/>
      <w:caps/>
      <w:lang w:val="en-CA" w:eastAsia="en-CA"/>
    </w:rPr>
  </w:style>
  <w:style w:type="paragraph" w:styleId="TOC2">
    <w:name w:val="toc 2"/>
    <w:basedOn w:val="Normal"/>
    <w:next w:val="Normal"/>
    <w:pPr>
      <w:tabs>
        <w:tab w:val="right" w:pos="5040" w:leader="dot"/>
        <w:tab w:val="right" w:pos="8640" w:leader="dot"/>
      </w:tabs>
      <w:suppressAutoHyphens w:val="true"/>
      <w:spacing w:before="0" w:after="120"/>
      <w:ind w:hanging="288" w:start="720" w:end="1440"/>
    </w:pPr>
    <w:rPr>
      <w:smallCaps/>
      <w:lang w:val="en-CA" w:eastAsia="en-CA"/>
    </w:rPr>
  </w:style>
  <w:style w:type="paragraph" w:styleId="TOC3">
    <w:name w:val="toc 3"/>
    <w:basedOn w:val="Normal"/>
    <w:next w:val="Normal"/>
    <w:pPr>
      <w:tabs>
        <w:tab w:val="clear" w:pos="5040"/>
        <w:tab w:val="right" w:pos="8640" w:leader="dot"/>
      </w:tabs>
      <w:spacing w:before="0" w:after="120"/>
      <w:ind w:hanging="245" w:start="1109" w:end="1440"/>
    </w:pPr>
    <w:rPr>
      <w:lang w:val="en-CA" w:eastAsia="en-CA"/>
    </w:rPr>
  </w:style>
  <w:style w:type="paragraph" w:styleId="TOC4">
    <w:name w:val="toc 4"/>
    <w:basedOn w:val="Normal"/>
    <w:next w:val="Normal"/>
    <w:pPr>
      <w:tabs>
        <w:tab w:val="clear" w:pos="5040"/>
        <w:tab w:val="right" w:pos="8640" w:leader="dot"/>
      </w:tabs>
      <w:ind w:hanging="475" w:start="1627" w:end="0"/>
    </w:pPr>
    <w:rPr/>
  </w:style>
  <w:style w:type="paragraph" w:styleId="TOC5">
    <w:name w:val="toc 5"/>
    <w:basedOn w:val="Normal"/>
    <w:next w:val="Normal"/>
    <w:pPr>
      <w:tabs>
        <w:tab w:val="right" w:pos="5040" w:leader="none"/>
        <w:tab w:val="right" w:pos="8640" w:leader="dot"/>
      </w:tabs>
      <w:ind w:hanging="0" w:start="720" w:end="0"/>
    </w:pPr>
    <w:rPr>
      <w:sz w:val="18"/>
    </w:rPr>
  </w:style>
  <w:style w:type="paragraph" w:styleId="TOC6">
    <w:name w:val="toc 6"/>
    <w:basedOn w:val="Normal"/>
    <w:next w:val="Normal"/>
    <w:pPr>
      <w:tabs>
        <w:tab w:val="right" w:pos="5040" w:leader="none"/>
        <w:tab w:val="right" w:pos="8640" w:leader="dot"/>
      </w:tabs>
      <w:ind w:hanging="0" w:start="960" w:end="0"/>
    </w:pPr>
    <w:rPr>
      <w:sz w:val="18"/>
    </w:rPr>
  </w:style>
  <w:style w:type="paragraph" w:styleId="TOC7">
    <w:name w:val="toc 7"/>
    <w:basedOn w:val="Normal"/>
    <w:next w:val="Normal"/>
    <w:pPr>
      <w:tabs>
        <w:tab w:val="right" w:pos="5040" w:leader="none"/>
        <w:tab w:val="right" w:pos="8640" w:leader="dot"/>
      </w:tabs>
      <w:ind w:hanging="0" w:start="1200" w:end="0"/>
    </w:pPr>
    <w:rPr>
      <w:sz w:val="18"/>
    </w:rPr>
  </w:style>
  <w:style w:type="paragraph" w:styleId="TOC8">
    <w:name w:val="toc 8"/>
    <w:basedOn w:val="Normal"/>
    <w:next w:val="Normal"/>
    <w:pPr>
      <w:tabs>
        <w:tab w:val="right" w:pos="5040" w:leader="none"/>
        <w:tab w:val="right" w:pos="8640" w:leader="dot"/>
      </w:tabs>
      <w:ind w:hanging="0" w:start="1440" w:end="0"/>
    </w:pPr>
    <w:rPr>
      <w:sz w:val="18"/>
    </w:rPr>
  </w:style>
  <w:style w:type="paragraph" w:styleId="TOC9">
    <w:name w:val="toc 9"/>
    <w:basedOn w:val="Normal"/>
    <w:next w:val="Normal"/>
    <w:pPr>
      <w:tabs>
        <w:tab w:val="right" w:pos="5040" w:leader="none"/>
        <w:tab w:val="right" w:pos="8640" w:leader="dot"/>
      </w:tabs>
      <w:ind w:hanging="0" w:start="1680" w:end="0"/>
    </w:pPr>
    <w:rPr>
      <w:sz w:val="18"/>
    </w:rPr>
  </w:style>
  <w:style w:type="paragraph" w:styleId="Header">
    <w:name w:val="header"/>
    <w:basedOn w:val="Normal"/>
    <w:pPr>
      <w:tabs>
        <w:tab w:val="center" w:pos="4320" w:leader="none"/>
        <w:tab w:val="right" w:pos="5040" w:leader="none"/>
        <w:tab w:val="right" w:pos="8640" w:leader="none"/>
      </w:tabs>
    </w:pPr>
    <w:rPr/>
  </w:style>
  <w:style w:type="paragraph" w:styleId="Quotation">
    <w:name w:val="Quotation"/>
    <w:basedOn w:val="BodyText"/>
    <w:next w:val="BodyText"/>
    <w:qFormat/>
    <w:pPr>
      <w:spacing w:lineRule="auto" w:line="240" w:before="0" w:after="120"/>
      <w:ind w:hanging="0" w:start="1440" w:end="1440"/>
    </w:pPr>
    <w:rPr/>
  </w:style>
  <w:style w:type="paragraph" w:styleId="TableofAuthorities">
    <w:name w:val="Table of Authorities"/>
    <w:basedOn w:val="Normal"/>
    <w:next w:val="Normal"/>
    <w:qFormat/>
    <w:pPr>
      <w:tabs>
        <w:tab w:val="right" w:pos="5040" w:leader="none"/>
        <w:tab w:val="right" w:pos="8640" w:leader="dot"/>
      </w:tabs>
      <w:ind w:hanging="245" w:start="245" w:end="1440"/>
    </w:pPr>
    <w:rPr>
      <w:i/>
      <w:lang w:val="en-CA" w:eastAsia="en-CA"/>
    </w:rPr>
  </w:style>
  <w:style w:type="paragraph" w:styleId="ListNumber3">
    <w:name w:val="List Number 3"/>
    <w:basedOn w:val="Normal"/>
    <w:qFormat/>
    <w:pPr>
      <w:numPr>
        <w:ilvl w:val="0"/>
        <w:numId w:val="3"/>
      </w:numPr>
      <w:ind w:hanging="360" w:start="1080" w:end="0"/>
    </w:pPr>
    <w:rPr/>
  </w:style>
  <w:style w:type="paragraph" w:styleId="TOAHeading">
    <w:name w:val="TOA Heading"/>
    <w:basedOn w:val="ListNumber3"/>
    <w:next w:val="Normal"/>
    <w:qFormat/>
    <w:pPr>
      <w:spacing w:before="240" w:after="120"/>
      <w:ind w:hanging="0" w:start="0" w:end="0"/>
    </w:pPr>
    <w:rPr>
      <w:b/>
      <w:smallCaps/>
    </w:rPr>
  </w:style>
  <w:style w:type="paragraph" w:styleId="BriefHeading">
    <w:name w:val="Brief Heading"/>
    <w:basedOn w:val="Normal"/>
    <w:qFormat/>
    <w:pPr>
      <w:jc w:val="center"/>
    </w:pPr>
    <w:rPr>
      <w:smallCaps/>
      <w:sz w:val="28"/>
    </w:rPr>
  </w:style>
  <w:style w:type="paragraph" w:styleId="Signature">
    <w:name w:val="Signature"/>
    <w:basedOn w:val="BodyText"/>
    <w:pPr>
      <w:keepNext w:val="true"/>
      <w:keepLines/>
      <w:spacing w:lineRule="auto" w:line="240"/>
      <w:ind w:firstLine="720" w:start="4320" w:end="0"/>
    </w:pPr>
    <w:rPr/>
  </w:style>
  <w:style w:type="paragraph" w:styleId="ListBullet">
    <w:name w:val="List Bullet"/>
    <w:basedOn w:val="Normal"/>
    <w:qFormat/>
    <w:pPr>
      <w:numPr>
        <w:ilvl w:val="0"/>
        <w:numId w:val="4"/>
      </w:numPr>
      <w:spacing w:before="0" w:after="120"/>
      <w:ind w:hanging="360" w:start="360" w:end="0"/>
    </w:pPr>
    <w:rPr/>
  </w:style>
  <w:style w:type="paragraph" w:styleId="BriefTitle">
    <w:name w:val="Brief Title"/>
    <w:basedOn w:val="Normal"/>
    <w:qFormat/>
    <w:pPr>
      <w:jc w:val="center"/>
    </w:pPr>
    <w:rPr>
      <w:b/>
      <w:caps/>
    </w:rPr>
  </w:style>
  <w:style w:type="paragraph" w:styleId="sub4">
    <w:name w:val="sub4"/>
    <w:basedOn w:val="Normal"/>
    <w:qFormat/>
    <w:pPr>
      <w:widowControl w:val="false"/>
      <w:tabs>
        <w:tab w:val="clear" w:pos="5040"/>
      </w:tabs>
      <w:ind w:firstLine="3600" w:start="0" w:end="0"/>
    </w:pPr>
    <w:rPr>
      <w:rFonts w:ascii="Palatino;Book Antiqua" w:hAnsi="Palatino;Book Antiqua" w:cs="Palatino;Book Antiqua"/>
      <w:sz w:val="24"/>
    </w:rPr>
  </w:style>
  <w:style w:type="paragraph" w:styleId="main">
    <w:name w:val="main"/>
    <w:basedOn w:val="Normal"/>
    <w:qFormat/>
    <w:pPr>
      <w:widowControl w:val="false"/>
      <w:tabs>
        <w:tab w:val="clear" w:pos="5040"/>
      </w:tabs>
      <w:spacing w:before="120" w:after="240"/>
      <w:jc w:val="center"/>
    </w:pPr>
    <w:rPr>
      <w:rFonts w:ascii="Helvetica" w:hAnsi="Helvetica" w:cs="Helvetica"/>
      <w:b/>
      <w:sz w:val="24"/>
    </w:rPr>
  </w:style>
  <w:style w:type="paragraph" w:styleId="BodyTextIndent3">
    <w:name w:val="Body Text Indent 3"/>
    <w:basedOn w:val="Normal"/>
    <w:qFormat/>
    <w:pPr>
      <w:widowControl w:val="false"/>
      <w:tabs>
        <w:tab w:val="clear" w:pos="5040"/>
      </w:tabs>
      <w:spacing w:lineRule="auto" w:line="480"/>
      <w:ind w:firstLine="1440" w:start="0" w:end="0"/>
      <w:jc w:val="both"/>
    </w:pPr>
    <w:rPr>
      <w:color w:val="000000"/>
      <w:sz w:val="24"/>
    </w:rPr>
  </w:style>
  <w:style w:type="paragraph" w:styleId="PlainText">
    <w:name w:val="Plain Text"/>
    <w:basedOn w:val="Normal"/>
    <w:qFormat/>
    <w:pPr>
      <w:tabs>
        <w:tab w:val="clear" w:pos="5040"/>
      </w:tabs>
    </w:pPr>
    <w:rPr>
      <w:rFonts w:ascii="Courier New" w:hAnsi="Courier New" w:cs="Courier New"/>
      <w:sz w:val="20"/>
    </w:rPr>
  </w:style>
  <w:style w:type="paragraph" w:styleId="standard">
    <w:name w:val="standard"/>
    <w:basedOn w:val="Normal"/>
    <w:qFormat/>
    <w:pPr>
      <w:tabs>
        <w:tab w:val="clear" w:pos="5040"/>
      </w:tabs>
      <w:spacing w:lineRule="auto" w:line="360"/>
      <w:ind w:firstLine="720" w:start="0" w:end="0"/>
    </w:pPr>
    <w:rPr>
      <w:rFonts w:ascii="Palatino;Book Antiqua" w:hAnsi="Palatino;Book Antiqua" w:cs="Palatino;Book Antiqua"/>
    </w:rPr>
  </w:style>
  <w:style w:type="paragraph" w:styleId="Title">
    <w:name w:val="Title"/>
    <w:basedOn w:val="Normal"/>
    <w:next w:val="BodyText"/>
    <w:qFormat/>
    <w:pPr>
      <w:tabs>
        <w:tab w:val="clear" w:pos="5040"/>
      </w:tabs>
      <w:spacing w:lineRule="auto" w:line="360"/>
      <w:jc w:val="center"/>
    </w:pPr>
    <w:rPr>
      <w:b/>
      <w:u w:val="single"/>
    </w:rPr>
  </w:style>
  <w:style w:type="paragraph" w:styleId="Quote1">
    <w:name w:val="Quote1"/>
    <w:basedOn w:val="Normal"/>
    <w:next w:val="Normal"/>
    <w:qFormat/>
    <w:pPr>
      <w:tabs>
        <w:tab w:val="clear" w:pos="5040"/>
      </w:tabs>
      <w:spacing w:before="120" w:after="240"/>
      <w:ind w:hanging="0" w:start="1080" w:end="1260"/>
    </w:pPr>
    <w:rPr>
      <w:rFonts w:ascii="Palatino;Book Antiqua" w:hAnsi="Palatino;Book Antiqua" w:cs="Palatino;Book Antiqu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pg&amp;ehydroPEAcomments.dot</Template>
  <TotalTime>88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2001-02-21T18:50:00Z</dcterms:created>
  <dc:creator>Truman Burns</dc:creator>
  <dc:description/>
  <dc:language>en-CA</dc:language>
  <cp:lastModifiedBy>Jim Scarff</cp:lastModifiedBy>
  <cp:lastPrinted>2001-02-21T13:47:00Z</cp:lastPrinted>
  <dcterms:modified xsi:type="dcterms:W3CDTF">2001-02-21T20:40:00Z</dcterms:modified>
  <cp:revision>15</cp:revision>
  <dc:subject/>
  <dc:title>BEFORE THE PUBLIC UTILITIES COMMISSION OF THE STATE OF CALIFORNIA</dc:title>
</cp:coreProperties>
</file>