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JSW/abw  1/19/2001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Pacific Gas and Electric Company (U 39 G) for an Order Pursuant to Section 1005.5(b) of the Public Utilities Code to Increase the Maximum Cost Specified in PG&amp;E’s Certificate of Public Convenience and Necessity to Construct the California Portion of the Expansion of its Natural Gas Pipeline. </w:t>
            </w:r>
          </w:p>
          <w:p>
            <w:pPr>
              <w:pStyle w:val="Normal"/>
              <w:tabs>
                <w:tab w:val="clear" w:pos="720"/>
                <w:tab w:val="left" w:pos="2160" w:leader="none"/>
                <w:tab w:val="left" w:pos="3600" w:leader="none"/>
              </w:tabs>
              <w:rPr/>
            </w:pPr>
            <w:r>
              <w:rPr/>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92-12-043</w:t>
            </w:r>
          </w:p>
          <w:p>
            <w:pPr>
              <w:pStyle w:val="Normal"/>
              <w:jc w:val="center"/>
              <w:rPr/>
            </w:pPr>
            <w:r>
              <w:rPr/>
              <w:t>(Filed December 21, 1992)</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And Related Matters.</w:t>
            </w:r>
          </w:p>
          <w:p>
            <w:pPr>
              <w:pStyle w:val="Normal"/>
              <w:rPr/>
            </w:pPr>
            <w:r>
              <w:rPr/>
            </w:r>
          </w:p>
        </w:tc>
        <w:tc>
          <w:tcPr>
            <w:tcW w:w="3287" w:type="dxa"/>
            <w:tcBorders/>
          </w:tcPr>
          <w:p>
            <w:pPr>
              <w:pStyle w:val="Normal"/>
              <w:jc w:val="center"/>
              <w:rPr/>
            </w:pPr>
            <w:r>
              <w:rPr/>
              <w:t>Application 93-03-038</w:t>
            </w:r>
          </w:p>
          <w:p>
            <w:pPr>
              <w:pStyle w:val="Normal"/>
              <w:jc w:val="center"/>
              <w:rPr/>
            </w:pPr>
            <w:r>
              <w:rPr/>
              <w:t>Application 94-05-035</w:t>
            </w:r>
          </w:p>
          <w:p>
            <w:pPr>
              <w:pStyle w:val="Normal"/>
              <w:jc w:val="center"/>
              <w:rPr/>
            </w:pPr>
            <w:r>
              <w:rPr/>
              <w:t>Application 94-06-034</w:t>
            </w:r>
          </w:p>
          <w:p>
            <w:pPr>
              <w:pStyle w:val="Normal"/>
              <w:jc w:val="center"/>
              <w:rPr/>
            </w:pPr>
            <w:r>
              <w:rPr/>
              <w:t>Application 94-09-056</w:t>
            </w:r>
          </w:p>
          <w:p>
            <w:pPr>
              <w:pStyle w:val="Normal"/>
              <w:jc w:val="center"/>
              <w:rPr/>
            </w:pPr>
            <w:r>
              <w:rPr/>
              <w:t>Application 94-06-044</w:t>
            </w:r>
          </w:p>
          <w:p>
            <w:pPr>
              <w:pStyle w:val="Normal"/>
              <w:jc w:val="center"/>
              <w:rPr/>
            </w:pPr>
            <w:r>
              <w:rPr/>
              <w:t>Application 94-06-043</w:t>
            </w:r>
          </w:p>
          <w:p>
            <w:pPr>
              <w:pStyle w:val="Normal"/>
              <w:jc w:val="center"/>
              <w:rPr/>
            </w:pPr>
            <w:r>
              <w:rPr/>
              <w:t>Rulemaking 90-02-008</w:t>
            </w:r>
          </w:p>
          <w:p>
            <w:pPr>
              <w:pStyle w:val="Normal"/>
              <w:jc w:val="center"/>
              <w:rPr/>
            </w:pPr>
            <w:r>
              <w:rPr/>
              <w:t>Rulemaking 88-08-018</w:t>
            </w:r>
          </w:p>
          <w:p>
            <w:pPr>
              <w:pStyle w:val="Normal"/>
              <w:jc w:val="center"/>
              <w:rPr/>
            </w:pPr>
            <w:r>
              <w:rPr/>
              <w:t>Rulemaking 92-12-016</w:t>
            </w:r>
          </w:p>
          <w:p>
            <w:pPr>
              <w:pStyle w:val="Normal"/>
              <w:jc w:val="center"/>
              <w:rPr/>
            </w:pPr>
            <w:r>
              <w:rPr/>
              <w:t>Investigation 92-12-017</w:t>
            </w:r>
          </w:p>
          <w:p>
            <w:pPr>
              <w:pStyle w:val="Normal"/>
              <w:jc w:val="center"/>
              <w:rPr/>
            </w:pPr>
            <w:r>
              <w:rPr/>
              <w:t>Application 92-07-049</w:t>
            </w:r>
          </w:p>
          <w:p>
            <w:pPr>
              <w:pStyle w:val="Normal"/>
              <w:jc w:val="center"/>
              <w:rPr/>
            </w:pPr>
            <w:r>
              <w:rPr/>
              <w:t>Application 95-02-008</w:t>
            </w:r>
          </w:p>
          <w:p>
            <w:pPr>
              <w:pStyle w:val="Normal"/>
              <w:jc w:val="center"/>
              <w:rPr/>
            </w:pPr>
            <w:r>
              <w:rPr/>
              <w:t>Application 95-02-010</w:t>
            </w:r>
          </w:p>
          <w:p>
            <w:pPr>
              <w:pStyle w:val="Normal"/>
              <w:jc w:val="center"/>
              <w:rPr/>
            </w:pPr>
            <w:r>
              <w:rPr/>
              <w:t>Application 94-11-015</w:t>
            </w:r>
          </w:p>
          <w:p>
            <w:pPr>
              <w:pStyle w:val="Normal"/>
              <w:jc w:val="center"/>
              <w:rPr/>
            </w:pPr>
            <w:r>
              <w:rPr/>
              <w:t>Application 93-04-011</w:t>
            </w:r>
          </w:p>
          <w:p>
            <w:pPr>
              <w:pStyle w:val="Normal"/>
              <w:jc w:val="center"/>
              <w:rPr/>
            </w:pPr>
            <w:r>
              <w:rPr/>
              <w:t>Application 94-04-002</w:t>
            </w:r>
          </w:p>
          <w:p>
            <w:pPr>
              <w:pStyle w:val="Normal"/>
              <w:jc w:val="center"/>
              <w:rPr/>
            </w:pPr>
            <w:r>
              <w:rPr/>
              <w:t>Application 95-04-002</w:t>
            </w:r>
          </w:p>
          <w:p>
            <w:pPr>
              <w:pStyle w:val="Normal"/>
              <w:jc w:val="center"/>
              <w:rPr/>
            </w:pPr>
            <w:r>
              <w:rPr/>
              <w:t>Application 96-04-001</w:t>
            </w:r>
          </w:p>
          <w:p>
            <w:pPr>
              <w:pStyle w:val="Normal"/>
              <w:jc w:val="center"/>
              <w:rPr/>
            </w:pPr>
            <w:r>
              <w:rPr/>
              <w:t>Application 94-12-039</w:t>
            </w:r>
          </w:p>
          <w:p>
            <w:pPr>
              <w:pStyle w:val="Normal"/>
              <w:jc w:val="center"/>
              <w:rPr/>
            </w:pPr>
            <w:r>
              <w:rPr/>
            </w:r>
          </w:p>
        </w:tc>
      </w:tr>
    </w:tbl>
    <w:p>
      <w:pPr>
        <w:pStyle w:val="Normal"/>
        <w:suppressAutoHyphens w:val="true"/>
        <w:rPr/>
      </w:pPr>
      <w:r>
        <w:rPr/>
      </w:r>
    </w:p>
    <w:p>
      <w:pPr>
        <w:pStyle w:val="Normal"/>
        <w:rPr/>
      </w:pPr>
      <w:r>
        <w:rPr/>
      </w:r>
      <w:r>
        <w:br w:type="page"/>
      </w:r>
    </w:p>
    <w:p>
      <w:pPr>
        <w:pStyle w:val="main"/>
        <w:rPr/>
      </w:pPr>
      <w:r>
        <w:rPr/>
        <w:t>ADMINISTRATIVE LAW JUDGE’S RULING SHORTENING TIME</w:t>
      </w:r>
    </w:p>
    <w:p>
      <w:pPr>
        <w:pStyle w:val="Normal"/>
        <w:suppressAutoHyphens w:val="true"/>
        <w:rPr/>
      </w:pPr>
      <w:r>
        <w:rPr/>
      </w:r>
    </w:p>
    <w:p>
      <w:pPr>
        <w:pStyle w:val="standard"/>
        <w:keepNext w:val="true"/>
        <w:rPr/>
      </w:pPr>
      <w:r>
        <w:rPr/>
        <w:t>On January 16, 2001 the Office of Ratepayer Advocates (ORA) and The Utility Reform Network (TURN) filed an “emergency petition” to modify Decision (D.) 97-08-055, the decision approving the “Gas Accord” for Pacific Gas and Electric Company (PG&amp;E), and Resolution G-3288, the resolution which implemented the Gas Accord.  ORA and TURN request that the Emergency Flow Order (EFO) provisions and the costs for involuntary diversions of natural gas be modified on an expedited basis.  The petitioners request that the Commission take immediate action pursuant to Rule 81(f), or in the alternative, that the Commission shorten the time for the filing of responses to the petition for modification to five days.</w:t>
      </w:r>
    </w:p>
    <w:p>
      <w:pPr>
        <w:pStyle w:val="standard"/>
        <w:keepNext w:val="true"/>
        <w:rPr/>
      </w:pPr>
      <w:r>
        <w:rPr/>
        <w:t>Due to the credit situation faced by PG&amp;E, and the impact that this could have on natural gas deliveries to meet core customer needs, the request to shorten time to respond to the petition for modification should be granted.  Parties shall have until close of business on January 26, 2001 to file a response to the petition.</w:t>
      </w:r>
    </w:p>
    <w:p>
      <w:pPr>
        <w:pStyle w:val="standard"/>
        <w:keepNext w:val="true"/>
        <w:rPr/>
      </w:pPr>
      <w:r>
        <w:rPr/>
        <w:t>It is my intention to prepare a draft decision addressing the petition for modification for consideration at the Commission’s February 8, 2001 meeting.</w:t>
      </w:r>
    </w:p>
    <w:p>
      <w:pPr>
        <w:pStyle w:val="standard"/>
        <w:keepNext w:val="true"/>
        <w:rPr/>
      </w:pPr>
      <w:r>
        <w:rPr/>
        <w:t xml:space="preserve">Therefore, </w:t>
      </w:r>
      <w:r>
        <w:rPr>
          <w:b/>
        </w:rPr>
        <w:t>IT IS RULED</w:t>
      </w:r>
      <w:r>
        <w:rPr/>
        <w:t xml:space="preserve"> that:</w:t>
      </w:r>
    </w:p>
    <w:p>
      <w:pPr>
        <w:pStyle w:val="num1"/>
        <w:numPr>
          <w:ilvl w:val="0"/>
          <w:numId w:val="2"/>
        </w:numPr>
        <w:rPr/>
      </w:pPr>
      <w:r>
        <w:rPr/>
        <w:t>The request of the Office of Ratepayer Advocates (ORA) and The Utility Reform Network (TURN) to shorten the time to file a response to their petition for modification is granted as described below.</w:t>
      </w:r>
    </w:p>
    <w:p>
      <w:pPr>
        <w:pStyle w:val="num1"/>
        <w:numPr>
          <w:ilvl w:val="0"/>
          <w:numId w:val="2"/>
        </w:numPr>
        <w:rPr/>
      </w:pPr>
      <w:r>
        <w:rPr/>
        <w:t>Parties to these proceedings may file with the Commission’s Docket Office a response to the petition for modification no later than close of business on January 26, 2001.</w:t>
      </w:r>
      <w:r>
        <w:br w:type="page"/>
      </w:r>
    </w:p>
    <w:p>
      <w:pPr>
        <w:pStyle w:val="letter"/>
        <w:numPr>
          <w:ilvl w:val="0"/>
          <w:numId w:val="3"/>
        </w:numPr>
        <w:rPr/>
      </w:pPr>
      <w:r>
        <w:rPr/>
        <w:t>Parties shall ensure that an electronic copy (</w:t>
      </w:r>
      <w:hyperlink r:id="rId2">
        <w:r>
          <w:rPr>
            <w:rStyle w:val="Hyperlink"/>
          </w:rPr>
          <w:t>jsw@cpuc.ca.gov</w:t>
        </w:r>
      </w:hyperlink>
      <w:r>
        <w:rPr/>
        <w:t>) or a print copy is delivered to the undersigned on that date.</w:t>
      </w:r>
    </w:p>
    <w:p>
      <w:pPr>
        <w:pStyle w:val="letter"/>
        <w:numPr>
          <w:ilvl w:val="0"/>
          <w:numId w:val="3"/>
        </w:numPr>
        <w:rPr/>
      </w:pPr>
      <w:r>
        <w:rPr/>
        <w:t>Unless a party requests expedited service by contacting the filing party, the response shall be served on the parties by mail.</w:t>
      </w:r>
    </w:p>
    <w:p>
      <w:pPr>
        <w:pStyle w:val="standard"/>
        <w:rPr/>
      </w:pPr>
      <w:r>
        <w:rPr/>
        <w:t>Dated January 19,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t>/s/ JOHN S. WONG</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John S. Wong</w:t>
            </w:r>
          </w:p>
          <w:p>
            <w:pPr>
              <w:pStyle w:val="Normal"/>
              <w:jc w:val="center"/>
              <w:rPr/>
            </w:pPr>
            <w:r>
              <w:rPr/>
              <w:t>Administrative Law Judge</w:t>
            </w:r>
          </w:p>
        </w:tc>
      </w:tr>
    </w:tbl>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Administrative Law Judge’s Ruling Shortening Time on all parties of record in this proceeding or their attorneys of record.</w:t>
      </w:r>
    </w:p>
    <w:p>
      <w:pPr>
        <w:pStyle w:val="standard"/>
        <w:rPr/>
      </w:pPr>
      <w:r>
        <w:rPr/>
        <w:t>Dated January 19, 2001, at San Francisco, California.</w:t>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ANN B. WHITE</w:t>
            </w:r>
          </w:p>
        </w:tc>
      </w:tr>
      <w:tr>
        <w:trPr/>
        <w:tc>
          <w:tcPr>
            <w:tcW w:w="3420" w:type="dxa"/>
            <w:tcBorders/>
          </w:tcPr>
          <w:p>
            <w:pPr>
              <w:pStyle w:val="Footer"/>
              <w:tabs>
                <w:tab w:val="clear" w:pos="4320"/>
                <w:tab w:val="clear" w:pos="8640"/>
              </w:tabs>
              <w:rPr/>
            </w:pPr>
            <w:r>
              <w:rPr/>
              <w:t>Ann B. White</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spacing w:before="120" w:after="120"/>
        <w:ind w:start="1440" w:end="1440"/>
        <w:rPr/>
      </w:pPr>
      <w:r>
        <w:rPr/>
        <w:t>* *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BlockText"/>
        <w:rPr>
          <w:sz w:val="26"/>
        </w:rPr>
      </w:pPr>
      <w:r>
        <w:rPr>
          <w:sz w:val="26"/>
        </w:rPr>
        <w:t>If specialized accommodations for the disabled are needed, e.g., sign language interpreters, those making the arrangements must call the Public Advisor at (415) 703</w:t>
        <w:noBreakHyphen/>
        <w:t>2074, TTY 1</w:t>
        <w:noBreakHyphen/>
        <w:t>866</w:t>
        <w:noBreakHyphen/>
        <w:t>836</w:t>
        <w:noBreakHyphen/>
        <w:t>7825 or (415) 703</w:t>
        <w:noBreakHyphen/>
        <w:t>5282 at least three working days in advance of the event.</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88141</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A.92-12-043 et al.  JSW/abw</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A.92-12-043 et al.  JSW/abw</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A.92-12-043 et al.  JSW/abw</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lowerLetter"/>
      <w:lvlText w:val="%1."/>
      <w:lvlJc w:val="start"/>
      <w:pPr>
        <w:tabs>
          <w:tab w:val="num" w:pos="0"/>
        </w:tabs>
        <w:ind w:start="0" w:hanging="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sw@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2001-01-19T19:26:00Z</dcterms:created>
  <dc:creator>abw</dc:creator>
  <dc:description/>
  <dc:language>en-CA</dc:language>
  <cp:lastModifiedBy>John S. Wong</cp:lastModifiedBy>
  <cp:lastPrinted>2001-01-19T10:02:00Z</cp:lastPrinted>
  <dcterms:modified xsi:type="dcterms:W3CDTF">2001-01-19T19:26:00Z</dcterms:modified>
  <cp:revision>2</cp:revision>
  <dc:subject/>
  <dc:title>BEFORE THE PUBLIC UTILITIES COMMISSION OF THE STATE OF CALIFORNIA</dc:title>
</cp:coreProperties>
</file>