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riefHeading"/>
        <w:tabs>
          <w:tab w:val="right" w:pos="5040" w:leader="none"/>
          <w:tab w:val="right" w:pos="8640" w:leader="dot"/>
        </w:tabs>
        <w:rPr/>
      </w:pPr>
      <w:r>
        <w:rPr/>
        <w:t>Before The Public Utilities Commission Of The State Of California</w:t>
      </w:r>
    </w:p>
    <w:p>
      <w:pPr>
        <w:pStyle w:val="Normal"/>
        <w:tabs>
          <w:tab w:val="right" w:pos="5040" w:leader="none"/>
          <w:tab w:val="right" w:pos="8640" w:leader="dot"/>
        </w:tabs>
        <w:rPr/>
      </w:pPr>
      <w:r>
        <w:rPr/>
      </w:r>
    </w:p>
    <w:p>
      <w:pPr>
        <w:pStyle w:val="Normal"/>
        <w:tabs>
          <w:tab w:val="right" w:pos="5040" w:leader="none"/>
          <w:tab w:val="right" w:pos="8640" w:leader="dot"/>
        </w:tabs>
        <w:rPr/>
      </w:pPr>
      <w:r>
        <w:rPr/>
      </w:r>
    </w:p>
    <w:p>
      <w:pPr>
        <w:pStyle w:val="Normal"/>
        <w:tabs>
          <w:tab w:val="right" w:pos="5040" w:leader="none"/>
          <w:tab w:val="right" w:pos="8640" w:leader="dot"/>
        </w:tabs>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bottom w:val="single" w:sz="6" w:space="0" w:color="000000"/>
              <w:end w:val="single" w:sz="6" w:space="0" w:color="000000"/>
            </w:tcBorders>
          </w:tcPr>
          <w:p>
            <w:pPr>
              <w:pStyle w:val="Caption"/>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Caption"/>
              <w:rPr/>
            </w:pPr>
            <w:r>
              <w:rPr/>
            </w:r>
          </w:p>
        </w:tc>
        <w:tc>
          <w:tcPr>
            <w:tcW w:w="4428" w:type="dxa"/>
            <w:tcBorders/>
          </w:tcPr>
          <w:p>
            <w:pPr>
              <w:pStyle w:val="Caption"/>
              <w:snapToGrid w:val="false"/>
              <w:jc w:val="center"/>
              <w:rPr/>
            </w:pPr>
            <w:r>
              <w:rPr/>
            </w:r>
          </w:p>
          <w:p>
            <w:pPr>
              <w:pStyle w:val="Caption"/>
              <w:jc w:val="center"/>
              <w:rPr/>
            </w:pPr>
            <w:r>
              <w:rPr/>
            </w:r>
          </w:p>
          <w:p>
            <w:pPr>
              <w:pStyle w:val="Caption"/>
              <w:jc w:val="center"/>
              <w:rPr/>
            </w:pPr>
            <w:r>
              <w:rPr/>
            </w:r>
          </w:p>
          <w:p>
            <w:pPr>
              <w:pStyle w:val="Caption"/>
              <w:jc w:val="center"/>
              <w:rPr/>
            </w:pPr>
            <w:r>
              <w:rPr/>
              <w:t>Investigation 99-07-003</w:t>
            </w:r>
          </w:p>
          <w:p>
            <w:pPr>
              <w:pStyle w:val="Caption"/>
              <w:jc w:val="center"/>
              <w:rPr/>
            </w:pPr>
            <w:r>
              <w:rPr/>
              <w:t>(Filed July 8, 1999)</w:t>
            </w:r>
          </w:p>
          <w:p>
            <w:pPr>
              <w:pStyle w:val="Caption"/>
              <w:jc w:val="center"/>
              <w:rPr/>
            </w:pPr>
            <w:r>
              <w:rPr/>
            </w:r>
          </w:p>
        </w:tc>
      </w:tr>
    </w:tbl>
    <w:p>
      <w:pPr>
        <w:pStyle w:val="Normal"/>
        <w:tabs>
          <w:tab w:val="right" w:pos="5040" w:leader="none"/>
          <w:tab w:val="right" w:pos="8640" w:leader="dot"/>
        </w:tabs>
        <w:spacing w:lineRule="auto" w:line="360"/>
        <w:rPr/>
      </w:pPr>
      <w:r>
        <w:rPr/>
      </w:r>
    </w:p>
    <w:p>
      <w:pPr>
        <w:pStyle w:val="Normal"/>
        <w:tabs>
          <w:tab w:val="right" w:pos="5040" w:leader="none"/>
          <w:tab w:val="right" w:pos="8640" w:leader="dot"/>
        </w:tabs>
        <w:spacing w:lineRule="auto" w:line="360"/>
        <w:rPr/>
      </w:pPr>
      <w:r>
        <w:rPr/>
      </w:r>
    </w:p>
    <w:p>
      <w:pPr>
        <w:pStyle w:val="Normal"/>
        <w:tabs>
          <w:tab w:val="right" w:pos="5040" w:leader="none"/>
          <w:tab w:val="right" w:pos="8640" w:leader="dot"/>
        </w:tabs>
        <w:spacing w:lineRule="auto" w:line="360"/>
        <w:rPr/>
      </w:pPr>
      <w:r>
        <w:rPr/>
      </w:r>
    </w:p>
    <w:p>
      <w:pPr>
        <w:pStyle w:val="Normal"/>
        <w:tabs>
          <w:tab w:val="right" w:pos="5040" w:leader="none"/>
          <w:tab w:val="right" w:pos="8640" w:leader="dot"/>
        </w:tabs>
        <w:spacing w:lineRule="auto" w:line="360"/>
        <w:rPr/>
      </w:pPr>
      <w:r>
        <w:rPr/>
      </w:r>
    </w:p>
    <w:p>
      <w:pPr>
        <w:pStyle w:val="Normal"/>
        <w:tabs>
          <w:tab w:val="clear" w:pos="5040"/>
          <w:tab w:val="right" w:pos="8640" w:leader="dot"/>
        </w:tabs>
        <w:ind w:hanging="4320" w:start="4320" w:end="0"/>
        <w:jc w:val="center"/>
        <w:rPr/>
      </w:pPr>
      <w:r>
        <w:rPr>
          <w:b/>
          <w:sz w:val="28"/>
        </w:rPr>
        <w:t>REPLY BRIEF OF THE OFFICE OF RATEPAYER ADVOCATES</w:t>
      </w:r>
      <w:r>
        <w:rPr>
          <w:rStyle w:val="LineNumber"/>
        </w:rPr>
        <w:t xml:space="preserve"> </w:t>
      </w:r>
    </w:p>
    <w:p>
      <w:pPr>
        <w:pStyle w:val="Normal"/>
        <w:tabs>
          <w:tab w:val="clear" w:pos="5040"/>
          <w:tab w:val="right" w:pos="8640" w:leader="dot"/>
        </w:tabs>
        <w:ind w:hanging="4320" w:start="4320" w:end="0"/>
        <w:jc w:val="center"/>
        <w:rPr>
          <w:rStyle w:val="LineNumber"/>
        </w:rPr>
      </w:pPr>
      <w:r>
        <w:rPr/>
      </w:r>
    </w:p>
    <w:p>
      <w:pPr>
        <w:pStyle w:val="Normal"/>
        <w:tabs>
          <w:tab w:val="clear" w:pos="5040"/>
          <w:tab w:val="right" w:pos="8640" w:leader="dot"/>
        </w:tabs>
        <w:ind w:hanging="4320" w:start="4320" w:end="0"/>
        <w:jc w:val="center"/>
        <w:rPr>
          <w:rStyle w:val="LineNumber"/>
        </w:rPr>
      </w:pPr>
      <w:r>
        <w:rPr/>
      </w:r>
    </w:p>
    <w:p>
      <w:pPr>
        <w:pStyle w:val="Normal"/>
        <w:tabs>
          <w:tab w:val="clear" w:pos="5040"/>
          <w:tab w:val="right" w:pos="8640" w:leader="dot"/>
        </w:tabs>
        <w:ind w:hanging="4320" w:start="4320" w:end="0"/>
        <w:jc w:val="center"/>
        <w:rPr>
          <w:rStyle w:val="LineNumber"/>
        </w:rPr>
      </w:pPr>
      <w:r>
        <w:rPr/>
      </w:r>
    </w:p>
    <w:p>
      <w:pPr>
        <w:pStyle w:val="Normal"/>
        <w:tabs>
          <w:tab w:val="clear" w:pos="5040"/>
          <w:tab w:val="right" w:pos="8640" w:leader="dot"/>
        </w:tabs>
        <w:ind w:hanging="4320" w:start="4320" w:end="0"/>
        <w:jc w:val="center"/>
        <w:rPr>
          <w:rStyle w:val="LineNumber"/>
        </w:rPr>
      </w:pPr>
      <w:r>
        <w:rPr/>
      </w:r>
    </w:p>
    <w:p>
      <w:pPr>
        <w:pStyle w:val="Normal"/>
        <w:tabs>
          <w:tab w:val="clear" w:pos="5040"/>
          <w:tab w:val="right" w:pos="8640" w:leader="dot"/>
        </w:tabs>
        <w:ind w:hanging="4320" w:start="4320" w:end="0"/>
        <w:jc w:val="center"/>
        <w:rPr>
          <w:rStyle w:val="LineNumber"/>
        </w:rPr>
      </w:pPr>
      <w:r>
        <w:rPr/>
      </w:r>
    </w:p>
    <w:p>
      <w:pPr>
        <w:pStyle w:val="Normal"/>
        <w:tabs>
          <w:tab w:val="clear" w:pos="5040"/>
          <w:tab w:val="right" w:pos="8640" w:leader="dot"/>
        </w:tabs>
        <w:ind w:hanging="4320" w:start="4320" w:end="0"/>
        <w:jc w:val="center"/>
        <w:rPr>
          <w:rStyle w:val="LineNumber"/>
        </w:rPr>
      </w:pPr>
      <w:r>
        <w:rPr/>
      </w:r>
    </w:p>
    <w:p>
      <w:pPr>
        <w:pStyle w:val="Normal"/>
        <w:tabs>
          <w:tab w:val="clear" w:pos="5040"/>
          <w:tab w:val="right" w:pos="8640" w:leader="dot"/>
        </w:tabs>
        <w:ind w:hanging="4320" w:start="4320" w:end="0"/>
        <w:jc w:val="center"/>
        <w:rPr>
          <w:rStyle w:val="LineNumber"/>
        </w:rPr>
      </w:pPr>
      <w:r>
        <w:rPr/>
      </w:r>
    </w:p>
    <w:p>
      <w:pPr>
        <w:pStyle w:val="Normal"/>
        <w:tabs>
          <w:tab w:val="clear" w:pos="5040"/>
          <w:tab w:val="right" w:pos="8640" w:leader="dot"/>
        </w:tabs>
        <w:ind w:hanging="4320" w:start="4320" w:end="0"/>
        <w:jc w:val="center"/>
        <w:rPr>
          <w:rStyle w:val="LineNumber"/>
        </w:rPr>
      </w:pPr>
      <w:r>
        <w:rPr/>
      </w:r>
    </w:p>
    <w:p>
      <w:pPr>
        <w:pStyle w:val="Normal"/>
        <w:tabs>
          <w:tab w:val="clear" w:pos="5040"/>
          <w:tab w:val="right" w:pos="8640" w:leader="dot"/>
        </w:tabs>
        <w:ind w:hanging="4320" w:start="4320" w:end="0"/>
        <w:jc w:val="center"/>
        <w:rPr>
          <w:rStyle w:val="LineNumber"/>
        </w:rPr>
      </w:pPr>
      <w:r>
        <w:rPr/>
      </w:r>
    </w:p>
    <w:p>
      <w:pPr>
        <w:pStyle w:val="Normal"/>
        <w:tabs>
          <w:tab w:val="clear" w:pos="5040"/>
          <w:tab w:val="right" w:pos="8640" w:leader="dot"/>
        </w:tabs>
        <w:ind w:hanging="4320" w:start="4320" w:end="0"/>
        <w:jc w:val="center"/>
        <w:rPr>
          <w:rStyle w:val="LineNumber"/>
        </w:rPr>
      </w:pPr>
      <w:r>
        <w:rPr/>
      </w:r>
    </w:p>
    <w:p>
      <w:pPr>
        <w:pStyle w:val="Normal"/>
        <w:tabs>
          <w:tab w:val="clear" w:pos="5040"/>
          <w:tab w:val="right" w:pos="8640" w:leader="dot"/>
        </w:tabs>
        <w:ind w:hanging="4320" w:start="4320" w:end="0"/>
        <w:jc w:val="center"/>
        <w:rPr>
          <w:rStyle w:val="LineNumber"/>
        </w:rPr>
      </w:pPr>
      <w:r>
        <w:rPr/>
      </w:r>
    </w:p>
    <w:p>
      <w:pPr>
        <w:pStyle w:val="Normal"/>
        <w:tabs>
          <w:tab w:val="clear" w:pos="5040"/>
          <w:tab w:val="right" w:pos="8640" w:leader="dot"/>
        </w:tabs>
        <w:ind w:start="4320" w:end="0"/>
        <w:rPr/>
      </w:pPr>
      <w:r>
        <w:rPr>
          <w:rStyle w:val="LineNumber"/>
        </w:rPr>
        <w:t>PATRICK GILEAU</w:t>
      </w:r>
    </w:p>
    <w:p>
      <w:pPr>
        <w:pStyle w:val="Normal"/>
        <w:tabs>
          <w:tab w:val="right" w:pos="5040" w:leader="none"/>
          <w:tab w:val="right" w:pos="8640" w:leader="dot"/>
        </w:tabs>
        <w:ind w:start="4320" w:end="0"/>
        <w:rPr>
          <w:rStyle w:val="LineNumber"/>
        </w:rPr>
      </w:pPr>
      <w:r>
        <w:rPr/>
      </w:r>
    </w:p>
    <w:p>
      <w:pPr>
        <w:pStyle w:val="Normal"/>
        <w:tabs>
          <w:tab w:val="right" w:pos="5040" w:leader="none"/>
          <w:tab w:val="right" w:pos="8640" w:leader="dot"/>
        </w:tabs>
        <w:ind w:start="4320" w:end="0"/>
        <w:rPr/>
      </w:pPr>
      <w:r>
        <w:rPr>
          <w:rStyle w:val="LineNumber"/>
        </w:rPr>
        <w:t>Attorney for the Office of Ratepayer Advocates</w:t>
      </w:r>
    </w:p>
    <w:p>
      <w:pPr>
        <w:pStyle w:val="Normal"/>
        <w:tabs>
          <w:tab w:val="right" w:pos="5040" w:leader="none"/>
          <w:tab w:val="right" w:pos="8640" w:leader="dot"/>
        </w:tabs>
        <w:ind w:start="4320" w:end="0"/>
        <w:rPr>
          <w:rStyle w:val="LineNumber"/>
        </w:rPr>
      </w:pPr>
      <w:r>
        <w:rPr/>
      </w:r>
    </w:p>
    <w:p>
      <w:pPr>
        <w:pStyle w:val="Normal"/>
        <w:tabs>
          <w:tab w:val="right" w:pos="5040" w:leader="none"/>
          <w:tab w:val="right" w:pos="8640" w:leader="dot"/>
        </w:tabs>
        <w:ind w:start="4320" w:end="0"/>
        <w:rPr/>
      </w:pPr>
      <w:r>
        <w:rPr>
          <w:rStyle w:val="LineNumber"/>
        </w:rPr>
        <w:t>California Public Utilities Commission</w:t>
      </w:r>
    </w:p>
    <w:p>
      <w:pPr>
        <w:pStyle w:val="Normal"/>
        <w:tabs>
          <w:tab w:val="right" w:pos="5040" w:leader="none"/>
          <w:tab w:val="right" w:pos="8640" w:leader="dot"/>
        </w:tabs>
        <w:ind w:start="4320" w:end="0"/>
        <w:rPr/>
      </w:pPr>
      <w:r>
        <w:rPr>
          <w:rStyle w:val="LineNumber"/>
        </w:rPr>
        <w:t>505 Van Ness Ave.</w:t>
      </w:r>
    </w:p>
    <w:p>
      <w:pPr>
        <w:pStyle w:val="Normal"/>
        <w:tabs>
          <w:tab w:val="right" w:pos="5040" w:leader="none"/>
          <w:tab w:val="right" w:pos="8640" w:leader="dot"/>
        </w:tabs>
        <w:ind w:start="4320" w:end="0"/>
        <w:rPr/>
      </w:pPr>
      <w:r>
        <w:rPr>
          <w:rStyle w:val="LineNumber"/>
        </w:rPr>
        <w:t>San Francisco, CA 94102</w:t>
      </w:r>
    </w:p>
    <w:p>
      <w:pPr>
        <w:pStyle w:val="Normal"/>
        <w:tabs>
          <w:tab w:val="right" w:pos="5040" w:leader="none"/>
          <w:tab w:val="right" w:pos="8640" w:leader="dot"/>
        </w:tabs>
        <w:ind w:start="4320" w:end="0"/>
        <w:rPr/>
      </w:pPr>
      <w:r>
        <w:rPr>
          <w:rStyle w:val="LineNumber"/>
        </w:rPr>
        <w:t>Phone: (415) 703-3080</w:t>
      </w:r>
    </w:p>
    <w:p>
      <w:pPr>
        <w:sectPr>
          <w:footerReference w:type="default" r:id="rId2"/>
          <w:footerReference w:type="first" r:id="rId3"/>
          <w:type w:val="nextPage"/>
          <w:pgSz w:w="12240" w:h="15840"/>
          <w:pgMar w:left="1800" w:right="1800" w:gutter="0" w:header="0" w:top="1440" w:footer="720" w:bottom="1440"/>
          <w:pgNumType w:start="1" w:fmt="lowerRoman"/>
          <w:formProt w:val="false"/>
          <w:titlePg/>
          <w:textDirection w:val="lrTb"/>
          <w:docGrid w:type="default" w:linePitch="360" w:charSpace="0"/>
        </w:sectPr>
        <w:pStyle w:val="Footer"/>
        <w:tabs>
          <w:tab w:val="clear" w:pos="4320"/>
          <w:tab w:val="clear" w:pos="5040"/>
          <w:tab w:val="right" w:pos="8640" w:leader="dot"/>
        </w:tabs>
        <w:rPr/>
      </w:pPr>
      <w:r>
        <w:rPr>
          <w:rStyle w:val="LineNumber"/>
        </w:rPr>
        <w:t>July 31, 2000                                             Fax: (415) 703-2262</w:t>
      </w:r>
    </w:p>
    <w:p>
      <w:pPr>
        <w:pStyle w:val="BriefHeading"/>
        <w:tabs>
          <w:tab w:val="right" w:pos="5040" w:leader="none"/>
          <w:tab w:val="right" w:pos="8640" w:leader="dot"/>
        </w:tabs>
        <w:rPr/>
      </w:pPr>
      <w:r>
        <w:rPr/>
        <w:t>Before The Public Utilities Commission Of The State Of California</w:t>
      </w:r>
    </w:p>
    <w:p>
      <w:pPr>
        <w:pStyle w:val="Normal"/>
        <w:tabs>
          <w:tab w:val="right" w:pos="5040" w:leader="none"/>
          <w:tab w:val="right" w:pos="8640" w:leader="dot"/>
        </w:tabs>
        <w:rPr/>
      </w:pPr>
      <w:r>
        <w:rPr/>
      </w:r>
    </w:p>
    <w:p>
      <w:pPr>
        <w:pStyle w:val="Normal"/>
        <w:tabs>
          <w:tab w:val="right" w:pos="5040" w:leader="none"/>
          <w:tab w:val="right" w:pos="8640" w:leader="dot"/>
        </w:tabs>
        <w:rPr/>
      </w:pPr>
      <w:r>
        <w:rPr/>
      </w:r>
    </w:p>
    <w:p>
      <w:pPr>
        <w:pStyle w:val="Normal"/>
        <w:tabs>
          <w:tab w:val="right" w:pos="5040" w:leader="none"/>
          <w:tab w:val="right" w:pos="8640" w:leader="dot"/>
        </w:tabs>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bottom w:val="single" w:sz="6" w:space="0" w:color="000000"/>
              <w:end w:val="single" w:sz="6" w:space="0" w:color="000000"/>
            </w:tcBorders>
          </w:tcPr>
          <w:p>
            <w:pPr>
              <w:pStyle w:val="Caption"/>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Caption"/>
              <w:rPr/>
            </w:pPr>
            <w:r>
              <w:rPr/>
            </w:r>
          </w:p>
        </w:tc>
        <w:tc>
          <w:tcPr>
            <w:tcW w:w="4428" w:type="dxa"/>
            <w:tcBorders/>
          </w:tcPr>
          <w:p>
            <w:pPr>
              <w:pStyle w:val="Caption"/>
              <w:snapToGrid w:val="false"/>
              <w:jc w:val="center"/>
              <w:rPr/>
            </w:pPr>
            <w:r>
              <w:rPr/>
            </w:r>
          </w:p>
          <w:p>
            <w:pPr>
              <w:pStyle w:val="Caption"/>
              <w:jc w:val="center"/>
              <w:rPr/>
            </w:pPr>
            <w:r>
              <w:rPr/>
            </w:r>
          </w:p>
          <w:p>
            <w:pPr>
              <w:pStyle w:val="Caption"/>
              <w:jc w:val="center"/>
              <w:rPr/>
            </w:pPr>
            <w:r>
              <w:rPr/>
            </w:r>
          </w:p>
          <w:p>
            <w:pPr>
              <w:pStyle w:val="Caption"/>
              <w:jc w:val="center"/>
              <w:rPr/>
            </w:pPr>
            <w:r>
              <w:rPr/>
              <w:t>Investigation 99-07-003</w:t>
            </w:r>
          </w:p>
          <w:p>
            <w:pPr>
              <w:pStyle w:val="Caption"/>
              <w:jc w:val="center"/>
              <w:rPr/>
            </w:pPr>
            <w:r>
              <w:rPr/>
              <w:t>(Filed July 8, 1999)</w:t>
            </w:r>
          </w:p>
          <w:p>
            <w:pPr>
              <w:pStyle w:val="Caption"/>
              <w:jc w:val="center"/>
              <w:rPr/>
            </w:pPr>
            <w:r>
              <w:rPr/>
            </w:r>
          </w:p>
        </w:tc>
      </w:tr>
    </w:tbl>
    <w:p>
      <w:pPr>
        <w:pStyle w:val="Normal"/>
        <w:spacing w:lineRule="auto" w:line="360"/>
        <w:jc w:val="center"/>
        <w:rPr>
          <w:b/>
          <w:sz w:val="28"/>
        </w:rPr>
      </w:pPr>
      <w:r>
        <w:rPr>
          <w:b/>
          <w:sz w:val="28"/>
        </w:rPr>
      </w:r>
    </w:p>
    <w:p>
      <w:pPr>
        <w:pStyle w:val="Normal"/>
        <w:spacing w:lineRule="auto" w:line="360"/>
        <w:jc w:val="center"/>
        <w:rPr>
          <w:b/>
          <w:sz w:val="28"/>
        </w:rPr>
      </w:pPr>
      <w:r>
        <w:rPr>
          <w:b/>
          <w:sz w:val="28"/>
        </w:rPr>
      </w:r>
    </w:p>
    <w:p>
      <w:pPr>
        <w:pStyle w:val="Normal"/>
        <w:spacing w:lineRule="auto" w:line="360"/>
        <w:jc w:val="center"/>
        <w:rPr>
          <w:b/>
          <w:sz w:val="28"/>
        </w:rPr>
      </w:pPr>
      <w:r>
        <w:rPr>
          <w:b/>
          <w:sz w:val="28"/>
        </w:rPr>
        <w:t>REPLY BRIEF OF THE OFFICE OF RATEPAYER ADVOCATES</w:t>
      </w:r>
    </w:p>
    <w:p>
      <w:pPr>
        <w:pStyle w:val="Normal"/>
        <w:spacing w:lineRule="auto" w:line="360"/>
        <w:jc w:val="center"/>
        <w:rPr>
          <w:b/>
          <w:sz w:val="28"/>
        </w:rPr>
      </w:pPr>
      <w:r>
        <w:rPr>
          <w:b/>
          <w:sz w:val="28"/>
        </w:rPr>
      </w:r>
    </w:p>
    <w:p>
      <w:pPr>
        <w:pStyle w:val="Heading1"/>
        <w:numPr>
          <w:ilvl w:val="0"/>
          <w:numId w:val="2"/>
        </w:numPr>
        <w:rPr/>
      </w:pPr>
      <w:bookmarkStart w:id="0" w:name="__RefHeading___Toc489677862"/>
      <w:bookmarkEnd w:id="0"/>
      <w:r>
        <w:rPr/>
        <w:t>INTRODUCTION</w:t>
      </w:r>
    </w:p>
    <w:p>
      <w:pPr>
        <w:pStyle w:val="BodyText"/>
        <w:rPr/>
      </w:pPr>
      <w:r>
        <w:rPr/>
        <w:t>In its opening brief (OB), the Office of Ratepayer Advocates (ORA) addressed the reasonableness of each element of the Comprehensive Settlement. The opening brief also responded to criticisms of Comprehensive Settlement and included a critique of the Post Interim Settlement.  The brief concluded that the Comprehensive Settlement was reasonable, in the public interest and should be adopted without change and that the Post Interim Settlement should be rejected.  This reply brief will not repeat those arguments and is primarily limited to responding to the claims of TURN and others regarding the impact of the Comprehensive Settlement on core customers.  ORA leaves it to other settlement parties to further address the arguments of SCGC and others regarding the impact of the Comprehensive Settlement on noncore customers including electric generators.</w:t>
      </w:r>
    </w:p>
    <w:p>
      <w:pPr>
        <w:pStyle w:val="BodyText"/>
        <w:rPr/>
      </w:pPr>
      <w:r>
        <w:rPr/>
        <w:t>TURN contends that the Comprehensive Settlement will adversely impact core customers while the Post Interim Settlement will benefit them.  As set forth in detail in sections which follow, the exact opposite is the case. Adoption of the Comprehensive Settlement will have no adverse impact on the core and instead will benefit it in numerous ways including:</w:t>
      </w:r>
    </w:p>
    <w:p>
      <w:pPr>
        <w:pStyle w:val="Quotation"/>
        <w:numPr>
          <w:ilvl w:val="0"/>
          <w:numId w:val="3"/>
        </w:numPr>
        <w:tabs>
          <w:tab w:val="clear" w:pos="720"/>
          <w:tab w:val="left" w:pos="1800" w:leader="none"/>
        </w:tabs>
        <w:ind w:hanging="360" w:start="1800" w:end="1440"/>
        <w:rPr/>
      </w:pPr>
      <w:r>
        <w:rPr/>
        <w:t>The unbundling of transmission, storage and balancing services is accomplished without any adverse impact on core (or noncore) customers.</w:t>
      </w:r>
    </w:p>
    <w:p>
      <w:pPr>
        <w:pStyle w:val="Quotation"/>
        <w:numPr>
          <w:ilvl w:val="0"/>
          <w:numId w:val="3"/>
        </w:numPr>
        <w:tabs>
          <w:tab w:val="clear" w:pos="720"/>
          <w:tab w:val="left" w:pos="1800" w:leader="none"/>
        </w:tabs>
        <w:ind w:hanging="360" w:start="1800" w:end="1440"/>
        <w:rPr/>
      </w:pPr>
      <w:r>
        <w:rPr/>
        <w:t>The core’s responsibility for ITCS costs is eliminated</w:t>
      </w:r>
    </w:p>
    <w:p>
      <w:pPr>
        <w:pStyle w:val="Quotation"/>
        <w:numPr>
          <w:ilvl w:val="0"/>
          <w:numId w:val="3"/>
        </w:numPr>
        <w:tabs>
          <w:tab w:val="clear" w:pos="720"/>
          <w:tab w:val="left" w:pos="1800" w:leader="none"/>
        </w:tabs>
        <w:ind w:hanging="360" w:start="1800" w:end="1440"/>
        <w:rPr/>
      </w:pPr>
      <w:r>
        <w:rPr/>
        <w:t>The settlement assures that retail core procurement customers have sufficient firm interstate and intrastate capacity.</w:t>
      </w:r>
    </w:p>
    <w:p>
      <w:pPr>
        <w:pStyle w:val="Quotation"/>
        <w:numPr>
          <w:ilvl w:val="0"/>
          <w:numId w:val="3"/>
        </w:numPr>
        <w:tabs>
          <w:tab w:val="clear" w:pos="720"/>
          <w:tab w:val="left" w:pos="1800" w:leader="none"/>
        </w:tabs>
        <w:ind w:hanging="360" w:start="1800" w:end="1440"/>
        <w:rPr/>
      </w:pPr>
      <w:r>
        <w:rPr/>
        <w:t>The settlement assumes that retail core customers have a sufficient level of storage capacity.</w:t>
      </w:r>
    </w:p>
    <w:p>
      <w:pPr>
        <w:pStyle w:val="Quotation"/>
        <w:numPr>
          <w:ilvl w:val="0"/>
          <w:numId w:val="3"/>
        </w:numPr>
        <w:tabs>
          <w:tab w:val="clear" w:pos="720"/>
          <w:tab w:val="left" w:pos="1800" w:leader="none"/>
        </w:tabs>
        <w:ind w:hanging="360" w:start="1800" w:end="1440"/>
        <w:rPr/>
      </w:pPr>
      <w:r>
        <w:rPr/>
        <w:t>The settlement provides for a highly favorable allocation of valuable Topock capacity to the core.</w:t>
      </w:r>
    </w:p>
    <w:p>
      <w:pPr>
        <w:pStyle w:val="Quotation"/>
        <w:numPr>
          <w:ilvl w:val="0"/>
          <w:numId w:val="3"/>
        </w:numPr>
        <w:tabs>
          <w:tab w:val="clear" w:pos="720"/>
          <w:tab w:val="left" w:pos="1800" w:leader="none"/>
        </w:tabs>
        <w:ind w:hanging="360" w:start="1800" w:end="1440"/>
        <w:rPr/>
      </w:pPr>
      <w:r>
        <w:rPr/>
        <w:t>The allocation of stranded storage costs to the core is reduced and eventually eliminated by placing SoCalGas at risk for stranded storage costs.</w:t>
      </w:r>
    </w:p>
    <w:p>
      <w:pPr>
        <w:pStyle w:val="Quotation"/>
        <w:numPr>
          <w:ilvl w:val="0"/>
          <w:numId w:val="3"/>
        </w:numPr>
        <w:tabs>
          <w:tab w:val="clear" w:pos="720"/>
          <w:tab w:val="left" w:pos="1800" w:leader="none"/>
        </w:tabs>
        <w:ind w:hanging="360" w:start="1800" w:end="1440"/>
        <w:rPr/>
      </w:pPr>
      <w:r>
        <w:rPr/>
        <w:t>By placing SoCalGas at risk for backbone transmission costs, retail core customers also avoid any stranded backbone costs resulting from growth in the core transportation program.</w:t>
      </w:r>
    </w:p>
    <w:p>
      <w:pPr>
        <w:pStyle w:val="Quotation"/>
        <w:numPr>
          <w:ilvl w:val="0"/>
          <w:numId w:val="3"/>
        </w:numPr>
        <w:tabs>
          <w:tab w:val="clear" w:pos="720"/>
          <w:tab w:val="left" w:pos="1800" w:leader="none"/>
        </w:tabs>
        <w:spacing w:before="0" w:after="240"/>
        <w:ind w:hanging="360" w:start="1800" w:end="1440"/>
        <w:rPr/>
      </w:pPr>
      <w:r>
        <w:rPr/>
        <w:t>The settlement provides the opportunity for greater competition in the core market through both the unbundling of interstate capacity, storage and intrastate transmission for core transportation customers and through the retail provisions of the settlement which provide for an increase in the core brokerage fee and billing credits for consolidated billing.</w:t>
      </w:r>
    </w:p>
    <w:p>
      <w:pPr>
        <w:pStyle w:val="BodyText"/>
        <w:rPr/>
      </w:pPr>
      <w:r>
        <w:rPr/>
        <w:t>This last benefit is of particular note.  The Commission first authorized a core transportation program for California almost a decade ago.  Participation in California has languished at a level of approximately 5% of core throughput.  By unbundling along the “value line”, ( i.e. transmission, storage, interstate capacity and balancing) together with an increase in the core brokerage fee and the provision of billing credits, the Comprehensive Settlement finally provides Core Transportation Agents (CTAs) the tools they need to serve their customers more efficiently and to more aggressively pursue core load, including the currently underserved residential market.</w:t>
      </w:r>
    </w:p>
    <w:p>
      <w:pPr>
        <w:pStyle w:val="BodyText"/>
        <w:rPr/>
      </w:pPr>
      <w:r>
        <w:rPr/>
        <w:t xml:space="preserve">By contrast, the Post-Interim Settlement is a recipe for continuing stagnation in terms of bringing the benefits of competition to the core market.  This is because it essentially preserves the status quo except for the unbundling of interstate capacity costs for the core transportation market.  Even this benefit to the core transportation program is of limited value since the Post-Interim Settlement allocates the bulk of the stranded costs to the customers participating in the core transportation program thereby providing a </w:t>
      </w:r>
      <w:r>
        <w:rPr>
          <w:u w:val="single"/>
        </w:rPr>
        <w:t>disincentive</w:t>
      </w:r>
      <w:r>
        <w:rPr/>
        <w:t xml:space="preserve"> to switch from utility procurement service.  The Comprehensive Settlement, by contrast, treats this issue in the traditional equitable fashion by allocating the stranded costs to all core customers on an equal cents per therm basis with core procurement customers paying the same rate as core transportation customers.</w:t>
      </w:r>
    </w:p>
    <w:p>
      <w:pPr>
        <w:pStyle w:val="BodyText"/>
        <w:rPr/>
      </w:pPr>
      <w:r>
        <w:rPr/>
        <w:t>Before addressing the impact of the competing settlements on core customers in greater detail, it would be helpful to step back and take a broader look at the major issue in this proceeding, the unbundling of SoCalGas’ backbone transmission system and the creation of a system of firm, tradable rights which can be acquired through optional demand charge rate designs based upon the embedded cost of the transmission system.</w:t>
      </w:r>
    </w:p>
    <w:p>
      <w:pPr>
        <w:pStyle w:val="BodyText"/>
        <w:rPr/>
      </w:pPr>
      <w:r>
        <w:rPr/>
        <w:t>The opponents of the Comprehensive Settlement are essentially predicting doom if this system is implemented.  To put this claim in prospective it should be noted that the $76 million in embedded transmission costs which are being unbundled represents a mere 5% of SoCalGas’ base margin and a significantly lower percentage of the total delivered cost of gas onto the SoCalGas system. In the overall scheme of things, the magnitude of dollars at risk from unbundling simply is not that great.  As another example, TURN identifies $15.7 million in additional costs it believes the core could potentially incur if the Comprehensive Settlement is approved.  This analysis excludes the $11.6</w:t>
      </w:r>
      <w:r>
        <w:rPr>
          <w:rStyle w:val="FootnoteCharacters"/>
          <w:rStyle w:val="FootnoteReference"/>
        </w:rPr>
        <w:footnoteReference w:id="2"/>
      </w:r>
      <w:r>
        <w:rPr/>
        <w:t xml:space="preserve"> million in potential benefits associated with elimination of core ITCS responsibility.  Inclusion of these benefits reduces TURN’s cost estimate to $4.1 million.  While ORA disagrees with TURN’s analysis, even if this net cost of $4.1 does exist it represents less than 0.3% of the base margin allocated to the core and only 0.2% of the total delivered cost of gas.  All restructuring efforts are accompanied by some risk.  This minute level of risk to core customers does not justify rejection of the Comprehensive Settlement and the promising options it would implement.</w:t>
      </w:r>
    </w:p>
    <w:p>
      <w:pPr>
        <w:pStyle w:val="BodyText"/>
        <w:rPr/>
      </w:pPr>
      <w:r>
        <w:rPr/>
        <w:t xml:space="preserve">The critics of the demand charge rate designs contained in the Comprehensive Settlement also fail to acknowledge that some type of demand charge rate design goes hand in hand with firm capacity rights.  All volumetric rates and firm capacity rights are simply incompatible.  Furthermore, the rate designs in the Comprehensive Settlement are consistent with rate designs in place on both the interstate system and in northern California. </w:t>
      </w:r>
    </w:p>
    <w:p>
      <w:pPr>
        <w:pStyle w:val="BodyText"/>
        <w:rPr/>
      </w:pPr>
      <w:r>
        <w:rPr/>
        <w:t xml:space="preserve">Finally, these parties claim that approval of the Comprehensive Settlement will result in a “bottleneck” on the SoCalGas system and the potential for price gouging.  This speculation ignores four essential facts: (1) there is no evidence of price gouging on the PG&amp;E system under the Gas Accord; (2) SoCalGas has more excess backbone transmission capacity than PG&amp;E; (3) SoCalGas has significantly more storage capacity than PG&amp;E; and (4) the open season provides noncore customers preferred access to intrastate capacity.  In short, what has </w:t>
      </w:r>
      <w:r>
        <w:rPr>
          <w:u w:val="single"/>
        </w:rPr>
        <w:t xml:space="preserve">not </w:t>
      </w:r>
      <w:r>
        <w:rPr/>
        <w:t>occurred on the PG&amp;E system is even less likely to occur on the SoCalGas system.</w:t>
      </w:r>
    </w:p>
    <w:p>
      <w:pPr>
        <w:pStyle w:val="BodyText"/>
        <w:rPr/>
      </w:pPr>
      <w:r>
        <w:rPr/>
        <w:t>In conclusion, the speculative predictions of doom by the opponents of the Comprehensive Settlement are simply not supported by experience across the country and in northern California. In their reply briefs, these parties will undoubtedly attempt to use the recent pricing problems in the electric market as a red flag regarding the Comprehensive Settlement. ORA simply asks the Commission to bear in mind that the restructuring of the natural gas industry across north America and in northern California has been a success story. The same should be true for southern California when the Comprehensive Settlement is approved and implemented.</w:t>
      </w:r>
    </w:p>
    <w:p>
      <w:pPr>
        <w:pStyle w:val="Heading1"/>
        <w:numPr>
          <w:ilvl w:val="0"/>
          <w:numId w:val="2"/>
        </w:numPr>
        <w:rPr/>
      </w:pPr>
      <w:bookmarkStart w:id="1" w:name="__RefHeading___Toc489677863"/>
      <w:r>
        <w:rPr/>
        <w:t>THE COMPREHENSIVE SETTLEMENT CLEARLY BENEFITS CORE CUSTOMERS</w:t>
      </w:r>
      <w:bookmarkEnd w:id="1"/>
      <w:r>
        <w:rPr/>
        <w:t>.</w:t>
      </w:r>
    </w:p>
    <w:p>
      <w:pPr>
        <w:pStyle w:val="BodyText"/>
        <w:rPr/>
      </w:pPr>
      <w:r>
        <w:rPr/>
        <w:t>In its Opening Brief, TURN alleges that implementation of the Comprehensive Settlement will cost core customers an estimated $15.7 million.  (TURN OB, p. 67)  By contrast, ORA estimates that the Comprehensive Settlement will provide $11.8 in net benefits to the core.  TURN’s analysis misrepresents the cost allocation impacts of the Comprehensive Settlement and manufactures customer costs where none exist.  The approach taken by TURN in its brief is antithetical to typical cost/benefit analysis in which the analysis is based upon normal expectations or a base case.  TURN skews its analysis by relying on potential costs associated with cold weather while ignoring the potential benefits associated with warm and normal weather conditions.  TURN’s analysis also completely ignores the benefit to the core from the elimination the ITCS allocation to retail core customers that is proposed not only by the Comprehensive Settlement but also by the Post-Interim Settlement.</w:t>
      </w:r>
    </w:p>
    <w:p>
      <w:pPr>
        <w:pStyle w:val="BodyText"/>
        <w:rPr/>
      </w:pPr>
      <w:r>
        <w:rPr/>
        <w:t>The record in this proceeding clearly shows net benefits to core customers from the Comprehensive Settlement.  As set forth in Table 1 below, ORA estimates benefits to core customers totaling at least $11.8 million.  These include: (1) a $7.2 million benefit associated with the net impacts of storage and transmission unbundling, core interstate unbundling, and the elimination of the ITCS costs allocation to core customers (SoCalGas/Lorenz, Ex. 2, Attachment 8.); (2) a $2.8 million benefit associated with the preferential reservation of Topock receipt point capacity (ORA/Pocta, Ex. 4, p. 11.); and (3) $1.8 million benefit associated with the elimination of the Noncore Storage Balancing Account (NSBA).</w:t>
      </w:r>
      <w:r>
        <w:rPr>
          <w:rStyle w:val="FootnoteCharacters"/>
          <w:rStyle w:val="FootnoteReference"/>
        </w:rPr>
        <w:footnoteReference w:id="3"/>
      </w:r>
      <w:r>
        <w:rPr/>
        <w:t xml:space="preserve">  </w:t>
      </w:r>
    </w:p>
    <w:p>
      <w:pPr>
        <w:pStyle w:val="BodyText"/>
        <w:ind w:hanging="0" w:end="0"/>
        <w:jc w:val="center"/>
        <w:rPr>
          <w:b/>
          <w:u w:val="single"/>
        </w:rPr>
      </w:pPr>
      <w:r>
        <w:rPr>
          <w:b/>
          <w:u w:val="single"/>
        </w:rPr>
        <w:t>TABLE 1</w:t>
      </w:r>
    </w:p>
    <w:p>
      <w:pPr>
        <w:pStyle w:val="BodyText"/>
        <w:spacing w:lineRule="auto" w:line="240"/>
        <w:ind w:hanging="0" w:end="0"/>
        <w:jc w:val="center"/>
        <w:rPr>
          <w:sz w:val="22"/>
        </w:rPr>
      </w:pPr>
      <w:r>
        <w:rPr>
          <w:sz w:val="22"/>
        </w:rPr>
        <w:t>Quantifiable Benefits of the Comprehensive Settlement to the Core Customer Class</w:t>
      </w:r>
    </w:p>
    <w:p>
      <w:pPr>
        <w:pStyle w:val="BodyText"/>
        <w:spacing w:lineRule="auto" w:line="240"/>
        <w:ind w:hanging="0" w:end="0"/>
        <w:jc w:val="center"/>
        <w:rPr>
          <w:sz w:val="22"/>
        </w:rPr>
      </w:pPr>
      <w:r>
        <w:rPr>
          <w:sz w:val="22"/>
        </w:rPr>
        <w:t>(ORA Estimate)</w:t>
      </w:r>
    </w:p>
    <w:p>
      <w:pPr>
        <w:pStyle w:val="BodyText"/>
        <w:spacing w:lineRule="auto" w:line="240"/>
        <w:ind w:hanging="0" w:end="0"/>
        <w:jc w:val="center"/>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rPr>
                <w:sz w:val="22"/>
              </w:rPr>
            </w:pPr>
            <w:r>
              <w:rPr>
                <w:sz w:val="22"/>
              </w:rPr>
              <w:t>Net Impact of Storage &amp; Transmission Unbundling; core interstate unbundling; elimination of ITCS allocation to core. (1)</w:t>
            </w:r>
          </w:p>
          <w:p>
            <w:pPr>
              <w:pStyle w:val="BodyText"/>
              <w:spacing w:lineRule="auto" w:line="240"/>
              <w:ind w:hanging="0" w:end="0"/>
              <w:rPr>
                <w:sz w:val="22"/>
              </w:rPr>
            </w:pPr>
            <w:r>
              <w:rPr>
                <w:sz w:val="22"/>
              </w:rPr>
            </w:r>
          </w:p>
        </w:tc>
        <w:tc>
          <w:tcPr>
            <w:tcW w:w="4428"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sz w:val="22"/>
              </w:rPr>
            </w:pPr>
            <w:r>
              <w:rPr>
                <w:sz w:val="22"/>
              </w:rPr>
              <w:t>$7.2 million</w:t>
            </w:r>
          </w:p>
          <w:p>
            <w:pPr>
              <w:pStyle w:val="BodyText"/>
              <w:spacing w:lineRule="auto" w:line="240"/>
              <w:ind w:hanging="0" w:end="0"/>
              <w:jc w:val="center"/>
              <w:rPr>
                <w:sz w:val="22"/>
              </w:rPr>
            </w:pPr>
            <w:r>
              <w:rPr>
                <w:sz w:val="22"/>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rPr>
                <w:sz w:val="22"/>
              </w:rPr>
            </w:pPr>
            <w:r>
              <w:rPr>
                <w:sz w:val="22"/>
              </w:rPr>
              <w:t>Topock Capacity Reservation (2)</w:t>
            </w:r>
          </w:p>
          <w:p>
            <w:pPr>
              <w:pStyle w:val="BodyText"/>
              <w:spacing w:lineRule="auto" w:line="240"/>
              <w:ind w:hanging="0" w:end="0"/>
              <w:rPr>
                <w:sz w:val="22"/>
              </w:rPr>
            </w:pPr>
            <w:r>
              <w:rPr>
                <w:sz w:val="22"/>
              </w:rPr>
            </w:r>
          </w:p>
        </w:tc>
        <w:tc>
          <w:tcPr>
            <w:tcW w:w="4428"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jc w:val="center"/>
              <w:rPr>
                <w:sz w:val="22"/>
              </w:rPr>
            </w:pPr>
            <w:r>
              <w:rPr>
                <w:sz w:val="22"/>
              </w:rPr>
              <w:t>2.8 million</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rPr>
                <w:sz w:val="22"/>
              </w:rPr>
            </w:pPr>
            <w:r>
              <w:rPr>
                <w:sz w:val="22"/>
              </w:rPr>
              <w:t>Elimination of NSBA allocation to core customers. (3)</w:t>
            </w:r>
          </w:p>
          <w:p>
            <w:pPr>
              <w:pStyle w:val="BodyText"/>
              <w:spacing w:lineRule="auto" w:line="240"/>
              <w:ind w:hanging="0" w:end="0"/>
              <w:rPr>
                <w:sz w:val="22"/>
              </w:rPr>
            </w:pPr>
            <w:r>
              <w:rPr>
                <w:sz w:val="22"/>
              </w:rPr>
            </w:r>
          </w:p>
        </w:tc>
        <w:tc>
          <w:tcPr>
            <w:tcW w:w="4428"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sz w:val="22"/>
              </w:rPr>
            </w:pPr>
            <w:r>
              <w:rPr>
                <w:sz w:val="22"/>
              </w:rPr>
              <w:t>1.8 million</w:t>
            </w:r>
          </w:p>
          <w:p>
            <w:pPr>
              <w:pStyle w:val="BodyText"/>
              <w:spacing w:lineRule="auto" w:line="240"/>
              <w:ind w:hanging="0" w:end="0"/>
              <w:jc w:val="center"/>
              <w:rPr>
                <w:sz w:val="22"/>
              </w:rPr>
            </w:pPr>
            <w:r>
              <w:rPr>
                <w:sz w:val="22"/>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rPr>
                <w:sz w:val="22"/>
              </w:rPr>
            </w:pPr>
            <w:r>
              <w:rPr>
                <w:sz w:val="22"/>
              </w:rPr>
              <w:t>Total Benefit/Savings</w:t>
            </w:r>
          </w:p>
        </w:tc>
        <w:tc>
          <w:tcPr>
            <w:tcW w:w="4428"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jc w:val="center"/>
              <w:rPr>
                <w:sz w:val="22"/>
              </w:rPr>
            </w:pPr>
            <w:r>
              <w:rPr>
                <w:sz w:val="22"/>
              </w:rPr>
              <w:t>$11.8 million</w:t>
            </w:r>
          </w:p>
        </w:tc>
      </w:tr>
    </w:tbl>
    <w:p>
      <w:pPr>
        <w:pStyle w:val="BodyText"/>
        <w:spacing w:lineRule="auto" w:line="240"/>
        <w:ind w:hanging="0" w:end="0"/>
        <w:jc w:val="center"/>
        <w:rPr>
          <w:sz w:val="22"/>
        </w:rPr>
      </w:pPr>
      <w:r>
        <w:rPr>
          <w:sz w:val="22"/>
        </w:rPr>
      </w:r>
    </w:p>
    <w:p>
      <w:pPr>
        <w:pStyle w:val="BodyText"/>
        <w:spacing w:lineRule="auto" w:line="240"/>
        <w:ind w:hanging="0" w:end="0"/>
        <w:rPr>
          <w:sz w:val="22"/>
        </w:rPr>
      </w:pPr>
      <w:r>
        <w:rPr>
          <w:sz w:val="22"/>
        </w:rPr>
        <w:t>(1) SoCalGas/Lorenz, Ex. 2, Attachment 8.</w:t>
      </w:r>
    </w:p>
    <w:p>
      <w:pPr>
        <w:pStyle w:val="BodyText"/>
        <w:spacing w:lineRule="auto" w:line="240"/>
        <w:ind w:hanging="0" w:end="0"/>
        <w:rPr>
          <w:sz w:val="22"/>
        </w:rPr>
      </w:pPr>
      <w:r>
        <w:rPr>
          <w:sz w:val="22"/>
        </w:rPr>
        <w:t>(2) ORA/Pocta, Ex. 4, p. 11.</w:t>
      </w:r>
    </w:p>
    <w:p>
      <w:pPr>
        <w:pStyle w:val="BodyText"/>
        <w:spacing w:lineRule="auto" w:line="240"/>
        <w:ind w:hanging="0" w:end="0"/>
        <w:rPr>
          <w:sz w:val="22"/>
        </w:rPr>
      </w:pPr>
      <w:r>
        <w:rPr>
          <w:sz w:val="22"/>
        </w:rPr>
        <w:t>(3) ORA/Pocta, Ex. 4, p. 15.</w:t>
      </w:r>
    </w:p>
    <w:p>
      <w:pPr>
        <w:pStyle w:val="BodyText"/>
        <w:ind w:hanging="0" w:end="0"/>
        <w:rPr>
          <w:sz w:val="22"/>
        </w:rPr>
      </w:pPr>
      <w:r>
        <w:rPr>
          <w:sz w:val="22"/>
        </w:rPr>
      </w:r>
    </w:p>
    <w:p>
      <w:pPr>
        <w:pStyle w:val="BodyText"/>
        <w:ind w:hanging="0" w:end="0"/>
        <w:rPr/>
      </w:pPr>
      <w:r>
        <w:rPr>
          <w:sz w:val="22"/>
        </w:rPr>
        <w:tab/>
      </w:r>
      <w:r>
        <w:rPr/>
        <w:t>As noted above, TURN’s $15.7 million cost estimate ignores the benefits associated with elimination of the core’s ITCS responsibility.  When these benefits are included, TURN’s cost estimates are reduced significantly. As shown in Table 2 below, inclusion of the ITCS benefits reduces the net costs to the core from $15.7 million to anywhere from $4.1 million to $8.2 million depending upon the market conditions for interstate capacity. Even if TURN’s cost analysis were valid, which it isn’t, all that it demonstrates is that the overall risk to the core from implementation of the Comprehensive Settlement is inconsequential.  The risk of cost increases of this magnitude are insufficient for purposes of rejecting the Comprehensive Settlement given that it would implement all of the Commission’s promising options. More importantly, as noted below, TURN’s cost estimates are invalid. Rather than “costing” core customers, the Comprehensive Settlement will, instead, provide net benefits.</w:t>
      </w:r>
    </w:p>
    <w:p>
      <w:pPr>
        <w:pStyle w:val="BodyText"/>
        <w:ind w:hanging="0" w:end="0"/>
        <w:jc w:val="center"/>
        <w:rPr>
          <w:b/>
          <w:u w:val="single"/>
        </w:rPr>
      </w:pPr>
      <w:r>
        <w:rPr>
          <w:b/>
          <w:u w:val="single"/>
        </w:rPr>
        <w:t>TABLE 2</w:t>
      </w:r>
    </w:p>
    <w:p>
      <w:pPr>
        <w:pStyle w:val="BodyText"/>
        <w:spacing w:lineRule="auto" w:line="240"/>
        <w:ind w:hanging="0" w:end="0"/>
        <w:jc w:val="center"/>
        <w:rPr>
          <w:sz w:val="22"/>
          <w:u w:val="single"/>
        </w:rPr>
      </w:pPr>
      <w:r>
        <w:rPr>
          <w:sz w:val="22"/>
          <w:u w:val="single"/>
        </w:rPr>
        <w:t>TURN estimate of the Quantifiable Cost of the Comprehensive Settlement (Including the Impact of the Elimination of ITCS)</w:t>
      </w:r>
    </w:p>
    <w:p>
      <w:pPr>
        <w:pStyle w:val="BodyText"/>
        <w:spacing w:lineRule="auto" w:line="240"/>
        <w:ind w:hanging="0" w:end="0"/>
        <w:jc w:val="center"/>
        <w:rPr>
          <w:sz w:val="22"/>
          <w:u w:val="single"/>
        </w:rPr>
      </w:pPr>
      <w:r>
        <w:rPr>
          <w:sz w:val="22"/>
          <w:u w:val="single"/>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BodyText"/>
              <w:snapToGrid w:val="false"/>
              <w:spacing w:lineRule="auto" w:line="240"/>
              <w:ind w:hanging="0" w:end="0"/>
              <w:rPr>
                <w:sz w:val="22"/>
              </w:rPr>
            </w:pPr>
            <w:r>
              <w:rPr>
                <w:sz w:val="22"/>
              </w:rPr>
            </w:r>
          </w:p>
          <w:p>
            <w:pPr>
              <w:pStyle w:val="BodyText"/>
              <w:spacing w:lineRule="auto" w:line="240"/>
              <w:ind w:hanging="0" w:end="0"/>
              <w:rPr>
                <w:sz w:val="22"/>
              </w:rPr>
            </w:pPr>
            <w:r>
              <w:rPr>
                <w:sz w:val="22"/>
              </w:rPr>
              <w:t>Total quantifiable cost estimated by TURN (1)</w:t>
            </w:r>
          </w:p>
          <w:p>
            <w:pPr>
              <w:pStyle w:val="BodyText"/>
              <w:spacing w:lineRule="auto" w:line="240"/>
              <w:ind w:hanging="0" w:end="0"/>
              <w:rPr>
                <w:sz w:val="22"/>
                <w:u w:val="single"/>
              </w:rPr>
            </w:pPr>
            <w:r>
              <w:rPr>
                <w:sz w:val="22"/>
                <w:u w:val="single"/>
              </w:rPr>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jc w:val="center"/>
              <w:rPr>
                <w:sz w:val="22"/>
                <w:u w:val="single"/>
              </w:rPr>
            </w:pPr>
            <w:r>
              <w:rPr>
                <w:sz w:val="22"/>
                <w:u w:val="single"/>
              </w:rPr>
              <w:t>Case 1</w:t>
            </w:r>
          </w:p>
          <w:p>
            <w:pPr>
              <w:pStyle w:val="BodyText"/>
              <w:spacing w:lineRule="auto" w:line="240"/>
              <w:ind w:hanging="0" w:end="0"/>
              <w:jc w:val="center"/>
              <w:rPr>
                <w:sz w:val="22"/>
                <w:u w:val="single"/>
              </w:rPr>
            </w:pPr>
            <w:r>
              <w:rPr>
                <w:sz w:val="22"/>
              </w:rPr>
              <w:t>$15.7 million</w:t>
            </w:r>
          </w:p>
        </w:tc>
        <w:tc>
          <w:tcPr>
            <w:tcW w:w="2952"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sz w:val="22"/>
                <w:u w:val="single"/>
              </w:rPr>
            </w:pPr>
            <w:r>
              <w:rPr>
                <w:sz w:val="22"/>
                <w:u w:val="single"/>
              </w:rPr>
              <w:t>Case 2</w:t>
            </w:r>
          </w:p>
          <w:p>
            <w:pPr>
              <w:pStyle w:val="BodyText"/>
              <w:ind w:hanging="0" w:end="0"/>
              <w:jc w:val="center"/>
              <w:rPr>
                <w:sz w:val="22"/>
              </w:rPr>
            </w:pPr>
            <w:r>
              <w:rPr>
                <w:sz w:val="22"/>
              </w:rPr>
              <w:t>15.7 million</w:t>
            </w:r>
          </w:p>
          <w:p>
            <w:pPr>
              <w:pStyle w:val="BodyText"/>
              <w:spacing w:lineRule="auto" w:line="240"/>
              <w:ind w:hanging="0" w:end="0"/>
              <w:jc w:val="center"/>
              <w:rPr>
                <w:sz w:val="22"/>
                <w:u w:val="single"/>
              </w:rPr>
            </w:pPr>
            <w:r>
              <w:rPr>
                <w:sz w:val="22"/>
                <w:u w:val="single"/>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rPr>
                <w:sz w:val="22"/>
              </w:rPr>
            </w:pPr>
            <w:r>
              <w:rPr>
                <w:sz w:val="22"/>
              </w:rPr>
              <w:t>Benefit of elimination of ITCS</w:t>
            </w:r>
          </w:p>
          <w:p>
            <w:pPr>
              <w:pStyle w:val="BodyText"/>
              <w:spacing w:lineRule="auto" w:line="240"/>
              <w:ind w:hanging="0" w:end="0"/>
              <w:rPr>
                <w:sz w:val="22"/>
                <w:u w:val="single"/>
              </w:rPr>
            </w:pPr>
            <w:r>
              <w:rPr>
                <w:sz w:val="22"/>
                <w:u w:val="single"/>
              </w:rPr>
            </w:r>
          </w:p>
        </w:tc>
        <w:tc>
          <w:tcPr>
            <w:tcW w:w="2952"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sz w:val="22"/>
              </w:rPr>
            </w:pPr>
            <w:r>
              <w:rPr>
                <w:sz w:val="22"/>
              </w:rPr>
              <w:t>(7.5) million (2)</w:t>
            </w:r>
          </w:p>
          <w:p>
            <w:pPr>
              <w:pStyle w:val="BodyText"/>
              <w:spacing w:lineRule="auto" w:line="240"/>
              <w:ind w:hanging="0" w:end="0"/>
              <w:jc w:val="center"/>
              <w:rPr>
                <w:sz w:val="22"/>
                <w:u w:val="single"/>
              </w:rPr>
            </w:pPr>
            <w:r>
              <w:rPr>
                <w:sz w:val="22"/>
                <w:u w:val="single"/>
              </w:rPr>
            </w:r>
          </w:p>
        </w:tc>
        <w:tc>
          <w:tcPr>
            <w:tcW w:w="2952"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sz w:val="22"/>
              </w:rPr>
            </w:pPr>
            <w:r>
              <w:rPr>
                <w:sz w:val="22"/>
              </w:rPr>
              <w:t>(11.6) million (3)</w:t>
            </w:r>
          </w:p>
          <w:p>
            <w:pPr>
              <w:pStyle w:val="BodyText"/>
              <w:spacing w:lineRule="auto" w:line="240"/>
              <w:ind w:hanging="0" w:end="0"/>
              <w:jc w:val="center"/>
              <w:rPr>
                <w:sz w:val="22"/>
                <w:u w:val="single"/>
              </w:rPr>
            </w:pPr>
            <w:r>
              <w:rPr>
                <w:sz w:val="22"/>
                <w:u w:val="single"/>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rPr>
                <w:sz w:val="22"/>
                <w:u w:val="single"/>
              </w:rPr>
            </w:pPr>
            <w:r>
              <w:rPr>
                <w:sz w:val="22"/>
              </w:rPr>
              <w:t>TURN Net quantifiable cost adjusted for ITCS</w:t>
            </w:r>
          </w:p>
        </w:tc>
        <w:tc>
          <w:tcPr>
            <w:tcW w:w="2952"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jc w:val="center"/>
              <w:rPr>
                <w:sz w:val="22"/>
                <w:u w:val="single"/>
              </w:rPr>
            </w:pPr>
            <w:r>
              <w:rPr>
                <w:sz w:val="22"/>
              </w:rPr>
              <w:t>$8.2 million</w:t>
            </w:r>
          </w:p>
        </w:tc>
        <w:tc>
          <w:tcPr>
            <w:tcW w:w="2952"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sz w:val="22"/>
              </w:rPr>
            </w:pPr>
            <w:r>
              <w:rPr>
                <w:sz w:val="22"/>
              </w:rPr>
              <w:t>$4.1 million</w:t>
            </w:r>
          </w:p>
          <w:p>
            <w:pPr>
              <w:pStyle w:val="BodyText"/>
              <w:ind w:hanging="0" w:end="0"/>
              <w:jc w:val="center"/>
              <w:rPr>
                <w:sz w:val="22"/>
              </w:rPr>
            </w:pPr>
            <w:r>
              <w:rPr>
                <w:sz w:val="22"/>
              </w:rPr>
            </w:r>
          </w:p>
        </w:tc>
      </w:tr>
    </w:tbl>
    <w:p>
      <w:pPr>
        <w:pStyle w:val="BodyText"/>
        <w:spacing w:lineRule="auto" w:line="240"/>
        <w:ind w:hanging="0" w:end="0"/>
        <w:rPr>
          <w:sz w:val="22"/>
        </w:rPr>
      </w:pPr>
      <w:r>
        <w:rPr>
          <w:sz w:val="22"/>
        </w:rPr>
        <w:t>(1) TURN OB, p.67.</w:t>
      </w:r>
    </w:p>
    <w:p>
      <w:pPr>
        <w:pStyle w:val="BodyText"/>
        <w:spacing w:lineRule="auto" w:line="240"/>
        <w:ind w:hanging="0" w:end="0"/>
        <w:rPr>
          <w:sz w:val="22"/>
        </w:rPr>
      </w:pPr>
      <w:r>
        <w:rPr>
          <w:sz w:val="22"/>
        </w:rPr>
        <w:t>(2) SoCalGas/Lorenz, Ex. 2, Attachment 8.</w:t>
      </w:r>
    </w:p>
    <w:p>
      <w:pPr>
        <w:pStyle w:val="BodyText"/>
        <w:spacing w:lineRule="auto" w:line="240"/>
        <w:ind w:hanging="270" w:start="270" w:end="0"/>
        <w:rPr>
          <w:sz w:val="22"/>
        </w:rPr>
      </w:pPr>
      <w:r>
        <w:rPr>
          <w:sz w:val="22"/>
        </w:rPr>
        <w:t>(3) D.00-04-060, Table 10, page 2,line 30. (maximum possible benefit is $11.9 million,     ORA/Pocta, Ex. 4, p.6.)</w:t>
      </w:r>
    </w:p>
    <w:p>
      <w:pPr>
        <w:pStyle w:val="BodyText"/>
        <w:rPr>
          <w:sz w:val="22"/>
        </w:rPr>
      </w:pPr>
      <w:r>
        <w:rPr>
          <w:sz w:val="22"/>
        </w:rPr>
      </w:r>
    </w:p>
    <w:p>
      <w:pPr>
        <w:pStyle w:val="BodyText"/>
        <w:rPr/>
      </w:pPr>
      <w:r>
        <w:rPr/>
        <w:t>Table 3 of TURN’s Opening Brief is the source of the alleged  $15.7 million cost to retail core customers that will result from approval of the Comprehensive Settlement.  (TURN OB, p. 67)  The table includes eight separate cost or benefit categories:  Five of these eight categories that are directly related to unbundling.  For these five unbundling categories, TURN estimates a net cost of $6.7 million to retail core customers.  This is comprised of: (1) a $4.7 million cost associated with unbundling transmission on an embedded cost basis; (2) a $5.2 benefit associated with unbundling storage on an embedded cost basis, (3) $3.2 million cost attributable to a reduction in storage inventory; (4) a $2.5 cost associated with stranded interstate capacity costs; and (5) a  $1.5 million increase in Montebello costs.</w:t>
      </w:r>
    </w:p>
    <w:p>
      <w:pPr>
        <w:pStyle w:val="BodyText"/>
        <w:rPr/>
      </w:pPr>
      <w:r>
        <w:rPr/>
        <w:t xml:space="preserve">Contrary to TURN’s assertions, the record evidence in this proceeding shows that the impact of the unbundling proposed in the Comprehensive Settlement is a $7.2 million </w:t>
      </w:r>
      <w:r>
        <w:rPr>
          <w:u w:val="single"/>
        </w:rPr>
        <w:t>decrease</w:t>
      </w:r>
      <w:r>
        <w:rPr/>
        <w:t xml:space="preserve"> to core customers in 2002.  (SoCalGas/Lorenz, Ex. 2, p. 27 &amp; Attachment 8.)  The primary driver of this </w:t>
      </w:r>
      <w:r>
        <w:rPr>
          <w:u w:val="single"/>
        </w:rPr>
        <w:t>decrease</w:t>
      </w:r>
      <w:r>
        <w:rPr/>
        <w:t xml:space="preserve"> is that the core customers responsibility for Interstate Transition Cost Surcharge (ITCS) costs, estimated at about $7.5 million (or more)</w:t>
      </w:r>
      <w:r>
        <w:rPr>
          <w:rStyle w:val="FootnoteCharacters"/>
          <w:rStyle w:val="FootnoteReference"/>
        </w:rPr>
        <w:footnoteReference w:id="4"/>
      </w:r>
      <w:r>
        <w:rPr/>
        <w:t xml:space="preserve"> annually, is eliminated in 2002.  Excluding the impact due to elimination of the core’s ITCS cost responsibility, the unbundling provisions result in essentially no net cost allocation impact to core (or noncore) customers.  For these five items for which TURN alleges a $6.7 million costs increase, there is actually no cost to the core at all. </w:t>
      </w:r>
    </w:p>
    <w:p>
      <w:pPr>
        <w:pStyle w:val="BodyText"/>
        <w:rPr/>
      </w:pPr>
      <w:r>
        <w:rPr/>
        <w:t xml:space="preserve">In Table 3, TURN identifies three additional categories where it believes that the Comprehensive Settlement will increase costs to the retail core.  It calculates a cost of $9.0 million associated with the following items: (1) $1.6 million in additional cost associated with purchases of additional transmission capacity; (2) $1.8 million for the purchasing an additional 114 MMcfd of intrastate capacity during winter season to match interstate capacity reservation; and (3) an increased gas cost of $5.6 million due to the inability to utilize more injection capacity.  There is no factual basis or foundation to support these alleged costs and no such costs will be incurred under normal operating conditions.  The cost estimates are based upon a misrepresentation of the terms contained in the Comprehensive Settlement.  The analysis simply fails to properly incorporate the structure and rationale for the retail core intrastate and storage reservations.  The numerous problems associated with TURN’s “cost” analysis are addressed below. </w:t>
      </w:r>
    </w:p>
    <w:p>
      <w:pPr>
        <w:pStyle w:val="Heading2"/>
        <w:numPr>
          <w:ilvl w:val="1"/>
          <w:numId w:val="2"/>
        </w:numPr>
        <w:rPr/>
      </w:pPr>
      <w:bookmarkStart w:id="2" w:name="__RefHeading___Toc489677864"/>
      <w:r>
        <w:rPr/>
        <w:t>The Storage Inventory Reduction is Not A Cost</w:t>
      </w:r>
      <w:bookmarkEnd w:id="2"/>
      <w:r>
        <w:rPr/>
        <w:t>.</w:t>
      </w:r>
    </w:p>
    <w:p>
      <w:pPr>
        <w:pStyle w:val="BodyText"/>
        <w:rPr/>
      </w:pPr>
      <w:r>
        <w:rPr/>
        <w:t xml:space="preserve">TURN estimates a cost of $3.2 million to retail core customers because they are allocated 15 BCF less in storage inventory.  It attempts to use this “cost” to offset the $5.2 million reduction in storage cost to the core resulting from unbundling storage on an embedded cost basis.  TURN bases this “cost” on the fact that the core would have to pay $3 million more if it wanted to reserve the same level of storage assets that it holds today.  This reasoning is illogical since a cost that will not be incurred in the future cannot be quantified as an actual cost.  TURN has merely identified an </w:t>
      </w:r>
      <w:r>
        <w:rPr>
          <w:u w:val="single"/>
        </w:rPr>
        <w:t>avoided</w:t>
      </w:r>
      <w:r>
        <w:rPr/>
        <w:t xml:space="preserve"> </w:t>
      </w:r>
      <w:r>
        <w:rPr>
          <w:u w:val="single"/>
        </w:rPr>
        <w:t>cost</w:t>
      </w:r>
      <w:r>
        <w:rPr/>
        <w:t xml:space="preserve"> due to the reduction in storage inventory.  This cannot be considered a quantifiable cost to the retail core.  The core only requires 35 BCF of inventory to meet its reliability requirements.  The settlement would include an additional 20 BCF of excess inventory capacity for a total of 50 BCF.   This is 57% above the reliability level required by core customers.  This excess is sufficient to meet core reliability and balancing requirements while providing sufficient flexibility to pursue arbitrage opportunities.  </w:t>
      </w:r>
    </w:p>
    <w:p>
      <w:pPr>
        <w:pStyle w:val="BodyText"/>
        <w:rPr/>
      </w:pPr>
      <w:r>
        <w:rPr/>
        <w:t>TURN admits that the core may not “need” the entire 70 Bcf of storage to meet reliability needs, but that claims the core could have used the excess storage for price arbitrage (TURN OB, p 45).  The only rationale for retaining a higher reservation of inventory capacity would be if there were guaranteed seasonal arbitrage opportunities.  TURN does not provide any analysis of seasonal arbitrage benefits.  The fact is that seasonal arbitrage benefits do not exist in all years.  In many years, prices during the injection season exceed prices during the withdrawal season.  When this occurs seasonal arbitrage can increase the cost to the core.  For example, in 1998-1999, the average price of gas for the seven injection months was $2.20/dth at the border which the exceeded the average price of gas of $2.03/dth for the five withdrawal months.</w:t>
      </w:r>
      <w:r>
        <w:rPr>
          <w:rStyle w:val="FootnoteCharacters"/>
          <w:rStyle w:val="FootnoteReference"/>
        </w:rPr>
        <w:footnoteReference w:id="5"/>
      </w:r>
      <w:r>
        <w:rPr/>
        <w:t xml:space="preserve">  Under this scenario, the reduction of inventory from 70 Bcf to 55 Bcf will result in a quantifiable net benefit to the core, not a cost.  The Settlement takes a conservative approach to storage by reducing the core reservation to a level that provides reliability, balancing, and sufficient flexibility for seasonal arbitrage.  When TURN’s alleged $3.2 storage cost is removed from the equation it is clear that the $5.2 million in benefits from storage unbundling exceed the $4.7 million cost of transmission unbundling.</w:t>
      </w:r>
    </w:p>
    <w:p>
      <w:pPr>
        <w:pStyle w:val="BodyText"/>
        <w:rPr/>
      </w:pPr>
      <w:r>
        <w:rPr/>
        <w:t>TURN complains that the Settlement reduces the core inventory without any compensation.  This is inaccurate. Seasonal arbitrage is a highly variable aspect of storage which does not carry a guaranteed value in all years.  Whether seasonal arbitrage is valuable is contingent on many market factors.  As discussed above, in many years the core would have incurred lower gas costs if it had injected less gas into storage.</w:t>
      </w:r>
    </w:p>
    <w:p>
      <w:pPr>
        <w:pStyle w:val="BodyText"/>
        <w:rPr/>
      </w:pPr>
      <w:r>
        <w:rPr/>
        <w:t xml:space="preserve">TURN’s analysis of the storage provisions of the Comprehensive Settlement also ignores storage-related benefits to the core resulting from the unbundled storage option for CTA customers.  This unbundling is accomplished without any allocation of stranded costs directly to retail core customers.  The stranded costs from core storage unbundling are allocated to the Noncore Storage Balancing Account (NSBA) until it is eliminated on April 1, 2003.  At that point shareholders become fully at risk for storage costs.  Avoiding the stranded costs associated with unbundling storage costs for CTAs is a direct benefit to the retail core. </w:t>
      </w:r>
    </w:p>
    <w:p>
      <w:pPr>
        <w:pStyle w:val="BodyText"/>
        <w:rPr/>
      </w:pPr>
      <w:r>
        <w:rPr/>
        <w:t xml:space="preserve">By contrast, the Post-Interim Settlement provides no unbundled storage option for CTA customers.  TURN alleges that this approach is more prudent.  This justification is inconsistent with Commission D.00-05-049, which approved a Settlement for PG&amp;E that unbundles storage for core customers.  Although the Post-Interim Settlement would eliminate the NSBA similar to the Comprehensive Settlement, this settlement provision was “negotiated” without SoCalGas, the party that incurs the risk, at the negotiating table. </w:t>
      </w:r>
    </w:p>
    <w:p>
      <w:pPr>
        <w:pStyle w:val="Heading2"/>
        <w:numPr>
          <w:ilvl w:val="1"/>
          <w:numId w:val="2"/>
        </w:numPr>
        <w:rPr/>
      </w:pPr>
      <w:bookmarkStart w:id="3" w:name="__RefHeading___Toc489677865"/>
      <w:r>
        <w:rPr/>
        <w:t>The Comprehensive Settlement Does Not Increase the Allocation of Montebello Costs To Core Customers</w:t>
      </w:r>
      <w:bookmarkEnd w:id="3"/>
      <w:r>
        <w:rPr/>
        <w:t>.</w:t>
      </w:r>
    </w:p>
    <w:p>
      <w:pPr>
        <w:pStyle w:val="BodyText"/>
        <w:rPr/>
      </w:pPr>
      <w:r>
        <w:rPr/>
        <w:t>TURN asserts that the core will incur an additional $1.5 million in costs for Montebello.  This is incorrect.  There is no cost increase to core customers from the fact that the Montebello gas storage facility remains (temporarily) in bundled rates.  This is because there is no net impact to core customers from the entire process of unbundling transmission and storage as proposed in the Comprehensive Settlement (excluding the ITCS benefit).  This includes both the allocation impacts of unbundling transmission and storage and the reallocation of the remaining base margin.  Even though the Montebello gas storage facility is not unbundled from base margin, it does not adversely impact core customers.</w:t>
      </w:r>
    </w:p>
    <w:p>
      <w:pPr>
        <w:pStyle w:val="BodyText"/>
        <w:rPr/>
      </w:pPr>
      <w:r>
        <w:rPr/>
        <w:t xml:space="preserve">TURN is correct in noting that the unbundling proposed in the Comprehensive Settlement will increase the EPMC allocation to core for the remaining bundled base margin costs.  However, this is a reasonable result of unbundling transmission and storage and is similar to the outcome of the PG&amp;E Gas Accord.  The EPMC allocator increases because the cost elements being unbundled, transmission and storage, have a much flatter (closer to an equal cents per therm) allocation among customer classes than the remaining bundled base margin functions of distribution and customer-related costs.  When these functional elements with flatter allocators are removed from the bundled transportation rate, the EPMC allocator for the remaining base margin goes up.  However, there is no overall cost allocation impact to core or noncore customers from the unbundling because the allocation factors ultimately net against one another. </w:t>
      </w:r>
    </w:p>
    <w:p>
      <w:pPr>
        <w:pStyle w:val="BodyText"/>
        <w:rPr/>
      </w:pPr>
      <w:r>
        <w:rPr/>
        <w:t xml:space="preserve">It would have been inappropriate to unbundle the Montebello facility costs and incorporate them into the unbundled storage rates.  This is because the facility is currently unused and SoCalGas has filed an application for authority to sell it. (A.00-04-031).  The core will ultimately benefit from the Montebello storage facility remaining in base margin versus being incorporated in the unbundled storage cost.  Under the Comprehensive Settlement, the core will receive the majority of the rate reduction when the facility is removed from rates as a result of the higher EPMC allocator.    </w:t>
      </w:r>
    </w:p>
    <w:p>
      <w:pPr>
        <w:pStyle w:val="Heading2"/>
        <w:numPr>
          <w:ilvl w:val="1"/>
          <w:numId w:val="2"/>
        </w:numPr>
        <w:rPr/>
      </w:pPr>
      <w:bookmarkStart w:id="4" w:name="__RefHeading___Toc489677866"/>
      <w:r>
        <w:rPr/>
        <w:t>TURN’s Identification of an Additional $2.5 Million In Stranded Interstate Capacity Costs Is Misleading</w:t>
      </w:r>
      <w:bookmarkEnd w:id="4"/>
      <w:r>
        <w:rPr/>
        <w:t>.</w:t>
      </w:r>
    </w:p>
    <w:p>
      <w:pPr>
        <w:pStyle w:val="BodyText"/>
        <w:rPr/>
      </w:pPr>
      <w:r>
        <w:rPr/>
        <w:t xml:space="preserve">TURN estimates a $2.5 million cost associated with the allocation of stranded costs from core interstate unbundling.  This so-called cost is highly misleading because it is based upon a comparison of the Post-Interim Settlement to the Comprehensive Settlement.  Both the Comprehensive Settlement and Post-Interim Settlement unbundle interstate capacity costs for core transportation customers.  They differ in the way the stranded costs are allocated within the core class.  The $2.5 million is the difference between the amount of stranded costs allocated to core </w:t>
      </w:r>
      <w:r>
        <w:rPr>
          <w:u w:val="single"/>
        </w:rPr>
        <w:t>sales</w:t>
      </w:r>
      <w:r>
        <w:rPr/>
        <w:t xml:space="preserve"> customers under Comprehensive Settlement and the Post-Interim Settlement.  The Post-Interim settlement would take the $2.5 million difference and allocate it to core </w:t>
      </w:r>
      <w:r>
        <w:rPr>
          <w:u w:val="single"/>
        </w:rPr>
        <w:t>transport</w:t>
      </w:r>
      <w:r>
        <w:rPr/>
        <w:t xml:space="preserve"> customers (TURN OB, p. 19)  As noted ORA’s opening brief and Section V this brief, the Comprehensive Settlement’s equal cents per therm allocator is both equitable and consistent with Commission precedent.  The allocation sponsored by TURN is neither.  TURN’s claim of an additional $2.5 in stranded interstate capacity costs should be ignored.</w:t>
      </w:r>
    </w:p>
    <w:p>
      <w:pPr>
        <w:pStyle w:val="Heading2"/>
        <w:numPr>
          <w:ilvl w:val="1"/>
          <w:numId w:val="2"/>
        </w:numPr>
        <w:rPr/>
      </w:pPr>
      <w:bookmarkStart w:id="5" w:name="__RefHeading___Toc489677867"/>
      <w:bookmarkEnd w:id="5"/>
      <w:r>
        <w:rPr/>
        <w:t>The $1.6 Million In Additional Cost Associated with Secondary Market Purchases Is Illusory.</w:t>
      </w:r>
    </w:p>
    <w:p>
      <w:pPr>
        <w:pStyle w:val="BodyText"/>
        <w:rPr/>
      </w:pPr>
      <w:r>
        <w:rPr/>
        <w:t xml:space="preserve">TURN alleges a cost of $1.6 million for additional capacity purchases made in the secondary market to meet flowing supply needs.  (TURN OB, p. 34)  The analysis is based upon 1999 operating data.  A basic problem with this analysis is that it fails to recognize the manner in which the Comprehensive Settlement reserves intrastate transmission and storage capacity for the retail core.  As discussed in the next section, the retail core has reserved sufficient intrastate transmission and storage capacity to meet its cold year requirements, and </w:t>
      </w:r>
      <w:r>
        <w:rPr>
          <w:u w:val="single"/>
        </w:rPr>
        <w:t>peak day</w:t>
      </w:r>
      <w:r>
        <w:rPr/>
        <w:t xml:space="preserve"> requirements.  The reservation assume a 10% CTA penetration level.  Under average year conditions, which are approximately 12% lower than cold year requirements, the retail core will have more than adequate intrastate capacity regardless of CTA usage.  The costs identified by TURN are not appropriately part of a cost/benefit analysis since they are based upon abnormal conditions.</w:t>
      </w:r>
    </w:p>
    <w:p>
      <w:pPr>
        <w:pStyle w:val="BodyText"/>
        <w:rPr/>
      </w:pPr>
      <w:r>
        <w:rPr/>
        <w:t xml:space="preserve">It is more economic for the core to purchase flowing supplies in the rare instances demand exceeds the core intrastate capacity reservation.  TURN’s position on this issue is somewhat surprising given its recommendation in the last SoCalGas BCAP that the core’s storage withdrawal reservation should be reduced because it was cheaper for the core to purchase flowing supplies.  Before the last BCAP, the storage withdrawal reservation, which is designed to meet peak requirements, was 1985 MMcfd.  TURN recommended reducing it to 1782 MMcfd.  The Commission adopted a reservation of 1935 MMcfd.  TURN’s recommendation was “based upon a cost-benefit analysis indicating that the purchase of flowing supplies on a peak day is considerably more economic than the reservation of additional withdrawal capacity on a year round basis.” (D.00-04-060, pp. 72-74.)  The same reasoning can be applied to the core reservation of intrastate backbone capacity in the Comprehensive Settlement.   It is more economic to make purchases using flowing supplies in the very rare instances that demand exceeds the retail core intrastate capacity reservation. </w:t>
      </w:r>
    </w:p>
    <w:p>
      <w:pPr>
        <w:pStyle w:val="Heading2"/>
        <w:numPr>
          <w:ilvl w:val="1"/>
          <w:numId w:val="2"/>
        </w:numPr>
        <w:rPr/>
      </w:pPr>
      <w:bookmarkStart w:id="6" w:name="__RefHeading___Toc489677868"/>
      <w:bookmarkEnd w:id="6"/>
      <w:r>
        <w:rPr/>
        <w:t>TURN’s Conclusion That the Core Will Incur An Additional $1.8 Million In Intrastate Capacity Costs Is Based On Upon Unrealistic Assumptions And an Invalid Technique.</w:t>
      </w:r>
    </w:p>
    <w:p>
      <w:pPr>
        <w:pStyle w:val="BodyText"/>
        <w:rPr/>
      </w:pPr>
      <w:r>
        <w:rPr/>
        <w:t xml:space="preserve">Next, TURN alleges that there is a mismatch between the core reservations of interstate and intrastate capacity and that this results in stranded core assets.  TURN surmises that there will be an additional $1.8 million cost to the retail core to meet an additional flowing supply need of 114 MMcfd during the winter season.  (TURN OB, p. 36)  TURN misses the actual benefit built into the Comprehensive Settlement. Setting the intrastate reservation lower than the intrastate reservation </w:t>
      </w:r>
      <w:r>
        <w:rPr>
          <w:u w:val="single"/>
        </w:rPr>
        <w:t>avoids</w:t>
      </w:r>
      <w:r>
        <w:rPr/>
        <w:t xml:space="preserve"> stranding intrastate capacity.</w:t>
      </w:r>
    </w:p>
    <w:p>
      <w:pPr>
        <w:pStyle w:val="BodyText"/>
        <w:rPr/>
      </w:pPr>
      <w:r>
        <w:rPr/>
        <w:t xml:space="preserve">The $1.8 million cost for the 114 MMcfd of additional intrastate capacity need is based on unrealistic assumptions.  It assumes both a CTA market penetration of 0% (while it is currently about 5%) and cold year weather conditions.  If the CTA market share is 10%, there is a perfect match under even cold year conditions.  If the CTA market is only 5%, then under average year conditions, the retail core still has sufficient capacity.  Only in a cold year, would the retail core require incremental gas supply or capacity.  If the retail core had reserved the entire 1044 MMcfd it would have actually </w:t>
      </w:r>
      <w:r>
        <w:rPr>
          <w:u w:val="single"/>
        </w:rPr>
        <w:t>created</w:t>
      </w:r>
      <w:r>
        <w:rPr/>
        <w:t xml:space="preserve"> stranded costs in every year but a cold year.  This would have been irresponsible and led to complaints that the Settlement created new stranded costs for retail core customers. </w:t>
      </w:r>
    </w:p>
    <w:p>
      <w:pPr>
        <w:pStyle w:val="BodyText"/>
        <w:rPr/>
      </w:pPr>
      <w:r>
        <w:rPr/>
        <w:t xml:space="preserve">On one hand, TURN complains of stranded costs due to interstate unbundling, on the other hand it complains that the retail core may need to go to the market to get more intrastate capacity.  TURN simply can’t have it both ways.  The entire stranded </w:t>
      </w:r>
      <w:r>
        <w:rPr>
          <w:u w:val="single"/>
        </w:rPr>
        <w:t>interstate</w:t>
      </w:r>
      <w:r>
        <w:rPr/>
        <w:t xml:space="preserve"> capacity issue is created because CTA marketers do not want to take SoCalGas’ </w:t>
      </w:r>
      <w:r>
        <w:rPr>
          <w:u w:val="single"/>
        </w:rPr>
        <w:t>interstate</w:t>
      </w:r>
      <w:r>
        <w:rPr/>
        <w:t xml:space="preserve"> capacity reservation.  Therefore, unbundling interstate capacity for CTA customers results in stranded </w:t>
      </w:r>
      <w:r>
        <w:rPr>
          <w:u w:val="single"/>
        </w:rPr>
        <w:t xml:space="preserve">interstate </w:t>
      </w:r>
      <w:r>
        <w:rPr/>
        <w:t xml:space="preserve">capacity costs.  It’s illogical to reserve </w:t>
      </w:r>
      <w:r>
        <w:rPr>
          <w:u w:val="single"/>
        </w:rPr>
        <w:t>intrastate</w:t>
      </w:r>
      <w:r>
        <w:rPr/>
        <w:t xml:space="preserve"> capacity for the retail core to match a portion of the 1044 MMcfd of interstate capacity that will be stranded. </w:t>
      </w:r>
    </w:p>
    <w:p>
      <w:pPr>
        <w:pStyle w:val="BodyText"/>
        <w:rPr/>
      </w:pPr>
      <w:r>
        <w:rPr/>
        <w:t xml:space="preserve">Only on rare occasions will the retail core need more intrastate capacity than the 930 MMcfd specific in the Comprehensive Settlement.  This rare occasion would only occur when CTA market share is below 10% </w:t>
      </w:r>
      <w:r>
        <w:rPr>
          <w:u w:val="single"/>
        </w:rPr>
        <w:t>and</w:t>
      </w:r>
      <w:r>
        <w:rPr/>
        <w:t xml:space="preserve"> a cold year occurs.  A cold year is expected to occur only once every thirty-five years.  Even at a 5% CTA level, incremental capacity (or city-gate purchases) will only be required during the rare cold year event.  Similar to TURN’s reasoning in its BCAP testimony (as discussed above), purchasing flowing supplies in these rare instances, which have only a 3% chance of occurring, is more economic than reserving capacity on a year round basis. </w:t>
      </w:r>
    </w:p>
    <w:p>
      <w:pPr>
        <w:pStyle w:val="BodyText"/>
        <w:rPr/>
      </w:pPr>
      <w:r>
        <w:rPr/>
        <w:t>There are two other fundamental problems with TURN’s use of a cold year analysis to conclude that the Comprehensive Settlement will increase costs to the core.  First, at a 5% CTA market share in a cold year, the retail core may require additional city-gate purchases (albeit at a level far below that estimated by TURN)</w:t>
      </w:r>
      <w:r>
        <w:rPr>
          <w:rStyle w:val="FootnoteCharacters"/>
        </w:rPr>
        <w:t xml:space="preserve"> </w:t>
      </w:r>
      <w:r>
        <w:rPr>
          <w:rStyle w:val="FootnoteCharacters"/>
          <w:rStyle w:val="FootnoteReference"/>
        </w:rPr>
        <w:footnoteReference w:id="6"/>
      </w:r>
      <w:r>
        <w:rPr/>
        <w:t xml:space="preserve"> to meet incremental demand, but it would not result in a </w:t>
      </w:r>
      <w:r>
        <w:rPr>
          <w:u w:val="single"/>
        </w:rPr>
        <w:t>rate</w:t>
      </w:r>
      <w:r>
        <w:rPr/>
        <w:t xml:space="preserve"> </w:t>
      </w:r>
      <w:r>
        <w:rPr>
          <w:u w:val="single"/>
        </w:rPr>
        <w:t>increase</w:t>
      </w:r>
      <w:r>
        <w:rPr/>
        <w:t>.</w:t>
      </w:r>
      <w:r>
        <w:rPr>
          <w:rStyle w:val="FootnoteCharacters"/>
        </w:rPr>
        <w:t xml:space="preserve"> </w:t>
      </w:r>
      <w:r>
        <w:rPr/>
        <w:t xml:space="preserve"> This is because the retail core rates are based on average year throughput.  If incremental city-gate purchases were required for additional incremental core cold year demand, then the incremental demand (above the average year) would pick up the incremental capacity or city-gate costs.  Thus, there would be no net rate increase.  Furthermore, these cold year purchases do not necessarily coincide with high priced peak demand periods, as implied by TURN.  This is because a cold year usually occurs by virtue of higher demand occurring in months such as November, March and/or April rather than the coldest winter months of December through February.</w:t>
      </w:r>
    </w:p>
    <w:p>
      <w:pPr>
        <w:pStyle w:val="BodyText"/>
        <w:rPr/>
      </w:pPr>
      <w:r>
        <w:rPr/>
        <w:t xml:space="preserve">The second fundamental problem with the cold year analysis is that it ignores the flip side of the coin, the consequences of a warm year.  Statistically speaking, a warm year is as equally likely to occur as a cold year.  In a warm year, the retail core will derive revenue through the ability of Gas Acquisition to broker excess intrastate capacity.  If the potential costs of a cold year are to be included in the analysis then the benefits of a warm year also must be considered.  TURN’s one-sided analysis fails to do this and as a consequence, is fatally flawed.  Even under average year conditions, the core will have excess intrastate transmission capacity in low demand months, and will generate revenue through brokering that capacity.  Therefore, the reservation of intrastate capacity for retail core actually benefits core customers under normal, expected conditions.  </w:t>
      </w:r>
    </w:p>
    <w:p>
      <w:pPr>
        <w:pStyle w:val="BodyText"/>
        <w:rPr/>
      </w:pPr>
      <w:r>
        <w:rPr/>
        <w:t xml:space="preserve">TURN also complains that Gas Acquisition will continue to pay for interstate capacity that it cannot utilize without purchasing additional intrastate capacity.  These circumstances are essentially no different than what occurs today.  The interstate capacity reservation is based on core cold year requirements, and the entire 1044 MMcfd of interstate capacity is not utilized by core customers today under most weather conditions.  In normal and warm years, the entire 1044 MMcfd of capacity is not fully utilized.  The Comprehensive Settlement appropriately addresses this underutilization phenomenon by leaving the least valuable interstate capacity unused at the Blythe receipt point, (if the CTA market share does not achieve a 10% level).   However, the retail core can access this capacity if it is ever needed or it can be broked.  </w:t>
      </w:r>
    </w:p>
    <w:p>
      <w:pPr>
        <w:pStyle w:val="Heading2"/>
        <w:numPr>
          <w:ilvl w:val="1"/>
          <w:numId w:val="2"/>
        </w:numPr>
        <w:rPr/>
      </w:pPr>
      <w:bookmarkStart w:id="7" w:name="__RefHeading___Toc489677869"/>
      <w:bookmarkEnd w:id="7"/>
      <w:r>
        <w:rPr/>
        <w:t>TURN’s Analysis Indicating An Additional $5.6 Million In Gas Cost Due To A Reduction In Storage Injection Flexibility Is Also Fatally Flawed.</w:t>
      </w:r>
    </w:p>
    <w:p>
      <w:pPr>
        <w:pStyle w:val="BodyText"/>
        <w:rPr/>
      </w:pPr>
      <w:r>
        <w:rPr/>
        <w:t>Finally, TURN identifies a cost to the retail core of $5.6 million for increased gas costs (based on 1999 data) due to the inability to utilize more injection capacity.  TURN relies on the testimony of Ms. Yap (SCGC/Yap, Ex. 109, p.1) to support its figure (TURN, OB, p. 50).  This purported cost is based on an assumption that if the core had not been able to inject above its 355.5 MMcfd reservation during May and June of 1999 and, instead, had to inject more evenly from May through October it would have incurred higher gas costs.  TURN and SCGC never fully explain why the Comprehensive Settlement would preclude the core from capturing these seasonal gas price benefits.  The Comprehensive Settlement places no restrictions Gas Acquisition’s ability to lower gas costs through modifying its injection pattern.  If there are lower gas prices in specific months (such as 1999), SoCalGas’ Gas Acquisition Department has every opportunity to capture these benefits under the Comprehensive Settlement.</w:t>
      </w:r>
    </w:p>
    <w:p>
      <w:pPr>
        <w:pStyle w:val="BodyText"/>
        <w:rPr/>
      </w:pPr>
      <w:r>
        <w:rPr/>
        <w:t xml:space="preserve">The premise for TURN’s calculation of the so-called cost, namely that the retail core would lose the economic opportunity of low gas prices throughout the injection cycle, is flawed.  Under the Comprehensive Settlement, the retail core will continue to have significant flexibility to inject gas into storage.  If the retail core requires additional injection rights, to capture low monthly gas prices, they can be purchased in the secondary market or on an interruptible basis.  Gas Acquisition can also utilize parking, lending, and other hub services to maximize purchases when it is economic to do so. </w:t>
      </w:r>
    </w:p>
    <w:p>
      <w:pPr>
        <w:pStyle w:val="BodyText"/>
        <w:rPr/>
      </w:pPr>
      <w:r>
        <w:rPr/>
        <w:t xml:space="preserve">There is nothing to preclude Gas Acquisition from continuing to maximize the injection flexibility under the Comprehensive Settlement to benefit ratepayers.  The only difference is that under the Comprehensive Settlement, the firm storage inventory is reduced from 70 Bcf to 55 Bcf.  The decrease in the amount of firm injection about which TURN complains is directly related to the 15 Bcf reduction in inventory. </w:t>
      </w:r>
    </w:p>
    <w:p>
      <w:pPr>
        <w:pStyle w:val="BodyText"/>
        <w:rPr/>
      </w:pPr>
      <w:r>
        <w:rPr/>
        <w:t>The retail core still retains sufficient, although not unlimited, flexibility associated with firm injection rights under the Comprehensive Settlement.  The Comprehensive Settlement provides core customers with storage rights of 55 Bcf of inventory, 327 MMcfd of injection capacity and 1935 MMcfd of withdrawal capacity.  Assuming an injection season of April through October, SoCalGas would need to inject 257 MMcfd ratably over those seven months to arrive at an inventory level of 55 Bcf by November 1.</w:t>
      </w:r>
      <w:r>
        <w:rPr>
          <w:rStyle w:val="FootnoteCharacters"/>
          <w:rStyle w:val="FootnoteReference"/>
        </w:rPr>
        <w:footnoteReference w:id="7"/>
      </w:r>
      <w:r>
        <w:rPr/>
        <w:t xml:space="preserve">  Therefore, the core market retains an additional 70 MMcfd of injection flexibility that can be used to inject additional gas into storage when it economic to do so.  This 70 MMcfd of injection capacity is 27% more than the ratable level, and provides a significant degree of monthly flexibility in order to make appropriate adjustments in gas purchasing.  Any additional requirements can be met through various market mechanisms.</w:t>
      </w:r>
    </w:p>
    <w:p>
      <w:pPr>
        <w:pStyle w:val="BodyText"/>
        <w:rPr/>
      </w:pPr>
      <w:r>
        <w:rPr/>
        <w:t>In conclusion, TURN has failed to provide any convincing evidence that the Comprehensive Settlement will harm core customers.  In fact, the opposite is the case.  The core will receive net benefits of up to $12 million as a result of implementing the Comprehensive Settlement.</w:t>
      </w:r>
    </w:p>
    <w:p>
      <w:pPr>
        <w:pStyle w:val="Heading1"/>
        <w:numPr>
          <w:ilvl w:val="0"/>
          <w:numId w:val="2"/>
        </w:numPr>
        <w:rPr/>
      </w:pPr>
      <w:bookmarkStart w:id="8" w:name="__RefHeading___Toc489677870"/>
      <w:r>
        <w:rPr/>
        <w:t>TURN FAILS TO ADDRESS THE INTERIM SETTLEMENT COSTS ASSOCIATED WITH THE WHEELER RIDGE EXPANSION</w:t>
      </w:r>
      <w:bookmarkEnd w:id="8"/>
      <w:r>
        <w:rPr/>
        <w:t>.</w:t>
      </w:r>
    </w:p>
    <w:p>
      <w:pPr>
        <w:pStyle w:val="BodyText"/>
        <w:rPr/>
      </w:pPr>
      <w:r>
        <w:rPr/>
        <w:t xml:space="preserve">The Interim Settlement includes a special provision for the potential expansion of SoCalGas’ Wheeler Ridge receipt point capacity by 100 MMcfd.  The expansion capital costs are to be recovered in rates up to a maximum of $12 million in 1999 dollars, subject to an annual CPI inflation adjustment.  This is about $13.5 million in 2002 dollars assuming a 4% annual inflation rate.  The costs associated with the facility would be rolled into SoCalGas’ transportation rates, without determining an allocation of costs to customer classes.  The Interim Settlement offers no analysis to justify an expansion.  There is no evidence that core customers would derive any value or benefit from this expansion.  Although, there is no cost allocation determination, under the current cost allocation method (with no unbundling), about 85% of the expansion costs would be allocated to core customers under the EPMC allocator.   This is a cost of the Interim Settlement that TURN manages to ignore.  ORA agrees with the analysis set forth in the Opening Brief of El Paso describing why there is insufficient evidence to support an expansion of Wheeler Ridge.  (El Paso, OB, pp. 9-13.) </w:t>
      </w:r>
    </w:p>
    <w:p>
      <w:pPr>
        <w:pStyle w:val="Heading1"/>
        <w:numPr>
          <w:ilvl w:val="0"/>
          <w:numId w:val="2"/>
        </w:numPr>
        <w:rPr/>
      </w:pPr>
      <w:bookmarkStart w:id="9" w:name="__RefHeading___Toc489677871"/>
      <w:r>
        <w:rPr/>
        <w:t>WHOLESALE CUSTOMERS WILL NOT BE ADVERSELY IMPACTED BY THE COMPREHENSIVE SETTLEMENT</w:t>
      </w:r>
      <w:bookmarkEnd w:id="9"/>
      <w:r>
        <w:rPr/>
        <w:t>.</w:t>
      </w:r>
    </w:p>
    <w:p>
      <w:pPr>
        <w:pStyle w:val="BodyText"/>
        <w:rPr/>
      </w:pPr>
      <w:r>
        <w:rPr/>
        <w:t xml:space="preserve">Both Long Beach (Long Beach, OB, pp. 17, 21) and Southwest Gas (Southwest, OB, p. 11) complain that the Comprehensive Settlement provisions regarding unbundled transmission and storage rates are likely to increase their costs.  However, neither party quantifies or provides any evidence in their respective prepared testimony or brief of any such increased costs.  Their opposition is unfounded.  The Comprehensive Settlement provides noncore, wholesale customers a host of options to develop a cost-effective portfolio of unbundled transmission and storage services to meet their customers’ requirements.  For unbundled backbone transmission capacity, noncore customers have two options for obtaining preferential access to capacity which are in addition to their right to participate in the open season. (Ex. 1, pp. 14-15.)  For unbundled storage service, there are numerous service options which wholesale customers have at their disposal.  (Ex.1, pp. 32-34.)  In particular, those customers with G-BSS contracts have the option to renew those contracts.  (Ex.1, p. 34.)  The Comprehensive Settlement provides Long Beach and Southwest numerous unbundled service options.  </w:t>
      </w:r>
    </w:p>
    <w:p>
      <w:pPr>
        <w:pStyle w:val="BodyText"/>
        <w:rPr/>
      </w:pPr>
      <w:r>
        <w:rPr/>
        <w:t xml:space="preserve">Southwest claims that because its load factor of about 40% is lower than the system load factor of 79%, it will be forced to absorb additional costs.  It never adequately explains the correlation between a 40% load factor and additional costs.  A low load factor customer such as Southwest, will merely need to determine the most optimal combination of transmission and storage to meet its requirements.  This is precisely how the reservations for SoCalGas’ retail core storage and transmission capacity are determined.  These reservations do not increase rates for the retail core customers, even though the retail core reserves transmission capacity at about one-third of its peak requirements.  The balance of the requirements during peak periods is met with withdrawal capacity and flowing (city-gate) supply.  Southwest and Long Beach can point to no record evidence that shows that their rates will increase due to the Comprehensive Settlement.  </w:t>
      </w:r>
    </w:p>
    <w:p>
      <w:pPr>
        <w:pStyle w:val="Heading1"/>
        <w:numPr>
          <w:ilvl w:val="0"/>
          <w:numId w:val="2"/>
        </w:numPr>
        <w:rPr/>
      </w:pPr>
      <w:bookmarkStart w:id="10" w:name="__RefHeading___Toc489677872"/>
      <w:r>
        <w:rPr/>
        <w:t>THE COMPREHENSIVE SETTLEMENT WILL INCREASE THE OPPORTUNITIES FOR CORE CUSTOMERS TO PARTICIPATE IN THE COMPETITIVE GAS MARKET WHILE THE POST INTERIM SETTLEMENT EFFECTIVELY DOES NOTHING.</w:t>
      </w:r>
      <w:bookmarkEnd w:id="10"/>
      <w:r>
        <w:rPr/>
        <w:t xml:space="preserve"> </w:t>
      </w:r>
    </w:p>
    <w:p>
      <w:pPr>
        <w:pStyle w:val="BodyText"/>
        <w:rPr/>
      </w:pPr>
      <w:r>
        <w:rPr/>
        <w:t>In its opening brief, TURN takes the position that approval of the Comprehensive Settlement will harm core customers.  It argues in favor of the Post-Interim Settlement on the grounds that it implements only those changes that will benefit core customers.  (TURN OB, p. 71)  In support of this argument, TURN claims that the only unbundling which will benefit core transportation customers is the unbundling of interstate capacity costs. (</w:t>
      </w:r>
      <w:r>
        <w:rPr>
          <w:u w:val="single"/>
        </w:rPr>
        <w:t>Id</w:t>
      </w:r>
      <w:r>
        <w:rPr/>
        <w:t>. p. 13-17) and that Post-Interim Settlement’s allocation of the stranded interstate capacity costs that result from this unbundling is the most equitable, (</w:t>
      </w:r>
      <w:r>
        <w:rPr>
          <w:u w:val="single"/>
        </w:rPr>
        <w:t>Id</w:t>
      </w:r>
      <w:r>
        <w:rPr/>
        <w:t>. p17-22)  As noted previously, TURN is simply wrong in it assertion that the various unbundling elements of the Comprehensive Settlement will harm core customers.  TURN is also wrong in its assertion that the Post-Interim Settlement contains all of the provisions that will truly benefit core customers.  The exact opposite is the case.  The Post-Interim Settlement’s failure to fully unbundle the various utility functions (transmission, storage and balancing) for core transportation agents (CTAs), together with its failure to address the retail issues resolved by the Comprehensive Settlement, will effectively deprive core customers of enhanced competitive market opportunities.</w:t>
      </w:r>
    </w:p>
    <w:p>
      <w:pPr>
        <w:pStyle w:val="BodyText"/>
        <w:rPr/>
      </w:pPr>
      <w:r>
        <w:rPr/>
        <w:t>The Commission first authorized the core transportation program in 1991.  The purpose of this program was to provide small and medium sized core customers the opportunity to participate in competitive gas markets.  (</w:t>
      </w:r>
      <w:r>
        <w:rPr>
          <w:u w:val="single"/>
        </w:rPr>
        <w:t>Re New Regulatory Framework for Gas Utilities</w:t>
      </w:r>
      <w:r>
        <w:rPr/>
        <w:t xml:space="preserve"> D.91-02-040, 39 CPUC2d 360, 362.)  After almost a decade of experience, participation levels in southern California are in the range of 5% on both the SoCalGas and SDG&amp;E systems.  There is a similar level of participation on the PG&amp;E system. </w:t>
      </w:r>
    </w:p>
    <w:p>
      <w:pPr>
        <w:pStyle w:val="BodyText"/>
        <w:rPr/>
      </w:pPr>
      <w:r>
        <w:rPr/>
        <w:t>The Commission made particular note of California’s low participation levels in its “promising options” decision.  It also made the following observation:</w:t>
      </w:r>
    </w:p>
    <w:p>
      <w:pPr>
        <w:pStyle w:val="Quotation"/>
        <w:rPr/>
      </w:pPr>
      <w:r>
        <w:rPr/>
        <w:t>The problem is not so much in core procurement itself, but in other areas of the gas delivery system.  It is possible that if we make modifications to the gas industry structure in California to allow competition all along the “value chain,” or along substantial portions, this may allow a greater degree of competition for core procurement customers, too.  (D.99-07-015, p. 52.</w:t>
      </w:r>
    </w:p>
    <w:p>
      <w:pPr>
        <w:pStyle w:val="BodyText"/>
        <w:rPr/>
      </w:pPr>
      <w:r>
        <w:rPr/>
        <w:t>There are numerous provisions in the Comprehensive Settlement directly aimed at allowing a greater degree of competition for core procurement customers.  In addition to unbundling all along the value chain, (i.e. interstate capacity, intrastate transmission capacity, storage and balancing), the retail provisions of the settlement provide CTAs with additional tools to more efficiently serve core customers.  These include a higher brokerage fee let at a level equal to that of PG&amp;E and billing credits for consolidated billing services provided by CTAs comparable to those available in the electric industry.  A more detailed comparison of the changes to the core transportation program resulting from the Comprehensive Settlement and the Post-Interim Settlement clearly demonstrates that only the Comprehensive Settlement offers any realistic prospect of improving the core’s access to competitive gas markets.</w:t>
      </w:r>
    </w:p>
    <w:p>
      <w:pPr>
        <w:pStyle w:val="Heading2"/>
        <w:numPr>
          <w:ilvl w:val="1"/>
          <w:numId w:val="2"/>
        </w:numPr>
        <w:rPr/>
      </w:pPr>
      <w:bookmarkStart w:id="11" w:name="__RefHeading___Toc489677873"/>
      <w:bookmarkEnd w:id="11"/>
      <w:r>
        <w:rPr/>
        <w:t>The Capacity and Retail Provisions of the Comprehensive Settlement Provide CTAs with Increased Flexibility Thereby Significantly Improving the Opportunity for Growth in the Core Transportation Program.</w:t>
      </w:r>
    </w:p>
    <w:p>
      <w:pPr>
        <w:pStyle w:val="BodyText"/>
        <w:rPr/>
      </w:pPr>
      <w:r>
        <w:rPr/>
        <w:t xml:space="preserve">TURN argues in its opening brief that only the unbundling of interstate capacity costs has any value to core customers.  It claims that the added value from the other unbundling elements is negligible by comparison and that any economic benefits are likely to become profits for marketers. (TURN OB, pp. 13-15) There are several responses to this argument.  First, the potential savings associated with the Comprehensive Settlement are significantly greater than the savings associated with the Post-Interim Settlement and it is, therefore, much more likely to improve participation levels.  Second, and perhaps most importantly, the Comprehensive Settlement significantly increases CTAs’ flexibility in providing services to core customers.  Third, marketers are unlikely to increase participation levels by retaining savings. </w:t>
      </w:r>
    </w:p>
    <w:p>
      <w:pPr>
        <w:pStyle w:val="BodyText"/>
        <w:rPr/>
      </w:pPr>
      <w:r>
        <w:rPr/>
        <w:t>The interstate unbundling element of the Comprehensive Settlement provides CTAs with a price advantage of approximatly$0.27/Dth.</w:t>
      </w:r>
      <w:r>
        <w:rPr>
          <w:rStyle w:val="FootnoteCharacters"/>
          <w:rStyle w:val="FootnoteReference"/>
          <w:sz w:val="28"/>
        </w:rPr>
        <w:footnoteReference w:id="8"/>
      </w:r>
      <w:r>
        <w:rPr/>
        <w:t xml:space="preserve"> (SoCalGas/Lorenz, Ex.2, p. 27) The Comprehensive Settlement equitably assigns the stranded costs associated with this savings to all core customers on an equal cents per therm basis resulting in a potential net savings of $0.21/Dth.  By contrast, the Post-Interim Settlement significantly reduces the value of interstate unbundling by assigning 50% of the stranded capacity costs back to core transport customer.  The storage unbundling provisions of the Comprehensive Settlement result in a potential savings of $0.097/Dth while the more limited unbundling provisions of the Post-Interim Settlement result in a savings of $0.03/Dth. (SoCalGas/Lorenz, Ex. 14, p. 2)  These two comparisons demonstrate that Comprehensive Settlement is more likely to improve participation levels.  The retail provisions of the Comprehensive Settlement provide for additional potential savings including the increase in the core brokerage fee from $0.02 to $0.024 Dth for SoCalGas (Ex.1, p. 63) and the credits for consolidated billing.  The Post-Interim Settlement fails to address these retail issues.</w:t>
      </w:r>
    </w:p>
    <w:p>
      <w:pPr>
        <w:pStyle w:val="BodyText"/>
        <w:rPr/>
      </w:pPr>
      <w:r>
        <w:rPr/>
        <w:t>The Comprehensive Settlement unbundles intrastate capacity costs while the Post-Interim Settlement prohibits unbundling for the next six years.  TURN correctly notes that no one has quantified the benefits associated with the unbundling of intrastate capacity. (TURN OB, p. 14)  That, however, does not mean that there is no value from the perspective of core customers taking service from CTAs.  First, as noted in Mr. Beach’s testimony, the city-gate market created as a result of unbundling has the real potential for savings.  More importantly, the unbundling of intrastate capacity together with the other unbundling elements and the retail provisions of the Comprehensive Settlement significantly increases the flexibility enjoyed by CTAs. As explained by Green Mountain witness Counihan testifying on behalf of core aggregators:</w:t>
      </w:r>
    </w:p>
    <w:p>
      <w:pPr>
        <w:pStyle w:val="Quotation"/>
        <w:rPr/>
      </w:pPr>
      <w:r>
        <w:rPr/>
        <w:t>It is important to emphasize, however, that the unbundling of these services is consistent with the Commission’s “promising options” and provides core aggregators the maximum flexibility to create products and services that offer added value to core customers. Increased flexibility for core aggregators makes it more likely that residential customers, as well as commercial customers, will enjoy the benefits of competitive alternatives.</w:t>
      </w:r>
    </w:p>
    <w:p>
      <w:pPr>
        <w:pStyle w:val="Quotation"/>
        <w:rPr/>
      </w:pPr>
      <w:r>
        <w:rPr/>
        <w:t>Over the past decade, development of the core aggregation program has been greatly hampered due to the lack of flexibility resulting primarily from the mandatory assignment of the utility’s firm interstate capacity and storage to core aggregators. This Settlement, if approved, will go a long way to finally bringing the proven benefits of unbundling to core transportation customers. (Green Mountain/Counihan, Ex. 7, p. 29)</w:t>
      </w:r>
    </w:p>
    <w:p>
      <w:pPr>
        <w:pStyle w:val="BodyText"/>
        <w:rPr/>
      </w:pPr>
      <w:r>
        <w:rPr/>
        <w:t>Contrary to TURN’s assertions, the unbundling and retail provisions of the Comprehensive Settlement have the potential for significant savings in addition to those attributable to just the unbundling of interstate capacity.</w:t>
      </w:r>
    </w:p>
    <w:p>
      <w:pPr>
        <w:pStyle w:val="BodyText"/>
        <w:rPr/>
      </w:pPr>
      <w:r>
        <w:rPr/>
        <w:t>TURN’s somewhat cynical response to the increased opportunities for CTAs is that “there is a high risk that any economic benefits will become profits for marketers.” (TURN OB, p. 14) ORA concedes that marketers are in business to turn a profit.  However, the Commission has taken the view that customers are likely to actually benefit from the competition between numerous sellers seeking to provide services to customers.  Today, approximately 85% of SoCalGas’ noncore customers are served by marketers.  Presumably, these marketers all turn a profit while providing a benefit to customers.  There is simply no evidence of a demand on the part to noncore customers to return to the monopoly model.  From the core’s perspective, if core marketers fail to pass potential savings on to customers they are unlikely to experience any increase in market share since customers will have no incentive to switch.  If, on the other hand, they pass savings on to customers, marketers can increase their market share and the core transportation program will grow.  The potential benefits to core customers as a result of the unbundling provision of the Comprehensive Settlement outweigh minimal benefits from the do nothing approach of the Post-Interim Settlement.</w:t>
      </w:r>
    </w:p>
    <w:p>
      <w:pPr>
        <w:pStyle w:val="BodyText"/>
        <w:rPr/>
      </w:pPr>
      <w:r>
        <w:rPr/>
        <w:t>TURN’s final argument is that, based upon PG&amp;E’s experience, the changes embodied in the Comprehensive Settlement are unlikely to increase penetration rates for the core transportation program. (TURN OB, p. 16) According to TURN, while the unbundling of interstate capacity costs on the PG&amp;E system in July 1997 resulted in modest growth in the core transportation program, the subsequent unbundling of intrastate capacity costs and storage costs in March 1998, pursuant to the Gas Accord, had no appreciable effect.(</w:t>
      </w:r>
      <w:r>
        <w:rPr>
          <w:u w:val="single"/>
        </w:rPr>
        <w:t>Id</w:t>
      </w:r>
      <w:r>
        <w:rPr/>
        <w:t>.) TURN further questions whether the additional unbundling of the balancing function on the PG&amp;E system as a part of the settlement approved by the Commission this past May will have any significant effect. (</w:t>
      </w:r>
      <w:r>
        <w:rPr>
          <w:u w:val="single"/>
        </w:rPr>
        <w:t>Id</w:t>
      </w:r>
      <w:r>
        <w:rPr/>
        <w:t>., p. 17)</w:t>
      </w:r>
    </w:p>
    <w:p>
      <w:pPr>
        <w:pStyle w:val="BodyText"/>
        <w:rPr/>
      </w:pPr>
      <w:r>
        <w:rPr/>
        <w:t xml:space="preserve">There several problems with TURN’s analysis. First it is misinterpreting the data regarding the impact that the unbundling of interstate and intrastate capacity costs had on PG&amp;E’s core transportation program.  As noted by ORA witness Pocta, from 1995 to 1999, throughput in PG&amp;E’s core transportation program increased by approximately 60%.  While residential throughput increased significantly during 1998 and 1999, this shouldn’t detract from the increase in core aggregator’s market share over this period.  This is because residential load is weather sensitive while the core transportation program focuses primarily on commercial and industrial customers that are </w:t>
      </w:r>
      <w:r>
        <w:rPr>
          <w:u w:val="single"/>
        </w:rPr>
        <w:t>not</w:t>
      </w:r>
      <w:r>
        <w:rPr/>
        <w:t xml:space="preserve"> weather sensitive. (ORA/Pocta, Tr. Vol. 9, pp. 1160-1161)  Put another way, comparing growth in core throughput to growth in the core transportation program, as TURN has done, masks the progress which has been made on the PG&amp;E system as a result of the unbundling of interstate and intrastate capacity. </w:t>
      </w:r>
    </w:p>
    <w:p>
      <w:pPr>
        <w:pStyle w:val="BodyText"/>
        <w:rPr/>
      </w:pPr>
      <w:r>
        <w:rPr/>
        <w:t>TURN is also incorrect when it asserts that the throughput figures in Ex. 113 incorporate the effect of storage unbundling on the PG&amp;E system.  (TURN OB, p. 16)  Storage unbundling for core customers has yet to be implemented on the PG&amp;E system. (ORA/Pocta, Tr. Vol.9, p. 1158)</w:t>
      </w:r>
    </w:p>
    <w:p>
      <w:pPr>
        <w:pStyle w:val="Heading2"/>
        <w:numPr>
          <w:ilvl w:val="1"/>
          <w:numId w:val="2"/>
        </w:numPr>
        <w:spacing w:before="120" w:after="240"/>
        <w:rPr/>
      </w:pPr>
      <w:bookmarkStart w:id="12" w:name="__RefHeading___Toc489677874"/>
      <w:bookmarkEnd w:id="12"/>
      <w:r>
        <w:rPr/>
        <w:t>The Post-Interim Settlement Offers Little In The Way Of Cost Savings Or Increased Flexibility and Is Unlikely To Increase the Core’s Access To Competitive Options.</w:t>
      </w:r>
    </w:p>
    <w:p>
      <w:pPr>
        <w:pStyle w:val="BodyText"/>
        <w:rPr/>
      </w:pPr>
      <w:r>
        <w:rPr/>
        <w:t>The Post-Interim Settlement provides for the unbundling of interstate capacity and a limited unbundling of storage for CTAs.  It fails to unbundle intrastate transmission and balancing services and also fails to address the retail issues covered by the Comprehensive Settlement including an increase in the core brokerage fee and the provision of billing credits for consolidated billing services provided by CTAs.  TURN argues for the adoption of the Post-Interim Settlement on the grounds that only the unbundling of interstate capacity has significant value for core customers. (TURN OB, p. 13)  In evaluating TURN’s claims the Commission should bear in mind the prediction of the core aggregators in this proceeding:</w:t>
      </w:r>
    </w:p>
    <w:p>
      <w:pPr>
        <w:pStyle w:val="Quotation"/>
        <w:spacing w:before="0" w:after="240"/>
        <w:rPr/>
      </w:pPr>
      <w:r>
        <w:rPr/>
        <w:t>Adoption of the Post-Interim Settlement would make marketers and residential customers less likely to participate in the core transport-only market, and would perpetuate the “two-tier” gas regulatory structure that currently exists in southern California. See Ex. 7 (Counihan) at pp. 3-4. Adoption of the Post-Interim Settlement also would prevent the Commission from achieving statewide consistency in its gas industry regulation. (Core Aggregators OB, p. 19)</w:t>
      </w:r>
    </w:p>
    <w:p>
      <w:pPr>
        <w:pStyle w:val="BodyText"/>
        <w:rPr/>
      </w:pPr>
      <w:r>
        <w:rPr/>
        <w:t>One need not go far to understand why this would be the outcome. First, as noted above, the Post-Interim settlement essentially does nothing in terms of increasing the flexibility offered core aggregators or addressing the issue of statewide consistency.  As noted by ORA witness Pocta, achieving statewide consistency is of considerable value since it will allow marketers to optimize their utilization of two unbundled systems. (ORA/Pocta, Tr. Vol. 9, p. 1161). While the Post-Interim Settlement does unbundle interstate capacity, it significantly devalues this “benefit” by assigning 50% the stranded costs to core transportation-only customers.  In 1999, these customers accounted for only 4.8% of core throughput. (Ex. 112, pp. 1,3) Under the Post-Interim Settlement, core transportation customers would be allocated 50% of the stranded costs.  The disproportionate impact of this methodology is most easily gleaned from the Table 1 in TURN’s opening brief (TURN OB, p. 19)  which shows the impact of the Post-Interim Settlement’s cost allocation methodology in year 2002, and Ex. 112, a TURN cross-examination exhibit showing total core throughput and core transportation- only throughput for the years 1995-1999.  Assuming core throughput in 2002 is comparable to 1999 throughput, core transportation customers would pay $0.096/Dth for stranded costs at a 10% penetration rate while core procurement customers would pay $0.01/Dth.  Put another way, core transportation customers’ stranded cost responsibility would be almost ten times greater than that of customers not participating in the program.  Since core customers moving from procurement service to transportation-only service will see a significant increase in their stranded cost responsibility, this is a clear disincentive to program participation.  Additionally, as stated in ORA’s Opening Brief, the proposal of TURN is inconsistent with prior Commission policy and the Proposed Decisions for this matter in A.97-12-048.  (ORA OB, pp. 37-43)</w:t>
      </w:r>
    </w:p>
    <w:p>
      <w:pPr>
        <w:pStyle w:val="BodyText"/>
        <w:rPr/>
      </w:pPr>
      <w:r>
        <w:rPr/>
        <w:t>TURN attempts to justify this skewed allocation on the grounds that the customers that benefit from the unbundling should pay the bulk of the costs.  This is fundamentally inconsistent with the way “transition costs” have been allocated in the past.  In its initial gas restructuring decision unbundling transportation and commodity costs, the Commission had to deal with the stranded cost recovery issue.  It called these costs “transition costs” and defined them in the following manner:</w:t>
      </w:r>
    </w:p>
    <w:p>
      <w:pPr>
        <w:pStyle w:val="Quotation"/>
        <w:rPr/>
      </w:pPr>
      <w:r>
        <w:rPr/>
        <w:t>D.86-12-009 and D.86-12-010 discussed the concept of transition costs, without attempting to quantify them or to define them more specifically than providing several examples of the type of cost that we considered to fit the concept.  We stated the essential idea of transition costs on page 23 of D.86-12-009:</w:t>
      </w:r>
    </w:p>
    <w:p>
      <w:pPr>
        <w:pStyle w:val="Quotation"/>
        <w:rPr/>
      </w:pPr>
      <w:r>
        <w:rPr/>
      </w:r>
    </w:p>
    <w:p>
      <w:pPr>
        <w:pStyle w:val="Quotation"/>
        <w:rPr/>
      </w:pPr>
      <w:r>
        <w:rPr/>
        <w:t>The basic concept is founded upon our recognition that there are certain costs that result from the past structure and practices of the gas industry, which are today in excess of a reasonable level, given today’s gas market and the new, still evolving industry structure.</w:t>
      </w:r>
    </w:p>
    <w:p>
      <w:pPr>
        <w:pStyle w:val="Quotation"/>
        <w:rPr/>
      </w:pPr>
      <w:r>
        <w:rPr/>
        <w:t>These costs date from the era when the utilities bought gas and built their systems with the obligation to serve all types of customers.  The purpose of identifying these costs now is to enable them to be shared equally among all current gas users.  If the existence of these costs means that all customers cannot enter the newly competitive gas market with a “clean slate”, at a minimum, out of a sense of fundamental fairness, we can ensure that everyone carries a slate that is equally dirty.  (</w:t>
      </w:r>
      <w:r>
        <w:rPr>
          <w:u w:val="single"/>
        </w:rPr>
        <w:t xml:space="preserve">Re Rate Design for Unbundled Gas Utility Services </w:t>
      </w:r>
      <w:r>
        <w:rPr/>
        <w:t>D.87-12-039, 26 CPUC 2d 213, 229)</w:t>
      </w:r>
    </w:p>
    <w:p>
      <w:pPr>
        <w:pStyle w:val="BodyText"/>
        <w:rPr/>
      </w:pPr>
      <w:r>
        <w:rPr/>
        <w:t>Consistent with this discussion, the Commission elected to allocate transition costs to all customers on an equal cents per therm basis.  Stranded interstate capacity costs also quality as a transition cost.  In its 1992 decision unbundling interstate capacity costs for noncore customers, the Commission specifically found that no particular class of customers was responsible for stranded interstate capacity costs and that they should be allocated to all customers on an equal cents per therm basis subject only to the 10% cap on the core allocation. (</w:t>
      </w:r>
      <w:r>
        <w:rPr>
          <w:u w:val="single"/>
        </w:rPr>
        <w:t>Re Natural Gas Procurement and Reliability Issues</w:t>
      </w:r>
      <w:r>
        <w:rPr/>
        <w:t xml:space="preserve">, D. 92-07-025, 45 CPUC 2d 47, 61)  The same is also true with respect to the stranded costs associated with the </w:t>
      </w:r>
      <w:r>
        <w:rPr>
          <w:u w:val="single"/>
        </w:rPr>
        <w:t>core’s</w:t>
      </w:r>
      <w:r>
        <w:rPr/>
        <w:t xml:space="preserve"> interstate capacity reservation.  The core transportation program wasn’t even in existence when the utilities initially made their long-term commitments to interstate capacity.  Consequently, the stranded costs associated with the unbundling of core interstate capacity should be shared equitably by all core customers.  The Comprehensive Settlement accomplishes this by allocating these costs to all core customers on an equal cents per therm basis in the post 2001 period.</w:t>
      </w:r>
      <w:r>
        <w:rPr>
          <w:rStyle w:val="FootnoteCharacters"/>
          <w:rStyle w:val="FootnoteReference"/>
          <w:sz w:val="28"/>
        </w:rPr>
        <w:footnoteReference w:id="9"/>
      </w:r>
      <w:r>
        <w:rPr/>
        <w:t xml:space="preserve">  Given the negative impact that the Post-Interim Settlement is likely to have on the core transportation program it should be rejected in favor of the Comprehensive Settlement.</w:t>
      </w:r>
    </w:p>
    <w:p>
      <w:pPr>
        <w:pStyle w:val="Heading1"/>
        <w:numPr>
          <w:ilvl w:val="0"/>
          <w:numId w:val="2"/>
        </w:numPr>
        <w:spacing w:before="120" w:after="240"/>
        <w:rPr/>
      </w:pPr>
      <w:bookmarkStart w:id="13" w:name="__RefHeading___Toc489677875"/>
      <w:bookmarkEnd w:id="13"/>
      <w:r>
        <w:rPr/>
        <w:t>CONTRARY TO TURN’S ASSERTIONS, THE EMBEDDED COST METHODOLOGY EMPLOYED BY THE COMPREHENSIVE SETTLEMENT IS REASONABLE.</w:t>
      </w:r>
    </w:p>
    <w:p>
      <w:pPr>
        <w:pStyle w:val="BodyText"/>
        <w:rPr/>
      </w:pPr>
      <w:r>
        <w:rPr/>
        <w:t>The Comprehensive Settlement unbundles both backbone and local transmission costs on an embedded cost basis. Of a total $138 million in embedded transmission costs, $73.7 million is allocated to backbone transmission and $64.3 is allocated to local transmission.  These allocations include capital related transmission costs (depreciation, return, and taxes), O&amp;M costs, a 7.5% allocation of A&amp;G costs, payroll related taxes, general plant and related franchise fees and uncollectibles. (ORA/Pocta, Ex. 4, p. 9; also see SoCalGas/Lorenz, Ex. 2, Attachments 2&amp;3) TURN has three objections to the manner in which transmission capacity costs were unbundled.  First, it finds fault with one of the major goals of the settling parties which, with the exception of eliminating core ITCS responsibility, was to avoid any significant shifting of costs between core and noncore customers.  TURN claims that this policy led to the use of an A&amp;G allocator which is inconsistent with Commission precedent and also resulted in an arbitrary reallocation of $4 million in backbone transmission to local transmission, both to the detriment of core customers.</w:t>
      </w:r>
    </w:p>
    <w:p>
      <w:pPr>
        <w:pStyle w:val="BodyText"/>
        <w:rPr/>
      </w:pPr>
      <w:r>
        <w:rPr/>
        <w:t xml:space="preserve">TURN is essentially arguing that the Comprehensive Settlement’s treatment of these issues is unreasonable because it fails to incorporate TURN’s litigation position.  The Comprehensive Settlement is the result of </w:t>
      </w:r>
      <w:r>
        <w:rPr>
          <w:u w:val="single"/>
        </w:rPr>
        <w:t>compromise</w:t>
      </w:r>
      <w:r>
        <w:rPr/>
        <w:t xml:space="preserve"> by customer groups with competing interests.  A necessary precondition of settlement is that no group of customers be significantly disadvantaged.  ORA submits that the goal that no customer group be disadvantaged was the </w:t>
      </w:r>
      <w:r>
        <w:rPr>
          <w:u w:val="single"/>
        </w:rPr>
        <w:t>sine qua non</w:t>
      </w:r>
      <w:r>
        <w:rPr/>
        <w:t xml:space="preserve"> for a settlement in this proceeding. </w:t>
      </w:r>
    </w:p>
    <w:p>
      <w:pPr>
        <w:pStyle w:val="BodyText"/>
        <w:rPr>
          <w:b/>
        </w:rPr>
      </w:pPr>
      <w:r>
        <w:rPr/>
        <w:t>TURN complains that the Comprehensive Settlement’s allocation of A&amp;G on the same basis as O&amp;M is inconsistent with Commission precedent allocating only 50% of A&amp;G on the same basis as O&amp;M with the remaining 50% allocated on the basis of throughput.  If precedent is all controlling, then why isn’t TURN objecting to the elimination of the core’s responsibility for ITCS since efforts by ORA and TURN to eliminate the core’s ITCS responsibility has been repeatedly rebuffed by the Commission</w:t>
      </w:r>
      <w:r>
        <w:rPr>
          <w:b/>
        </w:rPr>
        <w:t>.</w:t>
      </w:r>
      <w:r>
        <w:rPr/>
        <w:t xml:space="preserve">  The answer is simple, it is because the outcome is reasonable and it benefits the core.  While the A&amp;G allocation may not benefit the core as much as TURN would like, it is reasonable.  Furthermore, it is not at all clear that the allocation which TURN prefers, and which was adopted in 1986, has withstood the passage of time.  At the time the Commission found that 50% of A&amp;G costs were commodity related, the utilities were still essentially monopoly providers of gas supply to both core and noncore customers.  That role has changed substantially over the past decade and will change even more with adoption of the Comprehensive Settlement and elimination of core subscription service.  Under these circumstances, it is not all clear that allocating 50% of A&amp;G on the basis of sales is still reasonable.  In any event, there is more than one reasonable way to allocate a particular cost. Allocating A&amp;G to the unbunded service on the same basis as O&amp;M fits that category.  If TURN believes that the remaining bundled A&amp;G costs should be allocated other than on an EPMC basis, the Comprehensive Settlement does not preclude it from taking that position in the next BCAP.</w:t>
      </w:r>
    </w:p>
    <w:p>
      <w:pPr>
        <w:pStyle w:val="BodyText"/>
        <w:rPr/>
      </w:pPr>
      <w:r>
        <w:rPr/>
        <w:t>The reallocation of $4 million from backbone transmission to local transmission is even less of an issue.  Rather than remaining in the unbundled, backbone rate these costs are allocated to all customer classes on the basis of cold year throughput and become a part of the bundled distribution rate. (ORA/Pocta, Ex. 4, p. 9)  Whether this $4 million was classified as backbone or local transmission has virtually no impact on the ultimate core responsibility for these costs.  The core is allocated approximately 36% of local transmission cost and 39% of backbone costs.  The primary difference in the two approaches is that SoCalGas is fully at risk for costs allocated to the unbundled backbone transmission function. ORA submits that this reallocation is more than reasonable in light of other provisions of the settlement.</w:t>
      </w:r>
    </w:p>
    <w:p>
      <w:pPr>
        <w:pStyle w:val="BodyText"/>
        <w:rPr/>
      </w:pPr>
      <w:r>
        <w:rPr/>
        <w:t>In summary, TURN’s objections to the embedded cost methodology employed by the Comprehensive Settlement are without merit and should be rejected.</w:t>
      </w:r>
    </w:p>
    <w:p>
      <w:pPr>
        <w:pStyle w:val="Heading1"/>
        <w:numPr>
          <w:ilvl w:val="0"/>
          <w:numId w:val="2"/>
        </w:numPr>
        <w:rPr/>
      </w:pPr>
      <w:bookmarkStart w:id="14" w:name="__RefHeading___Toc489677876"/>
      <w:r>
        <w:rPr/>
        <w:t>CONCLUSION</w:t>
      </w:r>
      <w:bookmarkEnd w:id="14"/>
      <w:r>
        <w:rPr/>
        <w:t>.</w:t>
      </w:r>
    </w:p>
    <w:p>
      <w:pPr>
        <w:pStyle w:val="BodyText"/>
        <w:rPr/>
      </w:pPr>
      <w:r>
        <w:rPr/>
        <w:t>For the reasons stated in the opening brief and this reply brief, ORA respectfully requests that the Comprehensive Settlement be adopted without change and that the Post-Interim Settlement be rejected.</w:t>
      </w:r>
    </w:p>
    <w:p>
      <w:pPr>
        <w:pStyle w:val="BodyText"/>
        <w:rPr/>
      </w:pPr>
      <w:r>
        <w:rPr/>
      </w:r>
    </w:p>
    <w:p>
      <w:pPr>
        <w:pStyle w:val="BodyText"/>
        <w:tabs>
          <w:tab w:val="clear" w:pos="720"/>
          <w:tab w:val="right" w:pos="8640" w:leader="dot"/>
        </w:tabs>
        <w:ind w:firstLine="4320" w:end="0"/>
        <w:rPr/>
      </w:pPr>
      <w:r>
        <w:rPr>
          <w:rStyle w:val="LineNumber"/>
        </w:rPr>
        <w:t>Respectfully submitted,</w:t>
      </w:r>
    </w:p>
    <w:p>
      <w:pPr>
        <w:pStyle w:val="Normal"/>
        <w:tabs>
          <w:tab w:val="right" w:pos="5040" w:leader="none"/>
          <w:tab w:val="right" w:pos="8640" w:leader="dot"/>
        </w:tabs>
        <w:ind w:start="4320" w:end="0"/>
        <w:rPr>
          <w:rStyle w:val="LineNumber"/>
          <w:u w:val="single"/>
        </w:rPr>
      </w:pPr>
      <w:r>
        <w:rPr/>
      </w:r>
    </w:p>
    <w:p>
      <w:pPr>
        <w:pStyle w:val="Normal"/>
        <w:tabs>
          <w:tab w:val="clear" w:pos="5040"/>
        </w:tabs>
        <w:ind w:start="4320" w:end="0"/>
        <w:rPr/>
      </w:pPr>
      <w:r>
        <w:rPr>
          <w:rStyle w:val="LineNumber"/>
        </w:rPr>
        <w:t>/s/    PATRICK GILEAU</w:t>
      </w:r>
    </w:p>
    <w:p>
      <w:pPr>
        <w:pStyle w:val="Normal"/>
        <w:tabs>
          <w:tab w:val="clear" w:pos="5040"/>
        </w:tabs>
        <w:ind w:start="4320" w:end="0"/>
        <w:rPr>
          <w:rStyle w:val="LineNumber"/>
        </w:rPr>
      </w:pPr>
      <w:r>
        <w:rPr>
          <w:rStyle w:val="LineNumber"/>
          <w:u w:val="single"/>
        </w:rPr>
        <w:tab/>
        <w:tab/>
        <w:tab/>
        <w:tab/>
        <w:tab/>
        <w:t xml:space="preserve"> </w:t>
      </w:r>
    </w:p>
    <w:p>
      <w:pPr>
        <w:pStyle w:val="Normal"/>
        <w:tabs>
          <w:tab w:val="right" w:pos="5040" w:leader="none"/>
          <w:tab w:val="right" w:pos="8640" w:leader="dot"/>
        </w:tabs>
        <w:ind w:firstLine="540" w:start="4320" w:end="0"/>
        <w:rPr/>
      </w:pPr>
      <w:r>
        <w:rPr>
          <w:rStyle w:val="LineNumber"/>
        </w:rPr>
        <w:t xml:space="preserve">Patrick Gileau </w:t>
      </w:r>
    </w:p>
    <w:p>
      <w:pPr>
        <w:pStyle w:val="Normal"/>
        <w:tabs>
          <w:tab w:val="right" w:pos="5040" w:leader="none"/>
          <w:tab w:val="right" w:pos="8640" w:leader="dot"/>
        </w:tabs>
        <w:ind w:firstLine="540" w:start="4320" w:end="0"/>
        <w:rPr/>
      </w:pPr>
      <w:r>
        <w:rPr>
          <w:rStyle w:val="LineNumber"/>
        </w:rPr>
        <w:t>Staff Counsel</w:t>
      </w:r>
    </w:p>
    <w:p>
      <w:pPr>
        <w:pStyle w:val="Normal"/>
        <w:tabs>
          <w:tab w:val="right" w:pos="5040" w:leader="none"/>
          <w:tab w:val="right" w:pos="8640" w:leader="dot"/>
        </w:tabs>
        <w:ind w:start="4320" w:end="0"/>
        <w:rPr>
          <w:rStyle w:val="LineNumber"/>
        </w:rPr>
      </w:pPr>
      <w:r>
        <w:rPr/>
      </w:r>
    </w:p>
    <w:p>
      <w:pPr>
        <w:pStyle w:val="Normal"/>
        <w:tabs>
          <w:tab w:val="right" w:pos="5040" w:leader="none"/>
          <w:tab w:val="right" w:pos="8640" w:leader="dot"/>
        </w:tabs>
        <w:ind w:start="4320" w:end="0"/>
        <w:rPr/>
      </w:pPr>
      <w:r>
        <w:rPr>
          <w:rStyle w:val="LineNumber"/>
        </w:rPr>
        <w:t>Attorney for the Office of Ratepayer Advocates</w:t>
      </w:r>
    </w:p>
    <w:p>
      <w:pPr>
        <w:pStyle w:val="Normal"/>
        <w:tabs>
          <w:tab w:val="right" w:pos="5040" w:leader="none"/>
          <w:tab w:val="right" w:pos="8640" w:leader="dot"/>
        </w:tabs>
        <w:ind w:start="4320" w:end="0"/>
        <w:rPr>
          <w:rStyle w:val="LineNumber"/>
        </w:rPr>
      </w:pPr>
      <w:r>
        <w:rPr/>
      </w:r>
    </w:p>
    <w:p>
      <w:pPr>
        <w:pStyle w:val="Normal"/>
        <w:tabs>
          <w:tab w:val="right" w:pos="5040" w:leader="none"/>
          <w:tab w:val="right" w:pos="8640" w:leader="dot"/>
        </w:tabs>
        <w:ind w:start="4320" w:end="0"/>
        <w:rPr/>
      </w:pPr>
      <w:r>
        <w:rPr>
          <w:rStyle w:val="LineNumber"/>
        </w:rPr>
        <w:t>California Public Utilities Commission</w:t>
      </w:r>
    </w:p>
    <w:p>
      <w:pPr>
        <w:pStyle w:val="Normal"/>
        <w:tabs>
          <w:tab w:val="right" w:pos="5040" w:leader="none"/>
          <w:tab w:val="right" w:pos="8640" w:leader="dot"/>
        </w:tabs>
        <w:ind w:start="4320" w:end="0"/>
        <w:rPr/>
      </w:pPr>
      <w:r>
        <w:rPr>
          <w:rStyle w:val="LineNumber"/>
        </w:rPr>
        <w:t>505 Van Ness Ave.</w:t>
      </w:r>
    </w:p>
    <w:p>
      <w:pPr>
        <w:pStyle w:val="Normal"/>
        <w:tabs>
          <w:tab w:val="right" w:pos="5040" w:leader="none"/>
          <w:tab w:val="right" w:pos="8640" w:leader="dot"/>
        </w:tabs>
        <w:ind w:start="4320" w:end="0"/>
        <w:rPr/>
      </w:pPr>
      <w:r>
        <w:rPr>
          <w:rStyle w:val="LineNumber"/>
        </w:rPr>
        <w:t>San Francisco, CA 94102</w:t>
      </w:r>
    </w:p>
    <w:p>
      <w:pPr>
        <w:pStyle w:val="Normal"/>
        <w:tabs>
          <w:tab w:val="right" w:pos="5040" w:leader="none"/>
          <w:tab w:val="right" w:pos="8640" w:leader="dot"/>
        </w:tabs>
        <w:ind w:start="4320" w:end="0"/>
        <w:rPr/>
      </w:pPr>
      <w:r>
        <w:rPr>
          <w:rStyle w:val="LineNumber"/>
        </w:rPr>
        <w:t>Phone: (415) 703-3080</w:t>
      </w:r>
    </w:p>
    <w:p>
      <w:pPr>
        <w:sectPr>
          <w:footerReference w:type="default" r:id="rId4"/>
          <w:footerReference w:type="first" r:id="rId5"/>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pStyle w:val="Footer"/>
        <w:tabs>
          <w:tab w:val="clear" w:pos="4320"/>
          <w:tab w:val="clear" w:pos="5040"/>
          <w:tab w:val="right" w:pos="8640" w:leader="dot"/>
        </w:tabs>
        <w:rPr/>
      </w:pPr>
      <w:r>
        <w:rPr>
          <w:rStyle w:val="LineNumber"/>
        </w:rPr>
        <w:t>July 31, 2000                                             Fax: (415) 703-2262</w:t>
      </w:r>
    </w:p>
    <w:p>
      <w:pPr>
        <w:pStyle w:val="Normal"/>
        <w:jc w:val="center"/>
        <w:rPr/>
      </w:pPr>
      <w:r>
        <w:rPr>
          <w:b/>
        </w:rPr>
        <w:t>TABLE OF CONTENTS</w:t>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Footer"/>
        <w:tabs>
          <w:tab w:val="clear" w:pos="4320"/>
          <w:tab w:val="clear" w:pos="5040"/>
          <w:tab w:val="right" w:pos="8640" w:leader="dot"/>
        </w:tabs>
        <w:rPr/>
      </w:pPr>
      <w:r>
        <w:rPr/>
        <w:t>TABLE OF AUTHORITIES</w:t>
        <w:tab/>
        <w:t>iii</w:t>
      </w:r>
    </w:p>
    <w:p>
      <w:pPr>
        <w:pStyle w:val="Normal"/>
        <w:rPr>
          <w:b/>
          <w:u w:val="single"/>
        </w:rPr>
      </w:pPr>
      <w:r>
        <w:rPr>
          <w:b/>
          <w:u w:val="single"/>
        </w:rPr>
      </w:r>
    </w:p>
    <w:sdt>
      <w:sdtPr>
        <w:docPartObj>
          <w:docPartGallery w:val="Table of Contents"/>
          <w:docPartUnique w:val="true"/>
        </w:docPartObj>
      </w:sdtPr>
      <w:sdtContent>
        <w:p>
          <w:pPr>
            <w:pStyle w:val="TOC1"/>
            <w:tabs>
              <w:tab w:val="clear" w:pos="5040"/>
              <w:tab w:val="right" w:pos="8640" w:leader="dot"/>
            </w:tabs>
            <w:rPr>
              <w:b w:val="false"/>
            </w:rPr>
          </w:pPr>
          <w:r>
            <w:fldChar w:fldCharType="begin"/>
          </w:r>
          <w:r>
            <w:rPr>
              <w:b w:val="false"/>
            </w:rPr>
            <w:instrText xml:space="preserve"> TOC \o "1-3" </w:instrText>
          </w:r>
          <w:r>
            <w:rPr>
              <w:b w:val="false"/>
            </w:rPr>
            <w:fldChar w:fldCharType="separate"/>
          </w:r>
          <w:r>
            <w:rPr>
              <w:b w:val="false"/>
            </w:rPr>
            <w:t>I.</w:t>
            <w:tab/>
            <w:t xml:space="preserve">   INTRODUCTION </w:t>
            <w:tab/>
          </w:r>
          <w:hyperlink w:anchor="__RefHeading___Toc489677862">
            <w:r>
              <w:rPr>
                <w:rStyle w:val="IndexLink"/>
                <w:b w:val="false"/>
              </w:rPr>
              <w:t>1</w:t>
            </w:r>
          </w:hyperlink>
        </w:p>
        <w:p>
          <w:pPr>
            <w:pStyle w:val="TOC1"/>
            <w:tabs>
              <w:tab w:val="clear" w:pos="5040"/>
              <w:tab w:val="left" w:pos="720" w:leader="none"/>
              <w:tab w:val="right" w:pos="8640" w:leader="dot"/>
            </w:tabs>
            <w:ind w:hanging="432" w:start="432" w:end="1440"/>
            <w:rPr/>
          </w:pPr>
          <w:r>
            <w:rPr/>
            <w:t>II.</w:t>
            <w:tab/>
            <w:t xml:space="preserve">THE COMPREHENSIVE SETTLEMENT CLEARLY BENEFITS CORE CUSTOMERS </w:t>
            <w:tab/>
          </w:r>
          <w:hyperlink w:anchor="__RefHeading___Toc489677863">
            <w:r>
              <w:rPr>
                <w:rStyle w:val="IndexLink"/>
              </w:rPr>
              <w:t>5</w:t>
            </w:r>
          </w:hyperlink>
        </w:p>
        <w:p>
          <w:pPr>
            <w:pStyle w:val="TOC2"/>
            <w:tabs>
              <w:tab w:val="left" w:pos="720" w:leader="none"/>
              <w:tab w:val="right" w:pos="5040" w:leader="none"/>
              <w:tab w:val="right" w:pos="8640" w:leader="dot"/>
            </w:tabs>
            <w:rPr/>
          </w:pPr>
          <w:r>
            <w:rPr/>
            <w:t>A.</w:t>
            <w:tab/>
            <w:t>The Storage Inventory Reduction is Not A Cost</w:t>
            <w:tab/>
          </w:r>
          <w:hyperlink w:anchor="__RefHeading___Toc489677864">
            <w:r>
              <w:rPr>
                <w:rStyle w:val="IndexLink"/>
              </w:rPr>
              <w:t>8</w:t>
            </w:r>
          </w:hyperlink>
        </w:p>
        <w:p>
          <w:pPr>
            <w:pStyle w:val="TOC2"/>
            <w:tabs>
              <w:tab w:val="left" w:pos="720" w:leader="none"/>
              <w:tab w:val="right" w:pos="5040" w:leader="none"/>
              <w:tab w:val="right" w:pos="8640" w:leader="dot"/>
            </w:tabs>
            <w:rPr/>
          </w:pPr>
          <w:r>
            <w:rPr/>
            <w:t>B.</w:t>
            <w:tab/>
            <w:t>The Comprehensive Settlement Does Not Increase the Allocation of Montebello Costs To Core Customers</w:t>
            <w:tab/>
          </w:r>
          <w:hyperlink w:anchor="__RefHeading___Toc489677865">
            <w:r>
              <w:rPr>
                <w:rStyle w:val="IndexLink"/>
              </w:rPr>
              <w:t>10</w:t>
            </w:r>
          </w:hyperlink>
        </w:p>
        <w:p>
          <w:pPr>
            <w:pStyle w:val="TOC2"/>
            <w:tabs>
              <w:tab w:val="left" w:pos="720" w:leader="none"/>
              <w:tab w:val="right" w:pos="5040" w:leader="none"/>
              <w:tab w:val="right" w:pos="8640" w:leader="dot"/>
            </w:tabs>
            <w:rPr/>
          </w:pPr>
          <w:r>
            <w:rPr/>
            <w:t>C.</w:t>
            <w:tab/>
            <w:t>TURN’s Identification of an Additional $2.5 Million In Stranded Interstate Capacity Costs Is Misleading</w:t>
            <w:tab/>
          </w:r>
          <w:hyperlink w:anchor="__RefHeading___Toc489677866">
            <w:r>
              <w:rPr>
                <w:rStyle w:val="IndexLink"/>
              </w:rPr>
              <w:t>12</w:t>
            </w:r>
          </w:hyperlink>
        </w:p>
        <w:p>
          <w:pPr>
            <w:pStyle w:val="TOC2"/>
            <w:tabs>
              <w:tab w:val="left" w:pos="720" w:leader="none"/>
              <w:tab w:val="right" w:pos="5040" w:leader="none"/>
              <w:tab w:val="right" w:pos="8640" w:leader="dot"/>
            </w:tabs>
            <w:rPr/>
          </w:pPr>
          <w:r>
            <w:rPr/>
            <w:t>D.</w:t>
            <w:tab/>
            <w:t>The $1.6 Million In Additional Cost Associated with Secondary Market Purchases Is Illusory.</w:t>
            <w:tab/>
          </w:r>
          <w:hyperlink w:anchor="__RefHeading___Toc489677867">
            <w:r>
              <w:rPr>
                <w:rStyle w:val="IndexLink"/>
              </w:rPr>
              <w:t>12</w:t>
            </w:r>
          </w:hyperlink>
        </w:p>
        <w:p>
          <w:pPr>
            <w:pStyle w:val="TOC2"/>
            <w:tabs>
              <w:tab w:val="clear" w:pos="5040"/>
              <w:tab w:val="right" w:pos="8640" w:leader="dot"/>
            </w:tabs>
            <w:rPr/>
          </w:pPr>
          <w:r>
            <w:rPr/>
            <w:t>E.</w:t>
            <w:tab/>
            <w:t xml:space="preserve">TURN’s Conclusion That the Core Will Incur An Additional $1.8 Million In Intrastate Capacity Costs Is Based On Upon Unrealistic Assumptions And an Invalid Technique. </w:t>
            <w:tab/>
          </w:r>
          <w:hyperlink w:anchor="__RefHeading___Toc489677868">
            <w:r>
              <w:rPr>
                <w:rStyle w:val="IndexLink"/>
              </w:rPr>
              <w:t>13</w:t>
            </w:r>
          </w:hyperlink>
        </w:p>
        <w:p>
          <w:pPr>
            <w:pStyle w:val="TOC2"/>
            <w:tabs>
              <w:tab w:val="left" w:pos="720" w:leader="none"/>
              <w:tab w:val="right" w:pos="5040" w:leader="none"/>
              <w:tab w:val="right" w:pos="8640" w:leader="dot"/>
            </w:tabs>
            <w:rPr/>
          </w:pPr>
          <w:r>
            <w:rPr/>
            <w:t>F.</w:t>
            <w:tab/>
            <w:t>TURN’s Analysis Indicating An Additional $5.6 Millions In Gas Cost Due To A Reduction In Storage Injection Flexibility Is Also Fatally Flawed.</w:t>
            <w:tab/>
          </w:r>
          <w:hyperlink w:anchor="__RefHeading___Toc489677869">
            <w:r>
              <w:rPr>
                <w:rStyle w:val="IndexLink"/>
              </w:rPr>
              <w:t>16</w:t>
            </w:r>
          </w:hyperlink>
        </w:p>
        <w:p>
          <w:pPr>
            <w:pStyle w:val="TOC1"/>
            <w:tabs>
              <w:tab w:val="clear" w:pos="5040"/>
              <w:tab w:val="left" w:pos="720" w:leader="none"/>
              <w:tab w:val="right" w:pos="8640" w:leader="dot"/>
            </w:tabs>
            <w:ind w:hanging="432" w:start="432" w:end="1440"/>
            <w:rPr/>
          </w:pPr>
          <w:r>
            <w:rPr/>
            <w:t>III.</w:t>
            <w:tab/>
            <w:t>TURN FAILS TO ADDRESS THE INTERIM SETTLEMENT COSTS ASSOCIATED WITH THE WHEELER RIDGE EXPANSION</w:t>
            <w:tab/>
          </w:r>
          <w:hyperlink w:anchor="__RefHeading___Toc489677870">
            <w:r>
              <w:rPr>
                <w:rStyle w:val="IndexLink"/>
              </w:rPr>
              <w:t>18</w:t>
            </w:r>
          </w:hyperlink>
        </w:p>
        <w:p>
          <w:pPr>
            <w:pStyle w:val="TOC1"/>
            <w:tabs>
              <w:tab w:val="clear" w:pos="5040"/>
              <w:tab w:val="left" w:pos="720" w:leader="none"/>
              <w:tab w:val="right" w:pos="8640" w:leader="dot"/>
            </w:tabs>
            <w:ind w:hanging="432" w:start="432" w:end="1440"/>
            <w:rPr/>
          </w:pPr>
          <w:r>
            <w:rPr/>
            <w:t>IV.</w:t>
            <w:tab/>
            <w:t xml:space="preserve">WHOLESALE CUSTOMERS WILL NOT BE ADVERSELY IMPACTED BY THE COMPREHENSIVE SETTLEMENT </w:t>
            <w:tab/>
          </w:r>
          <w:hyperlink w:anchor="__RefHeading___Toc489677871">
            <w:r>
              <w:rPr>
                <w:rStyle w:val="IndexLink"/>
              </w:rPr>
              <w:t>18</w:t>
            </w:r>
          </w:hyperlink>
        </w:p>
        <w:p>
          <w:pPr>
            <w:pStyle w:val="Normal"/>
            <w:rPr/>
          </w:pPr>
          <w:r>
            <w:rPr/>
          </w:r>
        </w:p>
        <w:p>
          <w:pPr>
            <w:pStyle w:val="TOC1"/>
            <w:tabs>
              <w:tab w:val="clear" w:pos="5040"/>
              <w:tab w:val="right" w:pos="8640" w:leader="dot"/>
            </w:tabs>
            <w:ind w:hanging="432" w:start="432" w:end="1440"/>
            <w:rPr/>
          </w:pPr>
          <w:r>
            <w:rPr/>
            <w:t>V.</w:t>
            <w:tab/>
            <w:t xml:space="preserve">THE COMPREHENSIVE SETTLEMENT WILL INCREASE THE OPPORTUNITIES FOR CORE CUSTOMERS TO PARTICIPATE IN THE COMPETITIVE GAS MARKET WHILE THE POST INTERIM SETTLEMENT EFFECTIVELY DOES NOTHING. </w:t>
            <w:tab/>
          </w:r>
          <w:hyperlink w:anchor="__RefHeading___Toc489677872">
            <w:r>
              <w:rPr>
                <w:rStyle w:val="IndexLink"/>
              </w:rPr>
              <w:t>19</w:t>
            </w:r>
          </w:hyperlink>
        </w:p>
        <w:p>
          <w:pPr>
            <w:pStyle w:val="TOC2"/>
            <w:tabs>
              <w:tab w:val="clear" w:pos="5040"/>
              <w:tab w:val="left" w:pos="720" w:leader="none"/>
              <w:tab w:val="right" w:pos="8640" w:leader="dot"/>
            </w:tabs>
            <w:rPr/>
          </w:pPr>
          <w:r>
            <w:rPr/>
            <w:t>A.</w:t>
            <w:tab/>
            <w:t xml:space="preserve">The Capacity and Retail Provisions of the Comprehensive Settlement Provide CTAs with Increased Flexibility Thereby Significantly Improving the Opportunity for Growth in the Core Transportation Program. </w:t>
            <w:tab/>
          </w:r>
          <w:hyperlink w:anchor="__RefHeading___Toc489677873">
            <w:r>
              <w:rPr>
                <w:rStyle w:val="IndexLink"/>
              </w:rPr>
              <w:t>21</w:t>
            </w:r>
          </w:hyperlink>
        </w:p>
        <w:p>
          <w:pPr>
            <w:pStyle w:val="TOC2"/>
            <w:tabs>
              <w:tab w:val="clear" w:pos="5040"/>
              <w:tab w:val="right" w:pos="8640" w:leader="dot"/>
            </w:tabs>
            <w:rPr/>
          </w:pPr>
          <w:r>
            <w:rPr/>
            <w:t>B.</w:t>
            <w:tab/>
            <w:t xml:space="preserve">The Post-Interim Settlement Offers Little In The Way Of Cost Savings Or Increased Flexibility and Is Unlikely To Increase the Core’s Access To Competitive Options. </w:t>
            <w:tab/>
          </w:r>
          <w:hyperlink w:anchor="__RefHeading___Toc489677874">
            <w:r>
              <w:rPr>
                <w:rStyle w:val="IndexLink"/>
              </w:rPr>
              <w:t>25</w:t>
            </w:r>
          </w:hyperlink>
        </w:p>
        <w:p>
          <w:pPr>
            <w:pStyle w:val="TOC1"/>
            <w:tabs>
              <w:tab w:val="clear" w:pos="5040"/>
              <w:tab w:val="left" w:pos="720" w:leader="none"/>
              <w:tab w:val="right" w:pos="8640" w:leader="dot"/>
            </w:tabs>
            <w:ind w:hanging="432" w:start="432" w:end="1440"/>
            <w:rPr/>
          </w:pPr>
          <w:r>
            <w:rPr/>
            <w:t>VI.</w:t>
            <w:tab/>
            <w:t xml:space="preserve">CONTRARY TO TURN’S ASSERTIONS, THE EMBEDDED COST METHODOLOGY EMPLOYED BY THE COMPREHENSIVE SETTLEMENT IS REASONABLE. </w:t>
            <w:tab/>
          </w:r>
          <w:hyperlink w:anchor="__RefHeading___Toc489677875">
            <w:r>
              <w:rPr>
                <w:rStyle w:val="IndexLink"/>
              </w:rPr>
              <w:t>28</w:t>
            </w:r>
          </w:hyperlink>
        </w:p>
        <w:p>
          <w:pPr>
            <w:pStyle w:val="TOC1"/>
            <w:tabs>
              <w:tab w:val="clear" w:pos="5040"/>
              <w:tab w:val="right" w:pos="8640" w:leader="dot"/>
            </w:tabs>
            <w:rPr/>
          </w:pPr>
          <w:r>
            <w:rPr/>
            <w:t xml:space="preserve">VII.CONCLUSION </w:t>
            <w:tab/>
          </w:r>
          <w:hyperlink w:anchor="__RefHeading___Toc489677876">
            <w:r>
              <w:rPr>
                <w:rStyle w:val="IndexLink"/>
              </w:rPr>
              <w:t>30</w:t>
            </w:r>
          </w:hyperlink>
          <w:r>
            <w:rPr>
              <w:rStyle w:val="IndexLink"/>
            </w:rPr>
            <w:fldChar w:fldCharType="end"/>
          </w:r>
        </w:p>
      </w:sdtContent>
    </w:sdt>
    <w:p>
      <w:pPr>
        <w:pStyle w:val="BriefTitle"/>
        <w:jc w:val="start"/>
        <w:rPr>
          <w:b w:val="false"/>
          <w:caps w:val="false"/>
          <w:smallCaps w:val="false"/>
          <w:lang w:val="en-CA"/>
        </w:rPr>
      </w:pPr>
      <w:r>
        <w:rPr>
          <w:b w:val="false"/>
          <w:caps w:val="false"/>
          <w:smallCaps w:val="false"/>
          <w:lang w:val="en-CA"/>
        </w:rPr>
      </w:r>
    </w:p>
    <w:p>
      <w:pPr>
        <w:pStyle w:val="Footer"/>
        <w:tabs>
          <w:tab w:val="clear" w:pos="4320"/>
          <w:tab w:val="clear" w:pos="8640"/>
          <w:tab w:val="right" w:pos="5040" w:leader="none"/>
        </w:tabs>
        <w:rPr/>
      </w:pPr>
      <w:r>
        <w:rPr/>
        <w:t>CERTIFICATE OF SERVICE</w:t>
      </w:r>
      <w:r>
        <w:br w:type="page"/>
      </w:r>
    </w:p>
    <w:p>
      <w:pPr>
        <w:pStyle w:val="Normal"/>
        <w:jc w:val="center"/>
        <w:rPr/>
      </w:pPr>
      <w:r>
        <w:rPr/>
        <w:t>TABLE OF AUTHORITIES</w:t>
      </w:r>
    </w:p>
    <w:p>
      <w:pPr>
        <w:pStyle w:val="Normal"/>
        <w:rPr>
          <w:b/>
          <w:sz w:val="28"/>
          <w:u w:val="single"/>
        </w:rPr>
      </w:pPr>
      <w:r>
        <w:rPr>
          <w:b/>
          <w:sz w:val="28"/>
          <w:u w:val="single"/>
        </w:rPr>
      </w:r>
    </w:p>
    <w:p>
      <w:pPr>
        <w:pStyle w:val="Normal"/>
        <w:rPr>
          <w:b/>
          <w:sz w:val="28"/>
          <w:u w:val="single"/>
        </w:rPr>
      </w:pPr>
      <w:r>
        <w:rPr>
          <w:b/>
          <w:sz w:val="28"/>
          <w:u w:val="single"/>
        </w:rPr>
      </w:r>
    </w:p>
    <w:p>
      <w:pPr>
        <w:pStyle w:val="Normal"/>
        <w:rPr/>
      </w:pPr>
      <w:r>
        <w:rPr>
          <w:b/>
          <w:sz w:val="28"/>
        </w:rPr>
        <w:tab/>
        <w:tab/>
        <w:tab/>
        <w:tab/>
        <w:tab/>
        <w:tab/>
        <w:tab/>
        <w:tab/>
        <w:tab/>
        <w:tab/>
        <w:tab/>
      </w:r>
      <w:r>
        <w:rPr/>
        <w:t xml:space="preserve">  </w:t>
      </w:r>
      <w:r>
        <w:rPr>
          <w:u w:val="single"/>
        </w:rPr>
        <w:t>Page</w:t>
      </w:r>
    </w:p>
    <w:p>
      <w:pPr>
        <w:pStyle w:val="Normal"/>
        <w:rPr>
          <w:b/>
          <w:sz w:val="28"/>
          <w:u w:val="single"/>
        </w:rPr>
      </w:pPr>
      <w:r>
        <w:rPr>
          <w:b/>
          <w:sz w:val="28"/>
          <w:u w:val="single"/>
        </w:rPr>
      </w:r>
    </w:p>
    <w:p>
      <w:pPr>
        <w:pStyle w:val="Normal"/>
        <w:rPr>
          <w:b/>
          <w:u w:val="single"/>
        </w:rPr>
      </w:pPr>
      <w:r>
        <w:rPr>
          <w:b/>
          <w:u w:val="single"/>
        </w:rPr>
        <w:t>CPUC Decisions</w:t>
      </w:r>
    </w:p>
    <w:p>
      <w:pPr>
        <w:pStyle w:val="Normal"/>
        <w:rPr>
          <w:b/>
          <w:sz w:val="28"/>
          <w:u w:val="single"/>
        </w:rPr>
      </w:pPr>
      <w:r>
        <w:rPr>
          <w:b/>
          <w:sz w:val="28"/>
          <w:u w:val="single"/>
        </w:rPr>
      </w:r>
    </w:p>
    <w:p>
      <w:pPr>
        <w:pStyle w:val="Normal"/>
        <w:tabs>
          <w:tab w:val="right" w:pos="5040" w:leader="none"/>
          <w:tab w:val="right" w:pos="8640" w:leader="dot"/>
        </w:tabs>
        <w:rPr>
          <w:b/>
          <w:sz w:val="28"/>
        </w:rPr>
      </w:pPr>
      <w:r>
        <w:rPr>
          <w:b/>
          <w:sz w:val="28"/>
        </w:rPr>
      </w:r>
    </w:p>
    <w:p>
      <w:pPr>
        <w:pStyle w:val="Normal"/>
        <w:rPr/>
      </w:pPr>
      <w:r>
        <w:rPr/>
        <w:t>Re Rate Design for Unbundled Gas Utility Services</w:t>
      </w:r>
    </w:p>
    <w:p>
      <w:pPr>
        <w:pStyle w:val="Normal"/>
        <w:tabs>
          <w:tab w:val="clear" w:pos="5040"/>
          <w:tab w:val="right" w:pos="8640" w:leader="dot"/>
        </w:tabs>
        <w:rPr/>
      </w:pPr>
      <w:r>
        <w:rPr/>
        <w:t xml:space="preserve">  </w:t>
      </w:r>
      <w:r>
        <w:rPr/>
        <w:t>D.87-12-039, 26 CPUC 2d 213</w:t>
        <w:tab/>
        <w:t xml:space="preserve"> 27</w:t>
      </w:r>
    </w:p>
    <w:p>
      <w:pPr>
        <w:pStyle w:val="Normal"/>
        <w:tabs>
          <w:tab w:val="right" w:pos="5040" w:leader="none"/>
          <w:tab w:val="right" w:pos="8640" w:leader="dot"/>
        </w:tabs>
        <w:rPr/>
      </w:pPr>
      <w:r>
        <w:rPr/>
      </w:r>
    </w:p>
    <w:p>
      <w:pPr>
        <w:pStyle w:val="Normal"/>
        <w:rPr/>
      </w:pPr>
      <w:r>
        <w:rPr/>
        <w:t>Re New Regulatory Framework for Gas Utilities</w:t>
      </w:r>
    </w:p>
    <w:p>
      <w:pPr>
        <w:pStyle w:val="Footer"/>
        <w:tabs>
          <w:tab w:val="clear" w:pos="4320"/>
          <w:tab w:val="clear" w:pos="5040"/>
          <w:tab w:val="right" w:pos="8640" w:leader="dot"/>
        </w:tabs>
        <w:rPr/>
      </w:pPr>
      <w:r>
        <w:rPr/>
        <w:t xml:space="preserve">  </w:t>
      </w:r>
      <w:r>
        <w:rPr/>
        <w:t>D.91-02-040, 39 CPUC 2d 360</w:t>
        <w:tab/>
        <w:t xml:space="preserve"> 20</w:t>
      </w:r>
    </w:p>
    <w:p>
      <w:pPr>
        <w:pStyle w:val="Normal"/>
        <w:rPr>
          <w:sz w:val="28"/>
        </w:rPr>
      </w:pPr>
      <w:r>
        <w:rPr>
          <w:sz w:val="28"/>
        </w:rPr>
      </w:r>
    </w:p>
    <w:p>
      <w:pPr>
        <w:pStyle w:val="Normal"/>
        <w:rPr/>
      </w:pPr>
      <w:r>
        <w:rPr/>
        <w:t>Re Natural Gas Procurement and Reliability Issues</w:t>
      </w:r>
    </w:p>
    <w:p>
      <w:pPr>
        <w:pStyle w:val="Normal"/>
        <w:tabs>
          <w:tab w:val="clear" w:pos="5040"/>
          <w:tab w:val="right" w:pos="8640" w:leader="dot"/>
        </w:tabs>
        <w:rPr/>
      </w:pPr>
      <w:r>
        <w:rPr/>
        <w:t xml:space="preserve">  </w:t>
      </w:r>
      <w:r>
        <w:rPr/>
        <w:t>D.92-07-025, 45CPUC2d 47</w:t>
        <w:tab/>
        <w:t>27</w:t>
      </w:r>
    </w:p>
    <w:p>
      <w:pPr>
        <w:pStyle w:val="Normal"/>
        <w:rPr>
          <w:sz w:val="28"/>
        </w:rPr>
      </w:pPr>
      <w:r>
        <w:rPr>
          <w:sz w:val="28"/>
        </w:rPr>
      </w:r>
    </w:p>
    <w:p>
      <w:pPr>
        <w:pStyle w:val="Footer"/>
        <w:tabs>
          <w:tab w:val="clear" w:pos="4320"/>
          <w:tab w:val="clear" w:pos="8640"/>
          <w:tab w:val="right" w:pos="5040" w:leader="none"/>
        </w:tabs>
        <w:rPr>
          <w:sz w:val="28"/>
        </w:rPr>
      </w:pPr>
      <w:r>
        <w:rPr>
          <w:sz w:val="28"/>
        </w:rPr>
      </w:r>
    </w:p>
    <w:p>
      <w:pPr>
        <w:pStyle w:val="Normal"/>
        <w:tabs>
          <w:tab w:val="clear" w:pos="5040"/>
          <w:tab w:val="right" w:pos="8640" w:leader="dot"/>
        </w:tabs>
        <w:rPr/>
      </w:pPr>
      <w:r>
        <w:rPr/>
        <w:t xml:space="preserve">D.99-07-015 ___CPUC2d___ </w:t>
        <w:tab/>
        <w:t>21</w:t>
      </w:r>
    </w:p>
    <w:p>
      <w:pPr>
        <w:pStyle w:val="Normal"/>
        <w:tabs>
          <w:tab w:val="clear" w:pos="5040"/>
          <w:tab w:val="right" w:pos="8640" w:leader="dot"/>
        </w:tabs>
        <w:rPr/>
      </w:pPr>
      <w:r>
        <w:rPr/>
        <w:t xml:space="preserve">D.00-04-060 ___CPUC2d___ </w:t>
        <w:tab/>
        <w:t>8</w:t>
      </w:r>
    </w:p>
    <w:p>
      <w:pPr>
        <w:pStyle w:val="Footer"/>
        <w:tabs>
          <w:tab w:val="clear" w:pos="4320"/>
          <w:tab w:val="clear" w:pos="8640"/>
          <w:tab w:val="right" w:pos="5040" w:leader="none"/>
        </w:tabs>
        <w:rPr/>
      </w:pPr>
      <w:r>
        <w:rPr/>
      </w:r>
    </w:p>
    <w:p>
      <w:pPr>
        <w:sectPr>
          <w:footerReference w:type="default" r:id="rId6"/>
          <w:footerReference w:type="first" r:id="rId7"/>
          <w:footnotePr>
            <w:numFmt w:val="decimal"/>
          </w:footnotePr>
          <w:type w:val="nextPage"/>
          <w:pgSz w:w="12240" w:h="15840"/>
          <w:pgMar w:left="1800" w:right="1800" w:gutter="0" w:header="0" w:top="1440" w:footer="720" w:bottom="1440"/>
          <w:pgNumType w:start="1" w:fmt="lowerRoman"/>
          <w:formProt w:val="false"/>
          <w:textDirection w:val="lrTb"/>
          <w:docGrid w:type="default" w:linePitch="360" w:charSpace="0"/>
        </w:sectPr>
        <w:pStyle w:val="Footer"/>
        <w:tabs>
          <w:tab w:val="clear" w:pos="4320"/>
          <w:tab w:val="clear" w:pos="8640"/>
          <w:tab w:val="right" w:pos="5040" w:leader="none"/>
        </w:tabs>
        <w:rPr/>
      </w:pPr>
      <w:r>
        <w:rPr/>
      </w:r>
    </w:p>
    <w:p>
      <w:pPr>
        <w:pStyle w:val="Normal"/>
        <w:jc w:val="center"/>
        <w:rPr>
          <w:b/>
          <w:u w:val="single"/>
        </w:rPr>
      </w:pPr>
      <w:r>
        <w:rPr>
          <w:b/>
          <w:u w:val="single"/>
        </w:rPr>
      </w:r>
    </w:p>
    <w:p>
      <w:pPr>
        <w:pStyle w:val="Normal"/>
        <w:jc w:val="center"/>
        <w:rPr>
          <w:b/>
          <w:u w:val="single"/>
        </w:rPr>
      </w:pPr>
      <w:r>
        <w:rPr>
          <w:b/>
          <w:u w:val="single"/>
        </w:rPr>
        <w:t>CERTIFICATE OF SERVICE</w:t>
      </w:r>
    </w:p>
    <w:p>
      <w:pPr>
        <w:pStyle w:val="Normal"/>
        <w:spacing w:lineRule="auto" w:line="360"/>
        <w:jc w:val="center"/>
        <w:rPr>
          <w:b/>
          <w:u w:val="single"/>
        </w:rPr>
      </w:pPr>
      <w:r>
        <w:rPr>
          <w:b/>
          <w:u w:val="single"/>
        </w:rPr>
      </w:r>
    </w:p>
    <w:p>
      <w:pPr>
        <w:pStyle w:val="BodyText"/>
        <w:rPr/>
      </w:pPr>
      <w:r>
        <w:rPr/>
        <w:t>I hereby certify that I have this day served the foregoing document entitled</w:t>
      </w:r>
      <w:r>
        <w:rPr>
          <w:b/>
        </w:rPr>
        <w:t xml:space="preserve"> REPLY BRIEF OF THE OFFICE OF RATEPAYER ADVOCATES </w:t>
      </w:r>
      <w:r>
        <w:rPr/>
        <w:t>upon all known parties of record by mailing, by first-class mail, a copy thereof properly addressed to each party.</w:t>
      </w:r>
    </w:p>
    <w:p>
      <w:pPr>
        <w:pStyle w:val="BodyText"/>
        <w:rPr/>
      </w:pPr>
      <w:r>
        <w:rPr/>
        <w:t>Dated at San Francisco, California, this 31st day of July, 2000.</w:t>
      </w:r>
    </w:p>
    <w:p>
      <w:pPr>
        <w:pStyle w:val="Normal"/>
        <w:rPr/>
      </w:pPr>
      <w:r>
        <w:rPr/>
      </w:r>
    </w:p>
    <w:p>
      <w:pPr>
        <w:pStyle w:val="Footer"/>
        <w:tabs>
          <w:tab w:val="clear" w:pos="4320"/>
          <w:tab w:val="clear" w:pos="5040"/>
          <w:tab w:val="clear" w:pos="8640"/>
        </w:tabs>
        <w:rPr/>
      </w:pPr>
      <w:r>
        <w:rPr/>
        <w:tab/>
        <w:tab/>
        <w:tab/>
        <w:tab/>
        <w:tab/>
        <w:tab/>
        <w:tab/>
        <w:t>/s/  NANCY SALYER</w:t>
      </w:r>
    </w:p>
    <w:p>
      <w:pPr>
        <w:pStyle w:val="Normal"/>
        <w:rPr/>
      </w:pPr>
      <w:r>
        <w:rPr/>
        <w:tab/>
      </w:r>
      <w:r>
        <w:rPr>
          <w:u w:val="single"/>
        </w:rPr>
        <w:tab/>
        <w:tab/>
        <w:tab/>
        <w:tab/>
      </w:r>
    </w:p>
    <w:p>
      <w:pPr>
        <w:pStyle w:val="Normal"/>
        <w:ind w:firstLine="720" w:start="3600" w:end="0"/>
        <w:rPr/>
      </w:pPr>
      <w:r>
        <w:rPr/>
        <w:tab/>
        <w:t xml:space="preserve">                 Nancy Salyer</w:t>
      </w:r>
    </w:p>
    <w:p>
      <w:pPr>
        <w:pStyle w:val="Normal"/>
        <w:tabs>
          <w:tab w:val="right" w:pos="5040" w:leader="none"/>
          <w:tab w:val="right" w:pos="8640" w:leader="dot"/>
        </w:tabs>
        <w:spacing w:lineRule="auto" w:line="360"/>
        <w:rPr/>
      </w:pPr>
      <w:r>
        <w:rPr/>
      </w:r>
    </w:p>
    <w:sectPr>
      <w:footerReference w:type="default" r:id="rId8"/>
      <w:footerReference w:type="first" r:id="rId9"/>
      <w:footnotePr>
        <w:numFmt w:val="decimal"/>
      </w:footnotePr>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65735" cy="189865"/>
              <wp:effectExtent l="0" t="0" r="0" b="0"/>
              <wp:wrapSquare wrapText="bothSides"/>
              <wp:docPr id="2" name="Frame2"/>
              <a:graphic xmlns:a="http://schemas.openxmlformats.org/drawingml/2006/main">
                <a:graphicData uri="http://schemas.microsoft.com/office/word/2010/wordprocessingShape">
                  <wps:wsp>
                    <wps:cNvSpPr txBox="1"/>
                    <wps:spPr>
                      <a:xfrm>
                        <a:off x="0" y="0"/>
                        <a:ext cx="165735" cy="1898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05pt;height:14.95pt;mso-wrap-distance-left:0pt;mso-wrap-distance-right:0pt;mso-wrap-distance-top:0pt;mso-wrap-distance-bottom:0pt;margin-top:0.05pt;mso-position-vertical-relative:text;margin-left:20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37795" cy="189865"/>
              <wp:effectExtent l="0" t="0" r="0" b="0"/>
              <wp:wrapSquare wrapText="bothSides"/>
              <wp:docPr id="3" name="Frame3"/>
              <a:graphic xmlns:a="http://schemas.openxmlformats.org/drawingml/2006/main">
                <a:graphicData uri="http://schemas.microsoft.com/office/word/2010/wordprocessingShape">
                  <wps:wsp>
                    <wps:cNvSpPr txBox="1"/>
                    <wps:spPr>
                      <a:xfrm>
                        <a:off x="0" y="0"/>
                        <a:ext cx="137795" cy="1898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85pt;height:14.95pt;mso-wrap-distance-left:0pt;mso-wrap-distance-right:0pt;mso-wrap-distance-top:0pt;mso-wrap-distance-bottom:0pt;margin-top:0.05pt;mso-position-vertical-relative:text;margin-left:210.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83185" cy="189865"/>
              <wp:effectExtent l="0" t="0" r="0" b="0"/>
              <wp:wrapSquare wrapText="bothSides"/>
              <wp:docPr id="4" name="Frame4"/>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212.7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val="false"/>
        <w:spacing w:lineRule="exact" w:line="240" w:before="0" w:after="120"/>
        <w:rPr/>
      </w:pPr>
      <w:r>
        <w:rPr>
          <w:rStyle w:val="FootnoteCharacters"/>
        </w:rPr>
        <w:footnoteRef/>
      </w:r>
      <w:r>
        <w:rPr/>
        <w:t xml:space="preserve"> </w:t>
      </w:r>
      <w:r>
        <w:rPr/>
        <w:t>Based on the current core ITCS costs, (D.00-04-060, Table 10, p.2, line 30).</w:t>
      </w:r>
    </w:p>
  </w:footnote>
  <w:footnote w:id="3">
    <w:p>
      <w:pPr>
        <w:pStyle w:val="FootnoteText"/>
        <w:widowControl w:val="false"/>
        <w:spacing w:lineRule="exact" w:line="240" w:before="0" w:after="120"/>
        <w:rPr/>
      </w:pPr>
      <w:r>
        <w:rPr>
          <w:rStyle w:val="FootnoteCharacters"/>
        </w:rPr>
        <w:footnoteRef/>
      </w:r>
      <w:r>
        <w:rPr/>
        <w:t xml:space="preserve">  </w:t>
      </w:r>
      <w:r>
        <w:rPr/>
        <w:t>These estimates are conservative.  The figures developed by SoCalGas (SoCalGas/Lorenz, Ex.2, Attachment 8) assumed an SFV rate design for all of the retail core intrastate backbone capacity reservation. ORA estimates that the core can derive an additional benefit of at least $1 million annually by utilizing the optional MFV rate design (Ex.1, p.13) for a portion of its capacity reservation.</w:t>
      </w:r>
    </w:p>
  </w:footnote>
  <w:footnote w:id="4">
    <w:p>
      <w:pPr>
        <w:pStyle w:val="FootnoteText"/>
        <w:widowControl w:val="false"/>
        <w:spacing w:lineRule="exact" w:line="240" w:before="0" w:after="120"/>
        <w:rPr/>
      </w:pPr>
      <w:r>
        <w:rPr>
          <w:rStyle w:val="FootnoteCharacters"/>
        </w:rPr>
        <w:footnoteRef/>
      </w:r>
      <w:r>
        <w:rPr/>
        <w:t xml:space="preserve"> </w:t>
      </w:r>
      <w:r>
        <w:rPr/>
        <w:t xml:space="preserve">ORA estimates a maximum savings of $11.9 million to core customers (ORA/Pocta, Ex.4, p. 6).  Commission Decision 00-04-060 allocated $11.6 million in ITCS costs to the core.  SoCalGas’ analysis assumed a lower, more conservative ITCS cost savings to core customers.  </w:t>
      </w:r>
    </w:p>
  </w:footnote>
  <w:footnote w:id="5">
    <w:p>
      <w:pPr>
        <w:pStyle w:val="FootnoteText"/>
        <w:widowControl w:val="false"/>
        <w:spacing w:lineRule="exact" w:line="240" w:before="0" w:after="120"/>
        <w:rPr/>
      </w:pPr>
      <w:r>
        <w:rPr>
          <w:rStyle w:val="FootnoteCharacters"/>
        </w:rPr>
        <w:footnoteRef/>
      </w:r>
      <w:r>
        <w:rPr/>
        <w:t xml:space="preserve"> </w:t>
      </w:r>
      <w:r>
        <w:rPr/>
        <w:t xml:space="preserve">ORA’s “Monitoring and Evaluation Report 1998-1999 Record Period on SoCalGas’ GCIM Year 5 Results” mailed on September 30, 1999 in A.99-06-027, Exhibit A8.  </w:t>
      </w:r>
    </w:p>
  </w:footnote>
  <w:footnote w:id="6">
    <w:p>
      <w:pPr>
        <w:pStyle w:val="FootnoteText"/>
        <w:widowControl w:val="false"/>
        <w:spacing w:lineRule="exact" w:line="240" w:before="0" w:after="120"/>
        <w:rPr/>
      </w:pPr>
      <w:r>
        <w:rPr>
          <w:rStyle w:val="FootnoteCharacters"/>
        </w:rPr>
        <w:footnoteRef/>
      </w:r>
      <w:r>
        <w:rPr/>
        <w:t xml:space="preserve"> </w:t>
      </w:r>
      <w:r>
        <w:rPr/>
        <w:t xml:space="preserve">The incremental demand would only amount to 5%, or 57MMcfd of additional intrastate capacity in a cold year condition at a 5% CAT market share.  This is in contrast to the TURN allegation of a 114 MMcfd requirement for retail core which would require a 0% CAT market share, which has absolutely no factual basis. </w:t>
      </w:r>
    </w:p>
  </w:footnote>
  <w:footnote w:id="7">
    <w:p>
      <w:pPr>
        <w:pStyle w:val="FootnoteText"/>
        <w:widowControl w:val="false"/>
        <w:spacing w:lineRule="exact" w:line="240" w:before="0" w:after="120"/>
        <w:rPr/>
      </w:pPr>
      <w:r>
        <w:rPr>
          <w:rStyle w:val="FootnoteCharacters"/>
        </w:rPr>
        <w:footnoteRef/>
      </w:r>
      <w:r>
        <w:rPr/>
        <w:t xml:space="preserve"> </w:t>
      </w:r>
      <w:r>
        <w:rPr/>
        <w:t xml:space="preserve">It should be noted that CTA marketers will be able to reject an allocation of storage and these reservations will be reduced proportionally based on cold month.  Thus, the retail core would typically retain a higher percentage of these assets since CTA marketers typically serve high load factor core customers, and would therefore have even greater storage flexibility.   </w:t>
      </w:r>
    </w:p>
  </w:footnote>
  <w:footnote w:id="8">
    <w:p>
      <w:pPr>
        <w:pStyle w:val="FootnoteText"/>
        <w:widowControl w:val="false"/>
        <w:spacing w:lineRule="exact" w:line="240" w:before="0" w:after="120"/>
        <w:rPr/>
      </w:pPr>
      <w:r>
        <w:rPr>
          <w:rStyle w:val="FootnoteCharacters"/>
        </w:rPr>
        <w:footnoteRef/>
      </w:r>
      <w:r>
        <w:rPr/>
        <w:t xml:space="preserve"> </w:t>
      </w:r>
      <w:r>
        <w:rPr/>
        <w:t>This savings could range from $0.20-0.30/Dth depending of the market value of the replacement capacity. (SoCalGas/Lorenz, Ex. 2,  p.23)</w:t>
      </w:r>
    </w:p>
  </w:footnote>
  <w:footnote w:id="9">
    <w:p>
      <w:pPr>
        <w:pStyle w:val="FootnoteText"/>
        <w:widowControl w:val="false"/>
        <w:spacing w:lineRule="exact" w:line="240" w:before="0" w:after="120"/>
        <w:rPr/>
      </w:pPr>
      <w:r>
        <w:rPr>
          <w:rStyle w:val="FootnoteCharacters"/>
        </w:rPr>
        <w:footnoteRef/>
      </w:r>
      <w:r>
        <w:rPr/>
        <w:t xml:space="preserve"> </w:t>
      </w:r>
      <w:r>
        <w:rPr/>
        <w:t>Prior to 2002, the noncore is responsible for a portion of the stranded costs. On January 1, 2002 the core’s responsibility for ITCS is eliminated and, at the same time, the core assumes full responsibility for its own stranded costs. The equal cents per therm allocation within the core class applies only to the stranded costs associated with the release of 7% of the total interstate capacity held for the core. Above this threshold, stranded costs are allocated to residential and commercial customers in proportion to their CTA market share. (ORA/Pocta, Ex. 4, pp. 6-7)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288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3">
    <w:lvl w:ilvl="0">
      <w:start w:val="21"/>
      <w:numFmt w:val="bullet"/>
      <w:lvlText w:val=""/>
      <w:lvlJc w:val="start"/>
      <w:pPr>
        <w:tabs>
          <w:tab w:val="num" w:pos="1080"/>
        </w:tabs>
        <w:ind w:start="1080" w:hanging="360"/>
      </w:pPr>
      <w:rPr>
        <w:rFonts w:ascii="Symbol" w:hAnsi="Symbol" w:cs="Symbol" w:hint="default"/>
        <w:color w:val="auto"/>
      </w:r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right" w:pos="5040" w:leader="none"/>
      </w:tabs>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BodyText"/>
    <w:next w:val="BodyText"/>
    <w:qFormat/>
    <w:pPr>
      <w:keepNext w:val="true"/>
      <w:keepLines/>
      <w:numPr>
        <w:ilvl w:val="0"/>
        <w:numId w:val="2"/>
      </w:numPr>
      <w:spacing w:lineRule="auto" w:line="240" w:before="120" w:after="120"/>
      <w:ind w:firstLine="720" w:start="0" w:end="720"/>
      <w:outlineLvl w:val="0"/>
    </w:pPr>
    <w:rPr>
      <w:b/>
      <w:kern w:val="2"/>
    </w:rPr>
  </w:style>
  <w:style w:type="paragraph" w:styleId="Heading2">
    <w:name w:val="heading 2"/>
    <w:basedOn w:val="BodyText"/>
    <w:next w:val="BodyText"/>
    <w:qFormat/>
    <w:pPr>
      <w:keepNext w:val="true"/>
      <w:numPr>
        <w:ilvl w:val="0"/>
        <w:numId w:val="2"/>
      </w:numPr>
      <w:spacing w:lineRule="auto" w:line="240" w:before="120" w:after="120"/>
      <w:ind w:firstLine="720" w:start="0" w:end="1440"/>
      <w:outlineLvl w:val="1"/>
    </w:pPr>
    <w:rPr>
      <w:b/>
    </w:rPr>
  </w:style>
  <w:style w:type="paragraph" w:styleId="Heading3">
    <w:name w:val="heading 3"/>
    <w:basedOn w:val="BodyText"/>
    <w:next w:val="BodyText"/>
    <w:qFormat/>
    <w:pPr>
      <w:keepNext w:val="true"/>
      <w:numPr>
        <w:ilvl w:val="0"/>
        <w:numId w:val="2"/>
      </w:numPr>
      <w:spacing w:lineRule="auto" w:line="240" w:before="120" w:after="120"/>
      <w:ind w:firstLine="720" w:start="0" w:end="1440"/>
      <w:outlineLvl w:val="2"/>
    </w:pPr>
    <w:rPr>
      <w:b/>
    </w:rPr>
  </w:style>
  <w:style w:type="paragraph" w:styleId="Heading4">
    <w:name w:val="heading 4"/>
    <w:basedOn w:val="BodyText"/>
    <w:next w:val="BodyText"/>
    <w:qFormat/>
    <w:pPr>
      <w:keepNext w:val="true"/>
      <w:numPr>
        <w:ilvl w:val="0"/>
        <w:numId w:val="2"/>
      </w:numPr>
      <w:spacing w:lineRule="auto" w:line="240" w:before="120" w:after="120"/>
      <w:ind w:firstLine="720" w:start="0" w:end="1440"/>
      <w:outlineLvl w:val="3"/>
    </w:pPr>
    <w:rPr>
      <w:i/>
    </w:rPr>
  </w:style>
  <w:style w:type="paragraph" w:styleId="Heading5">
    <w:name w:val="heading 5"/>
    <w:basedOn w:val="Normal"/>
    <w:next w:val="Normal"/>
    <w:qFormat/>
    <w:pPr>
      <w:numPr>
        <w:ilvl w:val="0"/>
        <w:numId w:val="2"/>
      </w:numPr>
      <w:spacing w:before="120" w:after="120"/>
      <w:outlineLvl w:val="4"/>
    </w:pPr>
    <w:rPr>
      <w:rFonts w:ascii="Arial" w:hAnsi="Arial" w:cs="Arial"/>
      <w:sz w:val="22"/>
    </w:rPr>
  </w:style>
  <w:style w:type="paragraph" w:styleId="Heading6">
    <w:name w:val="heading 6"/>
    <w:basedOn w:val="Normal"/>
    <w:next w:val="Normal"/>
    <w:qFormat/>
    <w:pPr>
      <w:numPr>
        <w:ilvl w:val="0"/>
        <w:numId w:val="2"/>
      </w:numPr>
      <w:spacing w:before="240" w:after="60"/>
      <w:outlineLvl w:val="5"/>
    </w:pPr>
    <w:rPr>
      <w:rFonts w:ascii="Arial" w:hAnsi="Arial" w:cs="Arial"/>
      <w:i/>
      <w:sz w:val="22"/>
    </w:rPr>
  </w:style>
  <w:style w:type="paragraph" w:styleId="Heading7">
    <w:name w:val="heading 7"/>
    <w:basedOn w:val="Normal"/>
    <w:next w:val="Normal"/>
    <w:qFormat/>
    <w:pPr>
      <w:numPr>
        <w:ilvl w:val="0"/>
        <w:numId w:val="2"/>
      </w:numPr>
      <w:spacing w:before="240" w:after="60"/>
      <w:outlineLvl w:val="6"/>
    </w:pPr>
    <w:rPr>
      <w:rFonts w:ascii="Arial" w:hAnsi="Arial" w:cs="Arial"/>
    </w:rPr>
  </w:style>
  <w:style w:type="paragraph" w:styleId="Heading8">
    <w:name w:val="heading 8"/>
    <w:basedOn w:val="Normal"/>
    <w:next w:val="Normal"/>
    <w:qFormat/>
    <w:pPr>
      <w:numPr>
        <w:ilvl w:val="0"/>
        <w:numId w:val="2"/>
      </w:numPr>
      <w:spacing w:before="240" w:after="60"/>
      <w:outlineLvl w:val="7"/>
    </w:pPr>
    <w:rPr>
      <w:rFonts w:ascii="Arial" w:hAnsi="Arial" w:cs="Arial"/>
      <w:i/>
    </w:rPr>
  </w:style>
  <w:style w:type="paragraph" w:styleId="Heading9">
    <w:name w:val="heading 9"/>
    <w:basedOn w:val="Normal"/>
    <w:next w:val="Normal"/>
    <w:qFormat/>
    <w:pPr>
      <w:numPr>
        <w:ilvl w:val="0"/>
        <w:numId w:val="2"/>
      </w:numPr>
      <w:spacing w:before="240" w:after="60"/>
      <w:outlineLvl w:val="8"/>
    </w:pPr>
    <w:rPr>
      <w:rFonts w:ascii="Arial" w:hAnsi="Arial" w:cs="Arial"/>
      <w:i/>
      <w:sz w:val="18"/>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11z0">
    <w:name w:val="WW8Num11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20z0">
    <w:name w:val="WW8Num20z0"/>
    <w:qFormat/>
    <w:rPr/>
  </w:style>
  <w:style w:type="character" w:styleId="WW8Num21z0">
    <w:name w:val="WW8Num21z0"/>
    <w:qFormat/>
    <w:rPr/>
  </w:style>
  <w:style w:type="character" w:styleId="WW8Num24z0">
    <w:name w:val="WW8Num24z0"/>
    <w:qFormat/>
    <w:rPr/>
  </w:style>
  <w:style w:type="character" w:styleId="WW8Num25z0">
    <w:name w:val="WW8Num25z0"/>
    <w:qFormat/>
    <w:rPr>
      <w:rFonts w:ascii="Symbol" w:hAnsi="Symbol" w:cs="Symbol"/>
    </w:rPr>
  </w:style>
  <w:style w:type="character" w:styleId="WW8Num28z0">
    <w:name w:val="WW8Num28z0"/>
    <w:qFormat/>
    <w:rPr/>
  </w:style>
  <w:style w:type="character" w:styleId="WW8Num29z0">
    <w:name w:val="WW8Num29z0"/>
    <w:qFormat/>
    <w:rPr>
      <w:rFonts w:ascii="Symbol" w:hAnsi="Symbol" w:cs="Symbol"/>
      <w:color w:val="auto"/>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b/>
      <w:sz w:val="32"/>
      <w:u w:val="single"/>
      <w:vertAlign w:val="superscrip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rPr>
      <w:color w:val="000080"/>
      <w:u w:val="single"/>
    </w:rPr>
  </w:style>
  <w:style w:type="character" w:styleId="FootnoteReference">
    <w:name w:val="footnote reference"/>
    <w:rPr>
      <w:vertAlign w:val="superscript"/>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Heading1"/>
    <w:next w:val="BodyText"/>
    <w:qFormat/>
    <w:pPr>
      <w:numPr>
        <w:ilvl w:val="0"/>
        <w:numId w:val="2"/>
      </w:numPr>
      <w:ind w:hanging="0" w:start="0" w:end="720"/>
      <w:outlineLvl w:val="9"/>
    </w:pPr>
    <w:rPr>
      <w:spacing w:val="-20"/>
      <w:sz w:val="24"/>
    </w:rPr>
  </w:style>
  <w:style w:type="paragraph" w:styleId="BodyText">
    <w:name w:val="Body Text"/>
    <w:pPr>
      <w:widowControl/>
      <w:bidi w:val="0"/>
      <w:spacing w:lineRule="auto" w:line="360"/>
      <w:ind w:firstLine="720" w:start="0" w:end="0"/>
    </w:pPr>
    <w:rPr>
      <w:rFonts w:ascii="Times New Roman" w:hAnsi="Times New Roman" w:eastAsia="Times New Roman" w:cs="Times New Roman"/>
      <w:color w:val="auto"/>
      <w:sz w:val="26"/>
      <w:szCs w:val="20"/>
      <w:lang w:val="en-US" w:eastAsia="zh-CN" w:bidi="hi-IN"/>
    </w:rPr>
  </w:style>
  <w:style w:type="paragraph" w:styleId="List">
    <w:name w:val="List"/>
    <w:basedOn w:val="BodyText"/>
    <w:pPr/>
    <w:rPr>
      <w:rFonts w:cs="NotoSans NF"/>
    </w:rPr>
  </w:style>
  <w:style w:type="paragraph" w:styleId="Caption">
    <w:name w:val="caption"/>
    <w:basedOn w:val="BodyText"/>
    <w:qFormat/>
    <w:pPr>
      <w:tabs>
        <w:tab w:val="clear" w:pos="720"/>
        <w:tab w:val="left" w:pos="4320" w:leader="none"/>
        <w:tab w:val="left" w:pos="5040" w:leader="none"/>
      </w:tabs>
      <w:spacing w:lineRule="auto" w:line="240"/>
      <w:ind w:hanging="0" w:start="0" w:end="0"/>
    </w:pPr>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spacing w:lineRule="exact" w:line="240" w:before="0" w:after="120"/>
    </w:pPr>
    <w:rPr>
      <w:sz w:val="22"/>
    </w:rPr>
  </w:style>
  <w:style w:type="paragraph" w:styleId="HeaderandFooter">
    <w:name w:val="Header and Footer"/>
    <w:basedOn w:val="Normal"/>
    <w:qFormat/>
    <w:pPr>
      <w:suppressLineNumbers/>
      <w:tabs>
        <w:tab w:val="clear" w:pos="5040"/>
        <w:tab w:val="center" w:pos="4986" w:leader="none"/>
        <w:tab w:val="right" w:pos="9972" w:leader="none"/>
      </w:tabs>
    </w:pPr>
    <w:rPr/>
  </w:style>
  <w:style w:type="paragraph" w:styleId="Footer">
    <w:name w:val="footer"/>
    <w:basedOn w:val="Normal"/>
    <w:pPr>
      <w:tabs>
        <w:tab w:val="center" w:pos="4320" w:leader="none"/>
        <w:tab w:val="right" w:pos="5040" w:leader="none"/>
        <w:tab w:val="right" w:pos="8640" w:leader="none"/>
      </w:tabs>
    </w:pPr>
    <w:rPr/>
  </w:style>
  <w:style w:type="paragraph" w:styleId="TOC1">
    <w:name w:val="toc 1"/>
    <w:basedOn w:val="Normal"/>
    <w:next w:val="Normal"/>
    <w:pPr>
      <w:keepNext w:val="true"/>
      <w:tabs>
        <w:tab w:val="right" w:pos="5040" w:leader="none"/>
        <w:tab w:val="right" w:pos="8640" w:leader="dot"/>
      </w:tabs>
      <w:suppressAutoHyphens w:val="true"/>
      <w:spacing w:before="120" w:after="120"/>
      <w:ind w:hanging="245" w:start="245" w:end="1440"/>
    </w:pPr>
    <w:rPr>
      <w:b/>
      <w:caps/>
      <w:lang w:val="en-CA"/>
    </w:rPr>
  </w:style>
  <w:style w:type="paragraph" w:styleId="TOC2">
    <w:name w:val="toc 2"/>
    <w:basedOn w:val="Normal"/>
    <w:next w:val="Normal"/>
    <w:pPr>
      <w:tabs>
        <w:tab w:val="right" w:pos="5040" w:leader="none"/>
        <w:tab w:val="right" w:pos="8640" w:leader="dot"/>
      </w:tabs>
      <w:suppressAutoHyphens w:val="true"/>
      <w:spacing w:before="0" w:after="120"/>
      <w:ind w:hanging="288" w:start="720" w:end="1440"/>
    </w:pPr>
    <w:rPr>
      <w:smallCaps/>
      <w:lang w:val="en-CA"/>
    </w:rPr>
  </w:style>
  <w:style w:type="paragraph" w:styleId="TOC3">
    <w:name w:val="toc 3"/>
    <w:basedOn w:val="Normal"/>
    <w:next w:val="Normal"/>
    <w:pPr>
      <w:tabs>
        <w:tab w:val="right" w:pos="5040" w:leader="none"/>
        <w:tab w:val="right" w:pos="8640" w:leader="dot"/>
      </w:tabs>
      <w:spacing w:before="0" w:after="120"/>
      <w:ind w:hanging="245" w:start="1109" w:end="1440"/>
    </w:pPr>
    <w:rPr>
      <w:lang w:val="en-CA"/>
    </w:rPr>
  </w:style>
  <w:style w:type="paragraph" w:styleId="TOC4">
    <w:name w:val="toc 4"/>
    <w:basedOn w:val="Normal"/>
    <w:next w:val="Normal"/>
    <w:pPr>
      <w:tabs>
        <w:tab w:val="right" w:pos="5040" w:leader="none"/>
        <w:tab w:val="right" w:pos="8640" w:leader="dot"/>
      </w:tabs>
      <w:ind w:hanging="0" w:start="480" w:end="0"/>
    </w:pPr>
    <w:rPr>
      <w:sz w:val="18"/>
    </w:rPr>
  </w:style>
  <w:style w:type="paragraph" w:styleId="TOC5">
    <w:name w:val="toc 5"/>
    <w:basedOn w:val="Normal"/>
    <w:next w:val="Normal"/>
    <w:pPr>
      <w:tabs>
        <w:tab w:val="right" w:pos="5040" w:leader="none"/>
        <w:tab w:val="right" w:pos="8640" w:leader="dot"/>
      </w:tabs>
      <w:ind w:hanging="0" w:start="720" w:end="0"/>
    </w:pPr>
    <w:rPr>
      <w:sz w:val="18"/>
    </w:rPr>
  </w:style>
  <w:style w:type="paragraph" w:styleId="TOC6">
    <w:name w:val="toc 6"/>
    <w:basedOn w:val="Normal"/>
    <w:next w:val="Normal"/>
    <w:pPr>
      <w:tabs>
        <w:tab w:val="right" w:pos="5040" w:leader="none"/>
        <w:tab w:val="right" w:pos="8640" w:leader="dot"/>
      </w:tabs>
      <w:ind w:hanging="0" w:start="960" w:end="0"/>
    </w:pPr>
    <w:rPr>
      <w:sz w:val="18"/>
    </w:rPr>
  </w:style>
  <w:style w:type="paragraph" w:styleId="TOC7">
    <w:name w:val="toc 7"/>
    <w:basedOn w:val="Normal"/>
    <w:next w:val="Normal"/>
    <w:pPr>
      <w:tabs>
        <w:tab w:val="right" w:pos="5040" w:leader="none"/>
        <w:tab w:val="right" w:pos="8640" w:leader="dot"/>
      </w:tabs>
      <w:ind w:hanging="0" w:start="1200" w:end="0"/>
    </w:pPr>
    <w:rPr>
      <w:sz w:val="18"/>
    </w:rPr>
  </w:style>
  <w:style w:type="paragraph" w:styleId="TOC8">
    <w:name w:val="toc 8"/>
    <w:basedOn w:val="Normal"/>
    <w:next w:val="Normal"/>
    <w:pPr>
      <w:tabs>
        <w:tab w:val="right" w:pos="5040" w:leader="none"/>
        <w:tab w:val="right" w:pos="8640" w:leader="dot"/>
      </w:tabs>
      <w:ind w:hanging="0" w:start="1440" w:end="0"/>
    </w:pPr>
    <w:rPr>
      <w:sz w:val="18"/>
    </w:rPr>
  </w:style>
  <w:style w:type="paragraph" w:styleId="TOC9">
    <w:name w:val="toc 9"/>
    <w:basedOn w:val="Normal"/>
    <w:next w:val="Normal"/>
    <w:pPr>
      <w:tabs>
        <w:tab w:val="right" w:pos="5040" w:leader="none"/>
        <w:tab w:val="right" w:pos="8640" w:leader="dot"/>
      </w:tabs>
      <w:ind w:hanging="0" w:start="1680" w:end="0"/>
    </w:pPr>
    <w:rPr>
      <w:sz w:val="18"/>
    </w:rPr>
  </w:style>
  <w:style w:type="paragraph" w:styleId="Header">
    <w:name w:val="header"/>
    <w:basedOn w:val="Normal"/>
    <w:pPr>
      <w:tabs>
        <w:tab w:val="center" w:pos="4320" w:leader="none"/>
        <w:tab w:val="right" w:pos="5040" w:leader="none"/>
        <w:tab w:val="right" w:pos="8640" w:leader="none"/>
      </w:tabs>
    </w:pPr>
    <w:rPr/>
  </w:style>
  <w:style w:type="paragraph" w:styleId="Quotation">
    <w:name w:val="Quotation"/>
    <w:basedOn w:val="BodyText"/>
    <w:next w:val="BodyText"/>
    <w:qFormat/>
    <w:pPr>
      <w:spacing w:lineRule="auto" w:line="240" w:before="0" w:after="120"/>
      <w:ind w:hanging="0" w:start="1440" w:end="1440"/>
    </w:pPr>
    <w:rPr/>
  </w:style>
  <w:style w:type="paragraph" w:styleId="TableofAuthorities">
    <w:name w:val="Table of Authorities"/>
    <w:basedOn w:val="Normal"/>
    <w:next w:val="Normal"/>
    <w:qFormat/>
    <w:pPr>
      <w:tabs>
        <w:tab w:val="right" w:pos="5040" w:leader="none"/>
        <w:tab w:val="right" w:pos="8640" w:leader="dot"/>
      </w:tabs>
      <w:ind w:hanging="245" w:start="245" w:end="1440"/>
    </w:pPr>
    <w:rPr>
      <w:i/>
      <w:lang w:val="en-CA"/>
    </w:rPr>
  </w:style>
  <w:style w:type="paragraph" w:styleId="ListNumber3">
    <w:name w:val="List Number 3"/>
    <w:basedOn w:val="Normal"/>
    <w:qFormat/>
    <w:pPr>
      <w:numPr>
        <w:ilvl w:val="0"/>
        <w:numId w:val="4"/>
      </w:numPr>
      <w:ind w:hanging="360" w:start="1080" w:end="0"/>
    </w:pPr>
    <w:rPr/>
  </w:style>
  <w:style w:type="paragraph" w:styleId="TOAHeading">
    <w:name w:val="TOA Heading"/>
    <w:basedOn w:val="ListNumber3"/>
    <w:next w:val="Normal"/>
    <w:qFormat/>
    <w:pPr>
      <w:spacing w:before="240" w:after="120"/>
      <w:ind w:hanging="0" w:start="0" w:end="0"/>
    </w:pPr>
    <w:rPr>
      <w:b/>
      <w:smallCaps/>
    </w:rPr>
  </w:style>
  <w:style w:type="paragraph" w:styleId="BriefHeading">
    <w:name w:val="Brief Heading"/>
    <w:basedOn w:val="Normal"/>
    <w:qFormat/>
    <w:pPr>
      <w:jc w:val="center"/>
    </w:pPr>
    <w:rPr>
      <w:smallCaps/>
      <w:sz w:val="28"/>
    </w:rPr>
  </w:style>
  <w:style w:type="paragraph" w:styleId="Signature">
    <w:name w:val="Signature"/>
    <w:basedOn w:val="BodyText"/>
    <w:pPr>
      <w:keepNext w:val="true"/>
      <w:keepLines/>
      <w:spacing w:lineRule="auto" w:line="240"/>
      <w:ind w:firstLine="720" w:start="4320" w:end="0"/>
    </w:pPr>
    <w:rPr/>
  </w:style>
  <w:style w:type="paragraph" w:styleId="ListBullet">
    <w:name w:val="List Bullet"/>
    <w:basedOn w:val="Normal"/>
    <w:qFormat/>
    <w:pPr>
      <w:numPr>
        <w:ilvl w:val="0"/>
        <w:numId w:val="5"/>
      </w:numPr>
      <w:spacing w:before="0" w:after="120"/>
      <w:ind w:hanging="360" w:start="360" w:end="0"/>
    </w:pPr>
    <w:rPr/>
  </w:style>
  <w:style w:type="paragraph" w:styleId="BriefTitle">
    <w:name w:val="Brief Title"/>
    <w:basedOn w:val="Normal"/>
    <w:qFormat/>
    <w:pPr>
      <w:jc w:val="center"/>
    </w:pPr>
    <w:rPr>
      <w:b/>
      <w:caps/>
    </w:rPr>
  </w:style>
  <w:style w:type="paragraph" w:styleId="BodyTextIndent">
    <w:name w:val="Body Text Indent"/>
    <w:basedOn w:val="Normal"/>
    <w:pPr>
      <w:tabs>
        <w:tab w:val="clear" w:pos="5040"/>
      </w:tabs>
      <w:ind w:firstLine="720" w:start="0" w:end="0"/>
    </w:pPr>
    <w:rPr>
      <w:sz w:val="28"/>
    </w:rPr>
  </w:style>
  <w:style w:type="paragraph" w:styleId="BodyTextIndent2">
    <w:name w:val="Body Text Indent 2"/>
    <w:basedOn w:val="Normal"/>
    <w:qFormat/>
    <w:pPr>
      <w:tabs>
        <w:tab w:val="clear" w:pos="5040"/>
      </w:tabs>
      <w:ind w:hanging="0" w:start="720" w:end="0"/>
    </w:pPr>
    <w:rPr>
      <w:sz w:val="28"/>
    </w:rPr>
  </w:style>
  <w:style w:type="paragraph" w:styleId="BodyTextIndent3">
    <w:name w:val="Body Text Indent 3"/>
    <w:basedOn w:val="Normal"/>
    <w:qFormat/>
    <w:pPr>
      <w:tabs>
        <w:tab w:val="clear" w:pos="5040"/>
      </w:tabs>
      <w:ind w:hanging="0" w:start="720" w:end="0"/>
    </w:pPr>
    <w:rPr>
      <w:sz w:val="28"/>
      <w:u w:val="single"/>
    </w:rPr>
  </w:style>
  <w:style w:type="paragraph" w:styleId="BodyText2">
    <w:name w:val="Body Text 2"/>
    <w:basedOn w:val="Normal"/>
    <w:qFormat/>
    <w:pPr>
      <w:tabs>
        <w:tab w:val="clear" w:pos="5040"/>
      </w:tabs>
    </w:pPr>
    <w:rPr/>
  </w:style>
  <w:style w:type="paragraph" w:styleId="BodyText3">
    <w:name w:val="Body Text 3"/>
    <w:basedOn w:val="Normal"/>
    <w:qFormat/>
    <w:pPr>
      <w:spacing w:lineRule="auto" w:line="360"/>
    </w:pPr>
    <w:rPr>
      <w:b/>
      <w:sz w:val="28"/>
    </w:rPr>
  </w:style>
  <w:style w:type="paragraph" w:styleId="Title">
    <w:name w:val="Title"/>
    <w:basedOn w:val="Normal"/>
    <w:next w:val="BodyText"/>
    <w:qFormat/>
    <w:pPr>
      <w:tabs>
        <w:tab w:val="clear" w:pos="5040"/>
      </w:tabs>
      <w:jc w:val="center"/>
    </w:pPr>
    <w:rPr>
      <w:b/>
      <w:sz w:val="28"/>
      <w:u w:val="single"/>
    </w:rPr>
  </w:style>
  <w:style w:type="paragraph" w:styleId="num1">
    <w:name w:val="num1"/>
    <w:basedOn w:val="Normal"/>
    <w:qFormat/>
    <w:pPr>
      <w:numPr>
        <w:ilvl w:val="0"/>
        <w:numId w:val="6"/>
      </w:numPr>
      <w:tabs>
        <w:tab w:val="clear" w:pos="5040"/>
        <w:tab w:val="left" w:pos="-720" w:leader="none"/>
      </w:tabs>
      <w:suppressAutoHyphens w:val="true"/>
      <w:spacing w:lineRule="auto" w:line="360"/>
      <w:ind w:firstLine="360" w:start="0" w:end="0"/>
    </w:pPr>
    <w:rPr>
      <w:rFonts w:ascii="Palatino;Book Antiqua" w:hAnsi="Palatino;Book Antiqua" w:cs="Palatino;Book Antiqu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SHORT Brief or Pleading (ORA) V1a.dot</Template>
  <TotalTime>184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2000-07-31T13:51:00Z</dcterms:created>
  <dc:creator>Janice Grau</dc:creator>
  <dc:description/>
  <dc:language>en-CA</dc:language>
  <cp:lastModifiedBy>Nanci Salyer</cp:lastModifiedBy>
  <cp:lastPrinted>2000-07-31T14:07:00Z</cp:lastPrinted>
  <dcterms:modified xsi:type="dcterms:W3CDTF">2000-07-31T18:41:00Z</dcterms:modified>
  <cp:revision>31</cp:revision>
  <dc:subject/>
  <dc:title>BEFORE THE PUBLIC UTILITIES COMMISSION OF THE STATE OF CALIFORNIA</dc:title>
</cp:coreProperties>
</file>