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rPr/>
      </w:pPr>
      <w:r>
        <w:rPr/>
        <w:t>MLC/eap/t94  3/14/2001</w:t>
      </w:r>
    </w:p>
    <w:p>
      <w:pPr>
        <w:pStyle w:val="Header"/>
        <w:rPr/>
      </w:pPr>
      <w:r>
        <w:rPr/>
      </w:r>
    </w:p>
    <w:p>
      <w:pPr>
        <w:pStyle w:val="Header"/>
        <w:rPr/>
      </w:pPr>
      <w:r>
        <w:rPr/>
      </w:r>
    </w:p>
    <w:p>
      <w:pPr>
        <w:pStyle w:val="main"/>
        <w:widowControl/>
        <w:rPr>
          <w:sz w:val="24"/>
          <w:szCs w:val="24"/>
        </w:rPr>
      </w:pPr>
      <w:r>
        <w:rPr>
          <w:sz w:val="24"/>
          <w:szCs w:val="24"/>
        </w:rPr>
      </w:r>
    </w:p>
    <w:p>
      <w:pPr>
        <w:pStyle w:val="main"/>
        <w:widowControl/>
        <w:rPr>
          <w:sz w:val="24"/>
          <w:szCs w:val="24"/>
        </w:rPr>
      </w:pPr>
      <w:r>
        <w:rPr>
          <w:sz w:val="24"/>
          <w:szCs w:val="24"/>
        </w:rPr>
      </w:r>
    </w:p>
    <w:p>
      <w:pPr>
        <w:pStyle w:val="main"/>
        <w:widowControl/>
        <w:rPr>
          <w:sz w:val="24"/>
          <w:szCs w:val="24"/>
        </w:rPr>
      </w:pPr>
      <w:r>
        <w:rPr>
          <w:sz w:val="24"/>
          <w:szCs w:val="24"/>
        </w:rPr>
        <w:t>BEFORE THE PUBLIC UTILITIES COMMISSION OF THE STATE OF CALIFORNIA</w:t>
      </w:r>
    </w:p>
    <w:p>
      <w:pPr>
        <w:pStyle w:val="Normal"/>
        <w:widowControl/>
        <w:suppressAutoHyphens w:val="true"/>
        <w:rPr>
          <w:sz w:val="24"/>
          <w:szCs w:val="24"/>
        </w:rPr>
      </w:pPr>
      <w:r>
        <w:rPr>
          <w:sz w:val="24"/>
          <w:szCs w:val="24"/>
        </w:rPr>
      </w:r>
    </w:p>
    <w:tbl>
      <w:tblPr>
        <w:tblW w:w="9245" w:type="dxa"/>
        <w:jc w:val="start"/>
        <w:tblInd w:w="0" w:type="dxa"/>
        <w:tblLayout w:type="fixed"/>
        <w:tblCellMar>
          <w:top w:w="0" w:type="dxa"/>
          <w:start w:w="108" w:type="dxa"/>
          <w:bottom w:w="0" w:type="dxa"/>
          <w:end w:w="108" w:type="dxa"/>
        </w:tblCellMar>
      </w:tblPr>
      <w:tblGrid>
        <w:gridCol w:w="5958"/>
        <w:gridCol w:w="3287"/>
      </w:tblGrid>
      <w:tr>
        <w:trPr/>
        <w:tc>
          <w:tcPr>
            <w:tcW w:w="5958" w:type="dxa"/>
            <w:tcBorders>
              <w:bottom w:val="single" w:sz="6" w:space="0" w:color="000000"/>
              <w:end w:val="single" w:sz="6" w:space="0" w:color="000000"/>
            </w:tcBorders>
          </w:tcPr>
          <w:p>
            <w:pPr>
              <w:pStyle w:val="Normal"/>
              <w:widowControl/>
              <w:tabs>
                <w:tab w:val="clear" w:pos="720"/>
                <w:tab w:val="left" w:pos="2160" w:leader="none"/>
                <w:tab w:val="left" w:pos="3600" w:leader="none"/>
              </w:tabs>
              <w:rPr/>
            </w:pPr>
            <w:r>
              <w:rPr/>
              <w:t>Order Instituting Rulemaking into Implementation of Pub. Util. Code § 390.</w:t>
            </w:r>
          </w:p>
          <w:p>
            <w:pPr>
              <w:pStyle w:val="Normal"/>
              <w:widowControl/>
              <w:rPr/>
            </w:pPr>
            <w:r>
              <w:rPr/>
            </w:r>
          </w:p>
        </w:tc>
        <w:tc>
          <w:tcPr>
            <w:tcW w:w="3287" w:type="dxa"/>
            <w:tcBorders/>
          </w:tcPr>
          <w:p>
            <w:pPr>
              <w:pStyle w:val="Normal"/>
              <w:widowControl/>
              <w:snapToGrid w:val="false"/>
              <w:jc w:val="center"/>
              <w:rPr/>
            </w:pPr>
            <w:r>
              <w:rPr/>
            </w:r>
          </w:p>
          <w:p>
            <w:pPr>
              <w:pStyle w:val="Normal"/>
              <w:widowControl/>
              <w:jc w:val="center"/>
              <w:rPr/>
            </w:pPr>
            <w:r>
              <w:rPr/>
              <w:t>Rulemaking 99-11-022</w:t>
            </w:r>
          </w:p>
        </w:tc>
      </w:tr>
    </w:tbl>
    <w:p>
      <w:pPr>
        <w:pStyle w:val="Normal"/>
        <w:widowControl/>
        <w:suppressAutoHyphens w:val="true"/>
        <w:rPr/>
      </w:pPr>
      <w:r>
        <w:rPr/>
      </w:r>
    </w:p>
    <w:p>
      <w:pPr>
        <w:pStyle w:val="Normal"/>
        <w:widowControl/>
        <w:rPr/>
      </w:pPr>
      <w:r>
        <w:rPr/>
      </w:r>
    </w:p>
    <w:p>
      <w:pPr>
        <w:pStyle w:val="main"/>
        <w:widowControl/>
        <w:rPr/>
      </w:pPr>
      <w:r>
        <w:rPr/>
        <w:t>ADMINISTRATIVE LAW JUDGE’S RULING</w:t>
      </w:r>
    </w:p>
    <w:p>
      <w:pPr>
        <w:pStyle w:val="main"/>
        <w:widowControl/>
        <w:rPr/>
      </w:pPr>
      <w:r>
        <w:rPr/>
        <w:t xml:space="preserve">SEEKING INFORMATION FROM </w:t>
      </w:r>
    </w:p>
    <w:p>
      <w:pPr>
        <w:pStyle w:val="main"/>
        <w:widowControl/>
        <w:rPr/>
      </w:pPr>
      <w:r>
        <w:rPr/>
        <w:t>THE DEPARTMENT OF WATER RESOURCES</w:t>
      </w:r>
    </w:p>
    <w:p>
      <w:pPr>
        <w:pStyle w:val="main"/>
        <w:widowControl/>
        <w:rPr/>
      </w:pPr>
      <w:r>
        <w:rPr/>
      </w:r>
    </w:p>
    <w:p>
      <w:pPr>
        <w:pStyle w:val="standard"/>
        <w:widowControl/>
        <w:rPr/>
      </w:pPr>
      <w:r>
        <w:rPr/>
        <w:t>As all parties to this proceeding are aware, there has been significant discussion at this Commission and in the Legislature about revising the current methodology for calculating short-run avoided costs paid to qualifying facilities. Public Utilities Code Section 390 currently limits the options that this Commission can consider.  However, given the legislative interest in this area, we think the time is ripe to consider alternatives beyond those available under § 390.</w:t>
      </w:r>
    </w:p>
    <w:p>
      <w:pPr>
        <w:pStyle w:val="standard"/>
        <w:widowControl/>
        <w:rPr/>
      </w:pPr>
      <w:r>
        <w:rPr/>
        <w:t>In response to the current electricity crisis, the California Department of Water Resources (DWR) has been authorized to enter into long-term power purchase contracts on behalf of California utility ratepayers.  One option that we are interested in considering, once § 390 no longer limits the alternatives we may adopt, is a short-run avoided cost methodology that has a relationship to the electricity portfolio price the DWR is purchasing on behalf of ratepayers.  For the purpose of ensuring an adequate administrative record in this proceeding, we request that DWR provide the following information:</w:t>
      </w:r>
    </w:p>
    <w:p>
      <w:pPr>
        <w:pStyle w:val="BlockText"/>
        <w:widowControl/>
        <w:numPr>
          <w:ilvl w:val="0"/>
          <w:numId w:val="4"/>
        </w:numPr>
        <w:tabs>
          <w:tab w:val="left" w:pos="0" w:leader="none"/>
          <w:tab w:val="left" w:pos="1440" w:leader="none"/>
        </w:tabs>
        <w:ind w:hanging="360" w:start="2160" w:end="1440"/>
        <w:rPr/>
      </w:pPr>
      <w:r>
        <w:rPr/>
        <w:t>The total number of megawatt-hours that DWR has contracted for on behalf of California utility ratepayers;</w:t>
      </w:r>
    </w:p>
    <w:p>
      <w:pPr>
        <w:pStyle w:val="BlockText"/>
        <w:widowControl/>
        <w:rPr/>
      </w:pPr>
      <w:r>
        <w:rPr/>
      </w:r>
    </w:p>
    <w:p>
      <w:pPr>
        <w:pStyle w:val="BlockText"/>
        <w:widowControl/>
        <w:numPr>
          <w:ilvl w:val="0"/>
          <w:numId w:val="5"/>
        </w:numPr>
        <w:tabs>
          <w:tab w:val="left" w:pos="0" w:leader="none"/>
          <w:tab w:val="left" w:pos="1440" w:leader="none"/>
        </w:tabs>
        <w:ind w:hanging="360" w:start="2160" w:end="1440"/>
        <w:rPr/>
      </w:pPr>
      <w:r>
        <w:rPr/>
        <w:t>The total dollar cost of those contracts;</w:t>
      </w:r>
    </w:p>
    <w:p>
      <w:pPr>
        <w:pStyle w:val="Normal"/>
        <w:widowControl/>
        <w:rPr/>
      </w:pPr>
      <w:r>
        <w:rPr/>
      </w:r>
    </w:p>
    <w:p>
      <w:pPr>
        <w:pStyle w:val="standard"/>
        <w:widowControl/>
        <w:rPr/>
      </w:pPr>
      <w:r>
        <w:rPr/>
        <w:t>This information may be provided in the form of a sworn declaration submitted to the ALJ in this proceeding by March 19, 2001.  The Commission will then file and serve the declaration on the service list of this proceeding.</w:t>
      </w:r>
    </w:p>
    <w:p>
      <w:pPr>
        <w:pStyle w:val="standard"/>
        <w:widowControl/>
        <w:rPr/>
      </w:pPr>
      <w:r>
        <w:rPr/>
        <w:t xml:space="preserve">In its declaration, DWR should include any explanation it regards as necessary for a clear understanding of the numbers and other information contained in the declaration.  For example, DWR may wish to indicate whether the numbers shown are for contracts actually signed, or whether they include contracts reached in principle, but not yet signed. </w:t>
      </w:r>
    </w:p>
    <w:p>
      <w:pPr>
        <w:pStyle w:val="standard"/>
        <w:keepNext w:val="true"/>
        <w:widowControl/>
        <w:rPr/>
      </w:pPr>
      <w:r>
        <w:rPr>
          <w:b/>
          <w:bCs/>
        </w:rPr>
        <w:t>IT IS RULED</w:t>
      </w:r>
      <w:r>
        <w:rPr/>
        <w:t xml:space="preserve"> that by March 19, 2001, the California Department of Water Resources should submit a declaration setting forth the information described above to Assigned Administrative Law Judge Michelle Cooke.</w:t>
      </w:r>
    </w:p>
    <w:p>
      <w:pPr>
        <w:pStyle w:val="standard"/>
        <w:widowControl/>
        <w:rPr/>
      </w:pPr>
      <w:r>
        <w:rPr/>
        <w:t>Dated March 14, 2001, at San Francisco, California.</w:t>
      </w:r>
    </w:p>
    <w:p>
      <w:pPr>
        <w:pStyle w:val="Normal"/>
        <w:widowControl/>
        <w:rPr/>
      </w:pPr>
      <w:r>
        <w:rPr/>
      </w:r>
    </w:p>
    <w:p>
      <w:pPr>
        <w:pStyle w:val="Normal"/>
        <w:widowControl/>
        <w:rPr/>
      </w:pPr>
      <w:r>
        <w:rPr/>
      </w:r>
    </w:p>
    <w:p>
      <w:pPr>
        <w:pStyle w:val="Normal"/>
        <w:widowControl/>
        <w:rPr/>
      </w:pPr>
      <w:r>
        <w:rPr/>
      </w:r>
    </w:p>
    <w:tbl>
      <w:tblPr>
        <w:tblW w:w="8010" w:type="dxa"/>
        <w:jc w:val="start"/>
        <w:tblInd w:w="828" w:type="dxa"/>
        <w:tblLayout w:type="fixed"/>
        <w:tblCellMar>
          <w:top w:w="0" w:type="dxa"/>
          <w:start w:w="108" w:type="dxa"/>
          <w:bottom w:w="0" w:type="dxa"/>
          <w:end w:w="108" w:type="dxa"/>
        </w:tblCellMar>
      </w:tblPr>
      <w:tblGrid>
        <w:gridCol w:w="3060"/>
        <w:gridCol w:w="990"/>
        <w:gridCol w:w="3960"/>
      </w:tblGrid>
      <w:tr>
        <w:trPr/>
        <w:tc>
          <w:tcPr>
            <w:tcW w:w="3060" w:type="dxa"/>
            <w:tcBorders/>
          </w:tcPr>
          <w:p>
            <w:pPr>
              <w:pStyle w:val="Normal"/>
              <w:widowControl/>
              <w:snapToGrid w:val="false"/>
              <w:rPr/>
            </w:pPr>
            <w:r>
              <w:rPr/>
            </w:r>
          </w:p>
        </w:tc>
        <w:tc>
          <w:tcPr>
            <w:tcW w:w="990" w:type="dxa"/>
            <w:tcBorders/>
          </w:tcPr>
          <w:p>
            <w:pPr>
              <w:pStyle w:val="Normal"/>
              <w:widowControl/>
              <w:snapToGrid w:val="false"/>
              <w:rPr/>
            </w:pPr>
            <w:r>
              <w:rPr/>
            </w:r>
          </w:p>
        </w:tc>
        <w:tc>
          <w:tcPr>
            <w:tcW w:w="3960" w:type="dxa"/>
            <w:tcBorders>
              <w:bottom w:val="single" w:sz="6" w:space="0" w:color="000000"/>
            </w:tcBorders>
          </w:tcPr>
          <w:p>
            <w:pPr>
              <w:pStyle w:val="Footer"/>
              <w:widowControl/>
              <w:tabs>
                <w:tab w:val="clear" w:pos="4320"/>
                <w:tab w:val="clear" w:pos="8640"/>
              </w:tabs>
              <w:rPr/>
            </w:pPr>
            <w:r>
              <w:rPr/>
              <w:t>/s/   MICHELLE COOKE</w:t>
            </w:r>
          </w:p>
        </w:tc>
      </w:tr>
      <w:tr>
        <w:trPr/>
        <w:tc>
          <w:tcPr>
            <w:tcW w:w="3060" w:type="dxa"/>
            <w:tcBorders/>
          </w:tcPr>
          <w:p>
            <w:pPr>
              <w:pStyle w:val="Normal"/>
              <w:widowControl/>
              <w:snapToGrid w:val="false"/>
              <w:jc w:val="center"/>
              <w:rPr/>
            </w:pPr>
            <w:r>
              <w:rPr/>
            </w:r>
          </w:p>
        </w:tc>
        <w:tc>
          <w:tcPr>
            <w:tcW w:w="990" w:type="dxa"/>
            <w:tcBorders/>
          </w:tcPr>
          <w:p>
            <w:pPr>
              <w:pStyle w:val="Normal"/>
              <w:widowControl/>
              <w:snapToGrid w:val="false"/>
              <w:rPr/>
            </w:pPr>
            <w:r>
              <w:rPr/>
            </w:r>
          </w:p>
        </w:tc>
        <w:tc>
          <w:tcPr>
            <w:tcW w:w="3960" w:type="dxa"/>
            <w:tcBorders/>
          </w:tcPr>
          <w:p>
            <w:pPr>
              <w:pStyle w:val="Normal"/>
              <w:widowControl/>
              <w:jc w:val="center"/>
              <w:rPr/>
            </w:pPr>
            <w:r>
              <w:rPr/>
              <w:t>Michelle Cooke</w:t>
            </w:r>
          </w:p>
          <w:p>
            <w:pPr>
              <w:pStyle w:val="Normal"/>
              <w:widowControl/>
              <w:jc w:val="center"/>
              <w:rPr/>
            </w:pPr>
            <w:r>
              <w:rPr/>
              <w:t>Administrative Law Judge</w:t>
            </w:r>
          </w:p>
        </w:tc>
      </w:tr>
    </w:tbl>
    <w:p>
      <w:pPr>
        <w:pStyle w:val="main"/>
        <w:widowControl/>
        <w:rPr/>
      </w:pPr>
      <w:r>
        <w:rPr/>
        <w:tab/>
      </w:r>
      <w:r>
        <w:br w:type="page"/>
      </w:r>
    </w:p>
    <w:p>
      <w:pPr>
        <w:pStyle w:val="main"/>
        <w:widowControl/>
        <w:rPr/>
      </w:pPr>
      <w:r>
        <w:rPr/>
        <w:t>CERTIFICATE OF SERVICE</w:t>
      </w:r>
    </w:p>
    <w:p>
      <w:pPr>
        <w:pStyle w:val="Normal"/>
        <w:widowControl/>
        <w:rPr/>
      </w:pPr>
      <w:r>
        <w:rPr/>
      </w:r>
    </w:p>
    <w:p>
      <w:pPr>
        <w:pStyle w:val="standard"/>
        <w:widowControl/>
        <w:rPr/>
      </w:pPr>
      <w:r>
        <w:rPr/>
        <w:t>I certify that I have by mail, and by electronic mail to the parties to which an electronic mail address has been provided, this day served a true copy of the original attached Administrative Law Judge’s Ruling Seeking Information from the Department of Water Resources on all parties of record in this proceeding or their attorneys of record.</w:t>
      </w:r>
    </w:p>
    <w:p>
      <w:pPr>
        <w:pStyle w:val="standard"/>
        <w:widowControl/>
        <w:rPr/>
      </w:pPr>
      <w:r>
        <w:rPr/>
        <w:t>Dated March 14, 2001, at San Francisco, California.</w:t>
      </w:r>
    </w:p>
    <w:p>
      <w:pPr>
        <w:pStyle w:val="Normal"/>
        <w:widowControl/>
        <w:rPr/>
      </w:pPr>
      <w:r>
        <w:rPr/>
      </w:r>
    </w:p>
    <w:p>
      <w:pPr>
        <w:pStyle w:val="Normal"/>
        <w:widowControl/>
        <w:rPr/>
      </w:pPr>
      <w:r>
        <w:rPr/>
      </w:r>
    </w:p>
    <w:tbl>
      <w:tblPr>
        <w:tblW w:w="3420" w:type="dxa"/>
        <w:jc w:val="start"/>
        <w:tblInd w:w="4878" w:type="dxa"/>
        <w:tblLayout w:type="fixed"/>
        <w:tblCellMar>
          <w:top w:w="0" w:type="dxa"/>
          <w:start w:w="108" w:type="dxa"/>
          <w:bottom w:w="0" w:type="dxa"/>
          <w:end w:w="108" w:type="dxa"/>
        </w:tblCellMar>
      </w:tblPr>
      <w:tblGrid>
        <w:gridCol w:w="3420"/>
      </w:tblGrid>
      <w:tr>
        <w:trPr/>
        <w:tc>
          <w:tcPr>
            <w:tcW w:w="3420" w:type="dxa"/>
            <w:tcBorders>
              <w:bottom w:val="single" w:sz="6" w:space="0" w:color="000000"/>
            </w:tcBorders>
          </w:tcPr>
          <w:p>
            <w:pPr>
              <w:pStyle w:val="Normal"/>
              <w:widowControl/>
              <w:rPr/>
            </w:pPr>
            <w:r>
              <w:rPr/>
              <w:t>/s/  GABY L. SUSANTO</w:t>
            </w:r>
          </w:p>
        </w:tc>
      </w:tr>
      <w:tr>
        <w:trPr/>
        <w:tc>
          <w:tcPr>
            <w:tcW w:w="3420" w:type="dxa"/>
            <w:tcBorders/>
          </w:tcPr>
          <w:p>
            <w:pPr>
              <w:pStyle w:val="Normal"/>
              <w:widowControl/>
              <w:jc w:val="center"/>
              <w:rPr/>
            </w:pPr>
            <w:r>
              <w:rPr/>
              <w:t>Gaby L. Susanto</w:t>
            </w:r>
          </w:p>
        </w:tc>
      </w:tr>
    </w:tbl>
    <w:p>
      <w:pPr>
        <w:pStyle w:val="Normal"/>
        <w:widowControl/>
        <w:spacing w:lineRule="auto" w:line="360"/>
        <w:rPr/>
      </w:pPr>
      <w:r>
        <w:rPr/>
      </w:r>
    </w:p>
    <w:p>
      <w:pPr>
        <w:pStyle w:val="mainex"/>
        <w:widowControl/>
        <w:rPr/>
      </w:pPr>
      <w:r>
        <w:rPr/>
        <w:t>NOTICE</w:t>
      </w:r>
    </w:p>
    <w:p>
      <w:pPr>
        <w:pStyle w:val="Normal"/>
        <w:widowControl/>
        <w:rPr/>
      </w:pPr>
      <w:r>
        <w:rPr/>
      </w:r>
    </w:p>
    <w:p>
      <w:pPr>
        <w:pStyle w:val="Normal"/>
        <w:widowControl/>
        <w:tabs>
          <w:tab w:val="clear" w:pos="720"/>
          <w:tab w:val="left" w:pos="0" w:leader="none"/>
        </w:tabs>
        <w:ind w:start="1440" w:end="1440"/>
        <w:rPr/>
      </w:pPr>
      <w:r>
        <w:rPr/>
        <w:t>Parties should notify the Process Office, Public Utilities Commission, 505 Van Ness Avenue, Room 2000, San Francisco, CA  94102, of any change of address to insure that they continue to receive documents. You must indicate the proceeding number on the service list on which your name appears.</w:t>
      </w:r>
    </w:p>
    <w:p>
      <w:pPr>
        <w:pStyle w:val="Normal"/>
        <w:widowControl/>
        <w:ind w:start="1440" w:end="0"/>
        <w:rPr/>
      </w:pPr>
      <w:r>
        <w:rPr/>
      </w:r>
    </w:p>
    <w:p>
      <w:pPr>
        <w:pStyle w:val="Normal"/>
        <w:widowControl/>
        <w:tabs>
          <w:tab w:val="clear" w:pos="720"/>
          <w:tab w:val="left" w:pos="0" w:leader="none"/>
        </w:tabs>
        <w:ind w:start="1440" w:end="1440"/>
        <w:rPr/>
      </w:pPr>
      <w:r>
        <w:rPr/>
        <w:t>* * * * * * * * * * * * * * * * * * * * * * * * * * * * * * * * * * * * * * *</w:t>
      </w:r>
    </w:p>
    <w:p>
      <w:pPr>
        <w:pStyle w:val="Normal"/>
        <w:widowControl/>
        <w:tabs>
          <w:tab w:val="clear" w:pos="720"/>
          <w:tab w:val="left" w:pos="0" w:leader="none"/>
        </w:tabs>
        <w:ind w:start="1440" w:end="1440"/>
        <w:rPr/>
      </w:pPr>
      <w:r>
        <w:rPr/>
      </w:r>
    </w:p>
    <w:p>
      <w:pPr>
        <w:pStyle w:val="Normal"/>
        <w:widowControl/>
        <w:tabs>
          <w:tab w:val="clear" w:pos="720"/>
          <w:tab w:val="left" w:pos="0" w:leader="none"/>
        </w:tabs>
        <w:ind w:start="1440" w:end="1440"/>
        <w:rPr/>
      </w:pPr>
      <w:r>
        <w:rPr/>
        <w:t>The Commission’s policy is to schedule hearings (meetings, workshops, etc.) in locations that are accessible to people with disabilities. To verify that a particular location is accessible, call: Calendar Clerk (415) 703-1203.</w:t>
      </w:r>
    </w:p>
    <w:p>
      <w:pPr>
        <w:pStyle w:val="Normal"/>
        <w:widowControl/>
        <w:tabs>
          <w:tab w:val="clear" w:pos="720"/>
          <w:tab w:val="left" w:pos="0" w:leader="none"/>
        </w:tabs>
        <w:ind w:start="1440" w:end="1440"/>
        <w:rPr/>
      </w:pPr>
      <w:r>
        <w:rPr/>
      </w:r>
    </w:p>
    <w:p>
      <w:pPr>
        <w:pStyle w:val="BlockText"/>
        <w:widowControl/>
        <w:rPr/>
      </w:pPr>
      <w:r>
        <w:rPr/>
        <w:t>If specialized accommodations for the disabled are needed, e.g., sign language interpreters, those making the arrangements must call the Public Advisor at (415) 703</w:t>
        <w:noBreakHyphen/>
        <w:t>2074, TTY 1-866-836-7825 or (415) 703-5282 at least three working days in advance of the event.</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altName w:val="Book Antiqua"/>
    <w:charset w:val="01"/>
    <w:family w:val="roman"/>
    <w:pitch w:val="default"/>
  </w:font>
  <w:font w:name="Helvetica">
    <w:altName w:val="Arial"/>
    <w:charset w:val="01"/>
    <w:family w:val="swiss"/>
    <w:pitch w:val="variable"/>
  </w:font>
  <w:font w:name="Liberation Sans">
    <w:altName w:val="Arial"/>
    <w:charset w:val="01" w:characterSet="utf-8"/>
    <w:family w:val="swiss"/>
    <w:pitch w:val="variable"/>
  </w:font>
  <w:font w:name="Arial">
    <w:charset w:val="01"/>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start"/>
      <w:rPr>
        <w:sz w:val="16"/>
        <w:szCs w:val="16"/>
      </w:rPr>
    </w:pPr>
    <w:r>
      <w:rPr>
        <w:sz w:val="16"/>
        <w:szCs w:val="16"/>
      </w:rPr>
      <w:t>92379</w:t>
    </w:r>
  </w:p>
  <w:p>
    <w:pPr>
      <w:pStyle w:val="Footer"/>
      <w:widowControl/>
      <w:rPr/>
    </w:pPr>
    <w:r>
      <w:rPr/>
      <w:t xml:space="preserve">- </w:t>
    </w:r>
    <w:r>
      <w:rPr>
        <w:rStyle w:val="PageNumber"/>
        <w:sz w:val="26"/>
        <w:szCs w:val="26"/>
      </w:rPr>
      <w:fldChar w:fldCharType="begin"/>
    </w:r>
    <w:r>
      <w:rPr>
        <w:rStyle w:val="PageNumber"/>
        <w:sz w:val="26"/>
        <w:szCs w:val="26"/>
      </w:rPr>
      <w:instrText xml:space="preserve"> PAGE </w:instrText>
    </w:r>
    <w:r>
      <w:rPr>
        <w:rStyle w:val="PageNumber"/>
        <w:sz w:val="26"/>
        <w:szCs w:val="26"/>
      </w:rPr>
      <w:fldChar w:fldCharType="separate"/>
    </w:r>
    <w:r>
      <w:rPr>
        <w:rStyle w:val="PageNumber"/>
        <w:sz w:val="26"/>
        <w:szCs w:val="26"/>
      </w:rPr>
      <w:t>1</w:t>
    </w:r>
    <w:r>
      <w:rPr>
        <w:rStyle w:val="PageNumber"/>
        <w:sz w:val="26"/>
        <w:szCs w:val="26"/>
      </w:rPr>
      <w:fldChar w:fldCharType="end"/>
    </w:r>
    <w:r>
      <w:rPr>
        <w:rStyle w:val="PageNumber"/>
        <w:sz w:val="26"/>
        <w:szCs w:val="26"/>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R.99-11-022  MLC/eap/t94</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lowerLetter"/>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2"/>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Palatino;Book Antiqua" w:hAnsi="Palatino;Book Antiqua" w:eastAsia="Palatino;Book Antiqua" w:cs="Palatino;Book Antiqua"/>
      <w:color w:val="auto"/>
      <w:sz w:val="26"/>
      <w:szCs w:val="26"/>
      <w:lang w:val="en-US" w:eastAsia="zh-CN" w:bidi="hi-IN"/>
    </w:rPr>
  </w:style>
  <w:style w:type="paragraph" w:styleId="Heading1">
    <w:name w:val="heading 1"/>
    <w:basedOn w:val="Normal"/>
    <w:next w:val="standard"/>
    <w:qFormat/>
    <w:pPr>
      <w:keepNext w:val="true"/>
      <w:numPr>
        <w:ilvl w:val="0"/>
        <w:numId w:val="1"/>
      </w:numPr>
      <w:spacing w:before="120" w:after="120"/>
      <w:ind w:firstLine="720" w:start="0" w:end="0"/>
      <w:outlineLvl w:val="0"/>
    </w:pPr>
    <w:rPr>
      <w:rFonts w:ascii="Helvetica;Arial" w:hAnsi="Helvetica;Arial" w:eastAsia="Helvetica;Arial" w:cs="Helvetica;Arial"/>
      <w:b/>
      <w:bCs/>
      <w:kern w:val="2"/>
    </w:rPr>
  </w:style>
  <w:style w:type="paragraph" w:styleId="Heading2">
    <w:name w:val="heading 2"/>
    <w:basedOn w:val="Normal"/>
    <w:next w:val="sub1"/>
    <w:qFormat/>
    <w:pPr>
      <w:keepNext w:val="true"/>
      <w:numPr>
        <w:ilvl w:val="1"/>
        <w:numId w:val="1"/>
      </w:numPr>
      <w:spacing w:before="120" w:after="120"/>
      <w:ind w:firstLine="1440" w:start="0" w:end="0"/>
      <w:outlineLvl w:val="1"/>
    </w:pPr>
    <w:rPr>
      <w:rFonts w:ascii="Helvetica;Arial" w:hAnsi="Helvetica;Arial" w:eastAsia="Helvetica;Arial" w:cs="Helvetica;Arial"/>
      <w:b/>
      <w:bCs/>
      <w:i/>
      <w:iCs/>
    </w:rPr>
  </w:style>
  <w:style w:type="paragraph" w:styleId="Heading3">
    <w:name w:val="heading 3"/>
    <w:basedOn w:val="Normal"/>
    <w:next w:val="sub2"/>
    <w:qFormat/>
    <w:pPr>
      <w:keepNext w:val="true"/>
      <w:numPr>
        <w:ilvl w:val="2"/>
        <w:numId w:val="1"/>
      </w:numPr>
      <w:spacing w:before="120" w:after="120"/>
      <w:ind w:firstLine="2160" w:start="0" w:end="0"/>
      <w:outlineLvl w:val="2"/>
    </w:pPr>
    <w:rPr>
      <w:rFonts w:ascii="Helvetica;Arial" w:hAnsi="Helvetica;Arial" w:eastAsia="Helvetica;Arial" w:cs="Helvetica;Arial"/>
      <w:b/>
      <w:bCs/>
    </w:rPr>
  </w:style>
  <w:style w:type="paragraph" w:styleId="Heading4">
    <w:name w:val="heading 4"/>
    <w:basedOn w:val="Normal"/>
    <w:next w:val="sub3"/>
    <w:qFormat/>
    <w:pPr>
      <w:keepNext w:val="true"/>
      <w:numPr>
        <w:ilvl w:val="3"/>
        <w:numId w:val="1"/>
      </w:numPr>
      <w:spacing w:before="120" w:after="60"/>
      <w:ind w:firstLine="2880" w:start="0" w:end="0"/>
      <w:outlineLvl w:val="3"/>
    </w:pPr>
    <w:rPr>
      <w:rFonts w:ascii="Helvetica;Arial" w:hAnsi="Helvetica;Arial" w:eastAsia="Helvetica;Arial" w:cs="Helvetica;Arial"/>
      <w:b/>
      <w:bCs/>
      <w:i/>
      <w:iCs/>
    </w:rPr>
  </w:style>
  <w:style w:type="paragraph" w:styleId="Heading5">
    <w:name w:val="heading 5"/>
    <w:basedOn w:val="Normal"/>
    <w:next w:val="sub4"/>
    <w:qFormat/>
    <w:pPr>
      <w:numPr>
        <w:ilvl w:val="4"/>
        <w:numId w:val="1"/>
      </w:numPr>
      <w:spacing w:before="120" w:after="120"/>
      <w:ind w:firstLine="3600" w:start="0" w:end="0"/>
      <w:outlineLvl w:val="4"/>
    </w:pPr>
    <w:rPr>
      <w:rFonts w:ascii="Helvetica;Arial" w:hAnsi="Helvetica;Arial" w:eastAsia="Helvetica;Arial" w:cs="Helvetica;Arial"/>
      <w:b/>
      <w:bC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z w:val="20"/>
      <w:szCs w:val="20"/>
    </w:rPr>
  </w:style>
  <w:style w:type="character" w:styleId="Hyperlink">
    <w:name w:val="Hyperlink"/>
    <w:basedOn w:val="DefaultParagraphFont"/>
    <w:qFormat/>
    <w:rPr>
      <w:color w:val="0000FF"/>
      <w:sz w:val="20"/>
      <w:szCs w:val="2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pPr>
    <w:rPr>
      <w:sz w:val="24"/>
      <w:szCs w:val="24"/>
    </w:rPr>
  </w:style>
  <w:style w:type="paragraph" w:styleId="standard">
    <w:name w:val="standard"/>
    <w:basedOn w:val="Normal"/>
    <w:qFormat/>
    <w:pPr>
      <w:spacing w:lineRule="auto" w:line="360"/>
      <w:ind w:firstLine="720" w:start="0" w:end="0"/>
    </w:pPr>
    <w:rPr/>
  </w:style>
  <w:style w:type="paragraph" w:styleId="Subtitle">
    <w:name w:val="Subtitle"/>
    <w:basedOn w:val="Normal"/>
    <w:next w:val="BodyText"/>
    <w:qFormat/>
    <w:pPr>
      <w:spacing w:before="0" w:after="60"/>
      <w:jc w:val="center"/>
    </w:pPr>
    <w:rPr>
      <w:rFonts w:ascii="Arial" w:hAnsi="Arial" w:eastAsia="Arial" w:cs="Arial"/>
    </w:rPr>
  </w:style>
  <w:style w:type="paragraph" w:styleId="quote">
    <w:name w:val="quote"/>
    <w:basedOn w:val="standard"/>
    <w:next w:val="standard"/>
    <w:qFormat/>
    <w:pPr>
      <w:spacing w:lineRule="auto" w:line="240" w:before="120" w:after="240"/>
      <w:ind w:hanging="0" w:start="720" w:end="720"/>
    </w:pPr>
    <w:rPr/>
  </w:style>
  <w:style w:type="paragraph" w:styleId="num1">
    <w:name w:val="num1"/>
    <w:basedOn w:val="Normal"/>
    <w:qFormat/>
    <w:pPr>
      <w:numPr>
        <w:ilvl w:val="0"/>
        <w:numId w:val="2"/>
      </w:numPr>
      <w:tabs>
        <w:tab w:val="clear" w:pos="720"/>
        <w:tab w:val="left" w:pos="-720" w:leader="none"/>
      </w:tabs>
      <w:suppressAutoHyphens w:val="true"/>
      <w:spacing w:lineRule="auto" w:line="360"/>
      <w:ind w:firstLine="360" w:start="0" w:end="0"/>
    </w:pPr>
    <w:rPr/>
  </w:style>
  <w:style w:type="paragraph" w:styleId="letter">
    <w:name w:val="letter"/>
    <w:basedOn w:val="num1"/>
    <w:qFormat/>
    <w:pPr>
      <w:numPr>
        <w:ilvl w:val="0"/>
        <w:numId w:val="3"/>
      </w:numPr>
      <w:spacing w:lineRule="auto" w:line="240" w:before="0" w:after="120"/>
      <w:ind w:hanging="274" w:start="994" w:end="0"/>
    </w:pPr>
    <w:rPr/>
  </w:style>
  <w:style w:type="paragraph" w:styleId="TOC4">
    <w:name w:val="toc 4"/>
    <w:basedOn w:val="Normal"/>
    <w:next w:val="Normal"/>
    <w:pPr>
      <w:tabs>
        <w:tab w:val="clear" w:pos="720"/>
        <w:tab w:val="right" w:pos="9360" w:leader="dot"/>
      </w:tabs>
      <w:ind w:hanging="0" w:start="720" w:end="0"/>
    </w:pPr>
    <w:rPr/>
  </w:style>
  <w:style w:type="paragraph" w:styleId="main">
    <w:name w:val="main"/>
    <w:basedOn w:val="Normal"/>
    <w:qFormat/>
    <w:pPr>
      <w:jc w:val="center"/>
    </w:pPr>
    <w:rPr>
      <w:rFonts w:ascii="Helvetica;Arial" w:hAnsi="Helvetica;Arial" w:eastAsia="Helvetica;Arial" w:cs="Helvetica;Arial"/>
      <w:b/>
      <w:bCs/>
    </w:rPr>
  </w:style>
  <w:style w:type="paragraph" w:styleId="mainex">
    <w:name w:val="mainex"/>
    <w:basedOn w:val="main"/>
    <w:qFormat/>
    <w:pPr/>
    <w:rPr>
      <w:spacing w:val="1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num2">
    <w:name w:val="num2"/>
    <w:basedOn w:val="num1"/>
    <w:qFormat/>
    <w:pPr>
      <w:ind w:firstLine="270" w:start="0" w:end="0"/>
    </w:pPr>
    <w:rPr/>
  </w:style>
  <w:style w:type="paragraph" w:styleId="Footer">
    <w:name w:val="footer"/>
    <w:basedOn w:val="Normal"/>
    <w:pPr>
      <w:tabs>
        <w:tab w:val="clear" w:pos="720"/>
        <w:tab w:val="center" w:pos="4320" w:leader="none"/>
        <w:tab w:val="right" w:pos="8640" w:leader="none"/>
      </w:tabs>
      <w:jc w:val="center"/>
    </w:pPr>
    <w:rPr/>
  </w:style>
  <w:style w:type="paragraph" w:styleId="BlockText">
    <w:name w:val="Block Text"/>
    <w:basedOn w:val="Normal"/>
    <w:qFormat/>
    <w:pPr>
      <w:tabs>
        <w:tab w:val="clear" w:pos="720"/>
        <w:tab w:val="left" w:pos="0" w:leader="none"/>
      </w:tabs>
      <w:ind w:hanging="0" w:start="1440" w:end="1440"/>
    </w:pPr>
    <w:rPr/>
  </w:style>
  <w:style w:type="paragraph" w:styleId="sub1">
    <w:name w:val="sub1"/>
    <w:basedOn w:val="Normal"/>
    <w:qFormat/>
    <w:pPr>
      <w:spacing w:lineRule="auto" w:line="360"/>
      <w:ind w:firstLine="1440" w:start="0" w:end="0"/>
    </w:pPr>
    <w:rPr/>
  </w:style>
  <w:style w:type="paragraph" w:styleId="sub2">
    <w:name w:val="sub2"/>
    <w:basedOn w:val="Normal"/>
    <w:qFormat/>
    <w:pPr>
      <w:spacing w:lineRule="auto" w:line="360"/>
      <w:ind w:firstLine="2160" w:start="0" w:end="0"/>
    </w:pPr>
    <w:rPr/>
  </w:style>
  <w:style w:type="paragraph" w:styleId="sub3">
    <w:name w:val="sub3"/>
    <w:basedOn w:val="Normal"/>
    <w:qFormat/>
    <w:pPr>
      <w:spacing w:lineRule="auto" w:line="360"/>
      <w:ind w:firstLine="2880" w:start="0" w:end="0"/>
    </w:pPr>
    <w:rPr/>
  </w:style>
  <w:style w:type="paragraph" w:styleId="sub4">
    <w:name w:val="sub4"/>
    <w:basedOn w:val="Normal"/>
    <w:qFormat/>
    <w:pPr>
      <w:spacing w:lineRule="auto" w:line="360"/>
      <w:ind w:firstLine="3600" w:start="0" w:end="0"/>
    </w:pPr>
    <w:rPr/>
  </w:style>
  <w:style w:type="paragraph" w:styleId="dummy">
    <w:name w:val="dummy"/>
    <w:basedOn w:val="Heading1"/>
    <w:qFormat/>
    <w:pPr>
      <w:numPr>
        <w:ilvl w:val="0"/>
        <w:numId w:val="0"/>
      </w:numPr>
      <w:ind w:firstLine="720" w:start="0"/>
      <w:outlineLvl w:val="9"/>
    </w:pPr>
    <w:rPr/>
  </w:style>
  <w:style w:type="paragraph" w:styleId="BodyTextIndent">
    <w:name w:val="Body Text Indent"/>
    <w:basedOn w:val="Normal"/>
    <w:pPr>
      <w:ind w:firstLine="720" w:start="0" w:end="0"/>
    </w:pPr>
    <w:rPr>
      <w:rFonts w:ascii="Times New Roman;Times New Roman" w:hAnsi="Times New Roman;Times New Roman" w:eastAsia="Times New Roman;Times New Roman" w:cs="Times New Roman;Times New Roma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2001-03-12T16:48:00Z</dcterms:created>
  <dc:creator>Erlinda Pulmano</dc:creator>
  <dc:description/>
  <dc:language>en-CA</dc:language>
  <cp:lastModifiedBy>T94</cp:lastModifiedBy>
  <cp:lastPrinted>2001-01-19T11:09:00Z</cp:lastPrinted>
  <dcterms:modified xsi:type="dcterms:W3CDTF">2001-03-14T16:44:00Z</dcterms:modified>
  <cp:revision>1</cp:revision>
  <dc:subject/>
  <dc:title>BEFORE THE PUBLIC UTILITIES COMMISSION OF THE STATE OF CALIFORNIA</dc:title>
</cp:coreProperties>
</file>