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9000" w:leader="none"/>
        </w:tabs>
        <w:rPr/>
      </w:pPr>
      <w:r>
        <w:rPr/>
        <w:t>ALJ/MLC/tcg</w:t>
        <w:tab/>
      </w:r>
      <w:r>
        <w:rPr>
          <w:b/>
          <w:sz w:val="32"/>
        </w:rPr>
        <w:t>DRAFT</w:t>
      </w:r>
      <w:r>
        <w:rPr/>
        <w:tab/>
      </w:r>
      <w:r>
        <w:rPr>
          <w:b/>
        </w:rPr>
        <w:t>6</w:t>
      </w:r>
    </w:p>
    <w:p>
      <w:pPr>
        <w:pStyle w:val="Header"/>
        <w:tabs>
          <w:tab w:val="clear" w:pos="8640"/>
          <w:tab w:val="center" w:pos="4320" w:leader="none"/>
          <w:tab w:val="right" w:pos="9360" w:leader="none"/>
        </w:tabs>
        <w:rPr>
          <w:b/>
        </w:rPr>
      </w:pPr>
      <w:r>
        <w:rPr>
          <w:b/>
        </w:rPr>
        <w:tab/>
        <w:tab/>
        <w:t>12/7/00</w:t>
      </w:r>
    </w:p>
    <w:p>
      <w:pPr>
        <w:pStyle w:val="Header"/>
        <w:rPr/>
      </w:pPr>
      <w:r>
        <w:rPr/>
      </w:r>
    </w:p>
    <w:p>
      <w:pPr>
        <w:pStyle w:val="Header"/>
        <w:rPr/>
      </w:pPr>
      <w:r>
        <w:rPr/>
      </w:r>
    </w:p>
    <w:p>
      <w:pPr>
        <w:pStyle w:val="Header"/>
        <w:rPr/>
      </w:pPr>
      <w:r>
        <w:rPr/>
        <w:t xml:space="preserve">Decision </w:t>
      </w:r>
      <w:r>
        <w:rPr>
          <w:b/>
          <w:u w:val="single"/>
        </w:rPr>
        <w:t>DRAFT DECISION OF ALJ COOKE</w:t>
      </w:r>
      <w:r>
        <w:rPr/>
        <w:t xml:space="preserve">  </w:t>
      </w:r>
      <w:r>
        <w:rPr>
          <w:b/>
        </w:rPr>
        <w:t>(Mailed 12/1/2000)</w:t>
      </w:r>
    </w:p>
    <w:p>
      <w:pPr>
        <w:pStyle w:val="Header"/>
        <w:rPr>
          <w:b/>
        </w:rPr>
      </w:pPr>
      <w:r>
        <w:rPr>
          <w:b/>
        </w:rP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058"/>
        <w:gridCol w:w="4187"/>
      </w:tblGrid>
      <w:tr>
        <w:trPr/>
        <w:tc>
          <w:tcPr>
            <w:tcW w:w="50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Implementation of Pub. Util. Code § 390.</w:t>
            </w:r>
          </w:p>
          <w:p>
            <w:pPr>
              <w:pStyle w:val="Normal"/>
              <w:rPr/>
            </w:pPr>
            <w:r>
              <w:rPr/>
            </w:r>
          </w:p>
        </w:tc>
        <w:tc>
          <w:tcPr>
            <w:tcW w:w="4187" w:type="dxa"/>
            <w:tcBorders/>
          </w:tcPr>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rPr/>
      </w:pPr>
      <w:r>
        <w:rPr/>
        <w:t xml:space="preserve">INTERIM OPINION ESTABLISHING A PROXY PRICE FLOOR FOR </w:t>
      </w:r>
    </w:p>
    <w:p>
      <w:pPr>
        <w:pStyle w:val="main"/>
        <w:rPr/>
      </w:pPr>
      <w:r>
        <w:rPr/>
        <w:t>PURPOSES OF POSTING QUALIFYING FACILITY AVOIDED COSTS</w:t>
      </w:r>
    </w:p>
    <w:p>
      <w:pPr>
        <w:pStyle w:val="Normal"/>
        <w:suppressAutoHyphens w:val="true"/>
        <w:rPr/>
      </w:pPr>
      <w:r>
        <w:rPr/>
      </w:r>
    </w:p>
    <w:p>
      <w:pPr>
        <w:pStyle w:val="standard"/>
        <w:rPr/>
      </w:pPr>
      <w:r>
        <w:rPr/>
        <w:t xml:space="preserve">This decision denies the relief sought in Southern California Edison Company’s (SCE) November 28, 2000 emergency motion but establishes a proxy price floor for California border prices while the merits of proposed modifications to Decision (D.) 96-12-028 are considered. </w:t>
      </w:r>
    </w:p>
    <w:p>
      <w:pPr>
        <w:pStyle w:val="Heading1"/>
        <w:rPr/>
      </w:pPr>
      <w:r>
        <w:rPr/>
        <w:t>Procedural Background</w:t>
      </w:r>
    </w:p>
    <w:p>
      <w:pPr>
        <w:pStyle w:val="standard"/>
        <w:rPr/>
      </w:pPr>
      <w:r>
        <w:rPr/>
        <w:t>The avoided cost posting is based on the Transition Formula adopted in D.96-12-028 which incorporates various border price indices.  D.96-12-028 governs avoided cost postings made by SCE, San Diego Gas &amp; Electric Company (SDG&amp;E), and Pacific Gas and Electric Company (PG&amp;E).  D.97-05-021 establishes the timing when each utility files its avoided cost posting.  Each utility was scheduled to file its December avoided cost posting on December 5, 2000.  By ruling on December 1, 2000, the avoided cost posting requirements adopted in D.97-05-021 were suspended until December 7, 2000 to allow the full Commission to address SCE’s motion.</w:t>
      </w:r>
      <w:r>
        <w:rPr>
          <w:rStyle w:val="FootnoteCharacters"/>
          <w:rStyle w:val="FootnoteReference"/>
        </w:rPr>
        <w:footnoteReference w:id="2"/>
      </w:r>
      <w:r>
        <w:rPr/>
        <w:t xml:space="preserve">  We affirm this procedural action and address the substance of the motion in this order.</w:t>
      </w:r>
    </w:p>
    <w:p>
      <w:pPr>
        <w:pStyle w:val="standard"/>
        <w:rPr/>
      </w:pPr>
      <w:r>
        <w:rPr/>
        <w:t>On July 28, 2000, SCE filed a petition to modify D.96-12-028 to revise its Transition Formula.  On August 28, 2000, the Office of Ratepayer Advocates (ORA) recommended that the Commission review the border gas indices used in SCE’s Transition Formula on an emergency basis.  In addition, ORA referenced a complaint filed by this Commission at the Federal Energy Regulatory Commission that seeks recession of certain contracts that the Commission contends have permitted natural gas suppliers and their affiliates to increase prices through the withholding of capacity.  On September 1, 2000, the Assigned Administrative Law Judge (ALJ) issued a ruling adding the question of the reliability and validity of the border prices to the issues raised in SCE’s petition to modify D.96-12-028.  Comments on additional options for border prices were solicited by ruling on December 1, 2000.  Comments are due December 11, 2000.</w:t>
      </w:r>
    </w:p>
    <w:p>
      <w:pPr>
        <w:pStyle w:val="standard"/>
        <w:rPr/>
      </w:pPr>
      <w:r>
        <w:rPr/>
        <w:t xml:space="preserve">On August 31, 2000, SCE filed an emergency motion seeking authorization for </w:t>
      </w:r>
      <w:r>
        <w:rPr>
          <w:lang w:eastAsia="en-US"/>
        </w:rPr>
        <w:t>a provisional qualifying facility avoided cost posting for September 2000 and future months while the underlying petition was pending</w:t>
      </w:r>
      <w:r>
        <w:rPr/>
        <w:t xml:space="preserve">.  That motion was denied in D.00-10-030.  </w:t>
      </w:r>
    </w:p>
    <w:p>
      <w:pPr>
        <w:pStyle w:val="standard"/>
        <w:rPr/>
      </w:pPr>
      <w:r>
        <w:rPr/>
        <w:t>On November 28, 2000, SCE filed a second emergency motion, this time seeking an order modifying D.96-12-028 in several respects and requesting an expedited schedule for Commission action on the underlying petition.  Because this issue came to our attention after mailing of the Commission’s December 7, 2000 agenda, the Commission voted to add this item pursuant to Government Code § 11125.3(a)(2).</w:t>
      </w:r>
    </w:p>
    <w:p>
      <w:pPr>
        <w:pStyle w:val="standard"/>
        <w:rPr/>
      </w:pPr>
      <w:r>
        <w:rPr/>
        <w:t xml:space="preserve">Rule 81 of the Commission’s Rules of Practice and Procedure provide that an “unforeseen emergency situation” is a matter that requires action or a decision more quickly than would be permitted if advance publication were made on the regular meeting agenda.  Under Rule 81(f) an unforeseen emergency situation includes "[r]equests for relief based on extraordinary conditions in which time is of the essence." Rule 81(h) includes “unusual matters that cannot be disposed on by normal procedures if the duties of the Commission are to be fulfilled.” Because this issue was brought to our attention after the December 7, 2000 agenda was mailed and because of the inability to make downward adjustments to the prices at issue, we believe that the emergency motion meets these requirements.  </w:t>
      </w:r>
    </w:p>
    <w:p>
      <w:pPr>
        <w:pStyle w:val="Heading1"/>
        <w:rPr/>
      </w:pPr>
      <w:r>
        <w:rPr/>
        <w:t>Motion</w:t>
      </w:r>
    </w:p>
    <w:p>
      <w:pPr>
        <w:pStyle w:val="Normal"/>
        <w:spacing w:lineRule="auto" w:line="360"/>
        <w:ind w:firstLine="720" w:end="0"/>
        <w:rPr/>
      </w:pPr>
      <w:r>
        <w:rPr/>
        <w:t>Specifically, SCE’s emergency motion requests the Commission to:</w:t>
      </w:r>
    </w:p>
    <w:p>
      <w:pPr>
        <w:pStyle w:val="standard"/>
        <w:numPr>
          <w:ilvl w:val="0"/>
          <w:numId w:val="5"/>
        </w:numPr>
        <w:tabs>
          <w:tab w:val="clear" w:pos="720"/>
          <w:tab w:val="left" w:pos="1080" w:leader="none"/>
        </w:tabs>
        <w:spacing w:lineRule="auto" w:line="240" w:before="0" w:after="120"/>
        <w:ind w:hanging="360" w:start="1080" w:end="0"/>
        <w:rPr>
          <w:lang w:eastAsia="en-US"/>
        </w:rPr>
      </w:pPr>
      <w:r>
        <w:rPr>
          <w:lang w:eastAsia="en-US"/>
        </w:rPr>
        <w:t>direct SCE to suspend its avoided cost posting until December 7, 2000 or advise QFs and other interested parties that the modifications to Transition Formula pricing requested by SCE, if adopted by the Commission on December 7 (or such later date as may be necessary), shall be applied retroactively to all QF deliveries commencing December 1, 2000;</w:t>
      </w:r>
    </w:p>
    <w:p>
      <w:pPr>
        <w:pStyle w:val="standard"/>
        <w:numPr>
          <w:ilvl w:val="0"/>
          <w:numId w:val="5"/>
        </w:numPr>
        <w:tabs>
          <w:tab w:val="clear" w:pos="720"/>
          <w:tab w:val="left" w:pos="1080" w:leader="none"/>
        </w:tabs>
        <w:spacing w:lineRule="auto" w:line="240" w:before="0" w:after="120"/>
        <w:ind w:hanging="360" w:start="1080" w:end="0"/>
        <w:rPr>
          <w:lang w:eastAsia="en-US"/>
        </w:rPr>
      </w:pPr>
      <w:r>
        <w:rPr>
          <w:lang w:eastAsia="en-US"/>
        </w:rPr>
        <w:t>expedite its consideration of proposed modifications to the Transition Formula and decide on the merits at the Commission’s next regularly scheduled meeting on December 7, 2000; and</w:t>
      </w:r>
    </w:p>
    <w:p>
      <w:pPr>
        <w:pStyle w:val="standard"/>
        <w:numPr>
          <w:ilvl w:val="0"/>
          <w:numId w:val="5"/>
        </w:numPr>
        <w:tabs>
          <w:tab w:val="clear" w:pos="720"/>
          <w:tab w:val="left" w:pos="1080" w:leader="none"/>
        </w:tabs>
        <w:spacing w:lineRule="auto" w:line="240" w:before="0" w:after="120"/>
        <w:ind w:hanging="360" w:start="1080" w:end="0"/>
        <w:rPr>
          <w:lang w:eastAsia="en-US"/>
        </w:rPr>
      </w:pPr>
      <w:r>
        <w:rPr>
          <w:lang w:eastAsia="en-US"/>
        </w:rPr>
        <w:t xml:space="preserve">issue a decision modifying D.96-12-028 to adopt SCE’s proposed revision of the “factor” and to replace the simple average of the three published Topock border indices currently used in the SCE Transition Formula with an index consisting of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k) and (ii) 90% of Southern California Gas Company’s (“SoCalGas”) monthly published Schedule G-CS Cost of Gas (“WACOG”).</w:t>
      </w:r>
      <w:r>
        <w:rPr>
          <w:rStyle w:val="FootnoteCharacters"/>
          <w:rStyle w:val="FootnoteReference"/>
          <w:lang w:eastAsia="en-US"/>
        </w:rPr>
        <w:footnoteReference w:id="3"/>
      </w:r>
      <w:r>
        <w:rPr>
          <w:lang w:eastAsia="en-US"/>
        </w:rPr>
        <w:t xml:space="preserve"> </w:t>
      </w:r>
    </w:p>
    <w:p>
      <w:pPr>
        <w:pStyle w:val="standard"/>
        <w:rPr/>
      </w:pPr>
      <w:r>
        <w:rPr/>
        <w:t xml:space="preserve">According to SCE’s motion, </w:t>
      </w:r>
      <w:r>
        <w:rPr>
          <w:i/>
        </w:rPr>
        <w:t>Natural Gas Week</w:t>
      </w:r>
      <w:r>
        <w:rPr/>
        <w:t xml:space="preserve"> posted a November 27, 2000 price of $15.49/MMBtu for gas delivered at Topock.  </w:t>
      </w:r>
      <w:r>
        <w:rPr>
          <w:i/>
        </w:rPr>
        <w:t>Daily Gas Wire</w:t>
      </w:r>
      <w:r>
        <w:rPr/>
        <w:t xml:space="preserve"> posted a November 27, 2000 price of $15.50/MMBtu for gas delivered at Topock.  This price represents a significant increase over the posted November gas price.  SCE projects that this increased price would increase avoided cost payments to SCE’s qualifying facilities by approximately $115 million over the preceding month. </w:t>
      </w:r>
    </w:p>
    <w:p>
      <w:pPr>
        <w:pStyle w:val="standard"/>
        <w:rPr/>
      </w:pPr>
      <w:r>
        <w:rPr>
          <w:lang w:eastAsia="en-US"/>
        </w:rPr>
        <w:t>According to SCE, the Topock border price has soared from approximately $6.50/MMBtu to over $17.00/MMBtu in the last two months.  The Malin border indices have also reached unprecedented levels, but remain approximately $1.00/MMBtu lower than the Topock prices.  Wellhead prices in the San Juan and Permian basins have also reached over $6.00/MMBtu during the same period, but SCE argues that the border prices observed in recent days cannot be explained solely with reference to the rise of gas prices in the producing basins. The basis differential</w:t>
      </w:r>
      <w:r>
        <w:rPr>
          <w:rStyle w:val="FootnoteCharacters"/>
          <w:rStyle w:val="FootnoteReference"/>
          <w:lang w:eastAsia="en-US"/>
        </w:rPr>
        <w:footnoteReference w:id="4"/>
      </w:r>
      <w:r>
        <w:rPr>
          <w:lang w:eastAsia="en-US"/>
        </w:rPr>
        <w:t xml:space="preserve"> at Topock during the most recent trading days has exceeded $10.00/MMBtu.</w:t>
      </w:r>
    </w:p>
    <w:p>
      <w:pPr>
        <w:pStyle w:val="standard"/>
        <w:rPr/>
      </w:pPr>
      <w:r>
        <w:rPr/>
        <w:t xml:space="preserve">SCE argues that the posted California border </w:t>
      </w:r>
      <w:r>
        <w:rPr>
          <w:lang w:eastAsia="en-US"/>
        </w:rPr>
        <w:t xml:space="preserve">indices no longer reasonably serve as an appropriate proxy for what SCE’s gas procurement costs would be today absent industry restructuring.  SCE argues that it never exclusively purchased its natural gas at the Topock spot price, but rather used a diversified portfolio approach to fuel procurement.  SCE states that while it may have been reasonable for the Commission to find in 1996 that the historically stable Topock indices were a fair proxy for SCE’s portfolio approach, it is clear that they no longer remain a good proxy. </w:t>
      </w:r>
    </w:p>
    <w:p>
      <w:pPr>
        <w:pStyle w:val="Heading1"/>
        <w:rPr/>
      </w:pPr>
      <w:r>
        <w:rPr/>
        <w:t>Discussion</w:t>
      </w:r>
    </w:p>
    <w:p>
      <w:pPr>
        <w:pStyle w:val="standard"/>
        <w:rPr/>
      </w:pPr>
      <w:r>
        <w:rPr/>
        <w:t xml:space="preserve">It is clear that if SCE, SDG&amp;E, and PG&amp;E rely on the posted California border indices in compliance with D.96-12-028 for December, the natural gas prices reflected, and therefore the posted avoided costs, will be very high.  SCE asks that we rule on the merits of its petition to modify D.96-12-028 by permanently establishing a new border pricing methodology and adopting a new “factor”.  We are not yet prepared to rule on the petition to modify, as a new proposal was submitted by SCE on November 28.  For this reason, we deny the bulk of SCE’s November 28, 2000 emergency motion. </w:t>
      </w:r>
    </w:p>
    <w:p>
      <w:pPr>
        <w:pStyle w:val="standard"/>
        <w:rPr/>
      </w:pPr>
      <w:r>
        <w:rPr/>
        <w:t xml:space="preserve">However, we are convinced that a provisional posting until we decide on the merits of the petition to modify is appropriate.  Although the Commission declined to adopt a provisional posting for SCE in D.00-10-030, we believe the situation SCE has raised in this emergency motion to be distinct from the situation we addressed in that order.  </w:t>
      </w:r>
    </w:p>
    <w:p>
      <w:pPr>
        <w:pStyle w:val="standard"/>
        <w:rPr/>
      </w:pPr>
      <w:r>
        <w:rPr/>
        <w:t xml:space="preserve">If SCE, SDG&amp;E, or PG&amp;E had filed their avoided cost postings in compliance with relevant Commission decisions on December 5, 2000, the Commission will be unable to decrease the avoided cost postings retroactively. As stated by the Commission in D.82-12-120, avoided cost “prices may be adjusted upward and applied retrospectively in the event the Commission later reaches a determination that the prices posted were too low.  </w:t>
      </w:r>
      <w:r>
        <w:rPr>
          <w:b/>
        </w:rPr>
        <w:t>However, no downward adjustments will be made retrospectively to avoid pricing uncertainty for QFs.</w:t>
      </w:r>
      <w:r>
        <w:rPr/>
        <w:t xml:space="preserve">” (10 CPUC 2d at 623, emphasis added.) Although other aspects of avoided cost pricing have changed, this prohibition against downward adjustments has been consistently enforced. </w:t>
      </w:r>
    </w:p>
    <w:p>
      <w:pPr>
        <w:pStyle w:val="standard"/>
        <w:rPr/>
      </w:pPr>
      <w:r>
        <w:rPr/>
        <w:t>The extreme basis differential convinces us that the posted California border prices have deviated so fundamentally from our understanding of how the market is supposed to operate that the extreme step of adopting a provisional posting must be taken.  We will establish a proxy price floor to temporarily replace the California border indices now used in the avoided cost postings to ensure some level of advance knowledge for QFs of the prices they will receive for December deliveries.</w:t>
      </w:r>
      <w:r>
        <w:rPr>
          <w:rStyle w:val="FootnoteCharacters"/>
          <w:rStyle w:val="FootnoteReference"/>
        </w:rPr>
        <w:footnoteReference w:id="5"/>
      </w:r>
      <w:r>
        <w:rPr/>
        <w:t xml:space="preserve"> This action preserves our ability to address the merits of the petition to modify while protecting ratepayers from extreme volatility in the border index prices.  It is Commissioner Neeper’s goal that a draft decision on the merits of the petition to modify the Transition Formula be issued by the end of this year.</w:t>
      </w:r>
    </w:p>
    <w:p>
      <w:pPr>
        <w:pStyle w:val="standard"/>
        <w:rPr/>
      </w:pPr>
      <w:r>
        <w:rPr/>
        <w:t xml:space="preserve">Adopting a proxy price floor allows the Commission the ability to analyze and decide on the merits of modifying the Transition Formula already before it in the petition to modify D.96-12-028.  Without adoption of a proxy price floor, if the Commission were to conclude in a subsequent decision that the border prices were no longer valid or reliable, it would not be able to recover excess payments from qualifying facilities.  However, if the Commission does adopt a proxy price floor and later finds that the border prices remain valid and reliable, avoided cost payments can be adjusted upwards.  Adoption of a proxy price floor best preserves the Commission’s ability to conduct a thorough analysis of the issues and does not prejudge the merits of the pending petition to modify.  In addition, QF payments based on posted December avoided costs will not be made until after December 31, 2000, at a minimum, therefore, there is no prejudice to adoption of a temporary proxy price floor. </w:t>
      </w:r>
    </w:p>
    <w:p>
      <w:pPr>
        <w:pStyle w:val="standard"/>
        <w:rPr/>
      </w:pPr>
      <w:r>
        <w:rPr/>
        <w:t xml:space="preserve">The next issue we must decide is what proxy price floor to adopt on a temporary basis.  SCE and SDG&amp;E rely only on Topock border prices at this time and PG&amp;E relies on a 50/50 weighting of Topock and Malin border prices.  SCE proposes </w:t>
      </w:r>
      <w:r>
        <w:rPr>
          <w:lang w:eastAsia="en-US"/>
        </w:rPr>
        <w:t xml:space="preserve">to replace the simple average of the three published Topock border indices currently used in the SCE Transition Formula with an index consisting of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k) and (ii) 90% of Southern California Gas Company’s (“SoCalGas”) monthly published Schedule G-CS Cost of Gas (“WACOG”).  On a temporary basis we will accept this as a replacement for the Topock border index for all three utilities.  For PG&amp;E, we will allow it to replace the Malin border index with the same formula, but replacing Schedule G-CS from SoCalGas with Schedule G-CSP from PG&amp;E.</w:t>
      </w:r>
    </w:p>
    <w:p>
      <w:pPr>
        <w:pStyle w:val="standard"/>
        <w:rPr/>
      </w:pPr>
      <w:r>
        <w:rPr>
          <w:lang w:eastAsia="en-US"/>
        </w:rPr>
        <w:t xml:space="preserve">Our adoption of this temporary proxy price floor does not address the merits of SCE’s petition to modify the Transition Formula.  </w:t>
      </w:r>
      <w:r>
        <w:rPr/>
        <w:t>If the Commission has not acted on the merits of SCE’s petition to modify the Transition Formula by March 31, 2001, the utilities should resume making avoided cost postings consistent with the Transition Formula.</w:t>
      </w:r>
    </w:p>
    <w:p>
      <w:pPr>
        <w:pStyle w:val="dummy"/>
        <w:rPr/>
      </w:pPr>
      <w:r>
        <w:rPr/>
        <w:t>Comments on Draft Decision</w:t>
      </w:r>
    </w:p>
    <w:p>
      <w:pPr>
        <w:pStyle w:val="standard"/>
        <w:rPr/>
      </w:pPr>
      <w:r>
        <w:rPr/>
        <w:t xml:space="preserve">Rule 77.7(f)(9) provides for reduction or waiver of the 30-day period for public review and comment when public necessity requires such reduction.  We must balance whether the public necessity of adopting an order outweighs the public interest in having the full 30-day period for review and comment.  We are convinced that the motion of SCE falls under Rule 77.7(f)(9), and for that reason, we established a shortened period for comments on the draft decision.  </w:t>
      </w:r>
    </w:p>
    <w:p>
      <w:pPr>
        <w:pStyle w:val="standard"/>
        <w:rPr/>
      </w:pPr>
      <w:r>
        <w:rPr/>
        <w:t>Comments were filed on ______________.  Reply comments were filed on ______________.</w:t>
      </w:r>
    </w:p>
    <w:p>
      <w:pPr>
        <w:pStyle w:val="dummy"/>
        <w:rPr/>
      </w:pPr>
      <w:r>
        <w:rPr/>
        <w:t>Findings of Fact</w:t>
      </w:r>
    </w:p>
    <w:p>
      <w:pPr>
        <w:pStyle w:val="num1"/>
        <w:numPr>
          <w:ilvl w:val="0"/>
          <w:numId w:val="2"/>
        </w:numPr>
        <w:rPr/>
      </w:pPr>
      <w:r>
        <w:rPr/>
        <w:t>SCE’s November 28, 2000 emergency motion was filed after the agenda for the December 7, 2000 Commission meeting was mailed.</w:t>
      </w:r>
    </w:p>
    <w:p>
      <w:pPr>
        <w:pStyle w:val="num1"/>
        <w:numPr>
          <w:ilvl w:val="0"/>
          <w:numId w:val="2"/>
        </w:numPr>
        <w:rPr/>
      </w:pPr>
      <w:r>
        <w:rPr/>
        <w:t>Avoided cost postings are based on the Transition Formula adopted in D.96-12-028, which incorporates various California border price indices.</w:t>
      </w:r>
    </w:p>
    <w:p>
      <w:pPr>
        <w:pStyle w:val="num1"/>
        <w:numPr>
          <w:ilvl w:val="0"/>
          <w:numId w:val="2"/>
        </w:numPr>
        <w:rPr/>
      </w:pPr>
      <w:r>
        <w:rPr/>
        <w:t>The Commission is considering a pending petition to modify D.96-12-028.</w:t>
      </w:r>
    </w:p>
    <w:p>
      <w:pPr>
        <w:pStyle w:val="num1"/>
        <w:numPr>
          <w:ilvl w:val="0"/>
          <w:numId w:val="2"/>
        </w:numPr>
        <w:rPr/>
      </w:pPr>
      <w:r>
        <w:rPr>
          <w:i/>
        </w:rPr>
        <w:t>Natural Gas Week</w:t>
      </w:r>
      <w:r>
        <w:rPr/>
        <w:t xml:space="preserve"> posted a November 27, 2000 price of $15.49/MMBtu for gas delivered at Topock. </w:t>
      </w:r>
    </w:p>
    <w:p>
      <w:pPr>
        <w:pStyle w:val="num1"/>
        <w:numPr>
          <w:ilvl w:val="0"/>
          <w:numId w:val="2"/>
        </w:numPr>
        <w:rPr/>
      </w:pPr>
      <w:r>
        <w:rPr>
          <w:i/>
        </w:rPr>
        <w:t>Daily Gas Wire</w:t>
      </w:r>
      <w:r>
        <w:rPr/>
        <w:t xml:space="preserve"> posted a November 27, 2000 price of $15.50/MMBtu for gas delivered at Topock. </w:t>
      </w:r>
    </w:p>
    <w:p>
      <w:pPr>
        <w:pStyle w:val="num1"/>
        <w:numPr>
          <w:ilvl w:val="0"/>
          <w:numId w:val="2"/>
        </w:numPr>
        <w:rPr/>
      </w:pPr>
      <w:r>
        <w:rPr>
          <w:lang w:eastAsia="en-US"/>
        </w:rPr>
        <w:t xml:space="preserve">Prices for gas delivered at Malin are approximately $1.00/MMBtu lower than Topock prices. </w:t>
      </w:r>
    </w:p>
    <w:p>
      <w:pPr>
        <w:pStyle w:val="num1"/>
        <w:numPr>
          <w:ilvl w:val="0"/>
          <w:numId w:val="2"/>
        </w:numPr>
        <w:rPr/>
      </w:pPr>
      <w:r>
        <w:rPr>
          <w:lang w:eastAsia="en-US"/>
        </w:rPr>
        <w:t>Wellhead prices in the San Juan and Permian basins have reached over $6.00/MMBtu during the same period.</w:t>
      </w:r>
    </w:p>
    <w:p>
      <w:pPr>
        <w:pStyle w:val="num1"/>
        <w:numPr>
          <w:ilvl w:val="0"/>
          <w:numId w:val="2"/>
        </w:numPr>
        <w:rPr/>
      </w:pPr>
      <w:r>
        <w:rPr/>
        <w:t>The basis differential recently exhibited by posted California border prices has deviated fundamentally from historical patterns.</w:t>
      </w:r>
    </w:p>
    <w:p>
      <w:pPr>
        <w:pStyle w:val="num1"/>
        <w:numPr>
          <w:ilvl w:val="0"/>
          <w:numId w:val="2"/>
        </w:numPr>
        <w:rPr/>
      </w:pPr>
      <w:r>
        <w:rPr/>
        <w:t>Adoption of the proxy price floor described herein would yield a lower avoided cost than published California border indices.</w:t>
      </w:r>
    </w:p>
    <w:p>
      <w:pPr>
        <w:pStyle w:val="dummy"/>
        <w:rPr/>
      </w:pPr>
      <w:r>
        <w:rPr/>
        <w:t>Conclusions of Law</w:t>
      </w:r>
    </w:p>
    <w:p>
      <w:pPr>
        <w:pStyle w:val="num1"/>
        <w:numPr>
          <w:ilvl w:val="0"/>
          <w:numId w:val="3"/>
        </w:numPr>
        <w:rPr/>
      </w:pPr>
      <w:r>
        <w:rPr/>
        <w:t>Adoption of a proxy price floor preserves our ability to address the merits of the pending petition to modify while protecting ratepayers from extreme volatility in the border index prices.</w:t>
      </w:r>
    </w:p>
    <w:p>
      <w:pPr>
        <w:pStyle w:val="num1"/>
        <w:numPr>
          <w:ilvl w:val="0"/>
          <w:numId w:val="3"/>
        </w:numPr>
        <w:rPr/>
      </w:pPr>
      <w:r>
        <w:rPr/>
        <w:t>Avoided cost prices can be adjusted upwards but not downwards pursuant to D.82-12-120.</w:t>
      </w:r>
    </w:p>
    <w:p>
      <w:pPr>
        <w:pStyle w:val="num1"/>
        <w:numPr>
          <w:ilvl w:val="0"/>
          <w:numId w:val="3"/>
        </w:numPr>
        <w:rPr/>
      </w:pPr>
      <w:r>
        <w:rPr/>
        <w:t>The proxy price floor should be subject to potential upward adjustment based on the Commission’s determinations on the merits of the petition to modify the Transition Formula.</w:t>
      </w:r>
    </w:p>
    <w:p>
      <w:pPr>
        <w:pStyle w:val="num1"/>
        <w:numPr>
          <w:ilvl w:val="0"/>
          <w:numId w:val="3"/>
        </w:numPr>
        <w:rPr/>
      </w:pPr>
      <w:r>
        <w:rPr/>
        <w:t>If the Commission has not acted on the merits of SCE’s petition to modify the Transition Formula by March 31, 2001, the utilities should resume making avoided cost postings consistent with the Transition Formula.</w:t>
      </w:r>
    </w:p>
    <w:p>
      <w:pPr>
        <w:pStyle w:val="num1"/>
        <w:numPr>
          <w:ilvl w:val="0"/>
          <w:numId w:val="3"/>
        </w:numPr>
        <w:rPr/>
      </w:pPr>
      <w:r>
        <w:rPr/>
        <w:t>Pursuant to Rule 77.7(f)(9), the public review and comment period has been shortened.</w:t>
      </w:r>
    </w:p>
    <w:p>
      <w:pPr>
        <w:pStyle w:val="num1"/>
        <w:numPr>
          <w:ilvl w:val="0"/>
          <w:numId w:val="3"/>
        </w:numPr>
        <w:rPr/>
      </w:pPr>
      <w:r>
        <w:rPr/>
        <w:t>This item should be added to the Commission’s December 7, 2000 agenda under the provisions of Government Code § 11125.3(a)(2).</w:t>
      </w:r>
    </w:p>
    <w:p>
      <w:pPr>
        <w:pStyle w:val="num2"/>
        <w:numPr>
          <w:ilvl w:val="0"/>
          <w:numId w:val="0"/>
        </w:numPr>
        <w:ind w:hanging="0" w:start="0"/>
        <w:rPr/>
      </w:pPr>
      <w:r>
        <w:rPr/>
      </w:r>
    </w:p>
    <w:p>
      <w:pPr>
        <w:pStyle w:val="mainex"/>
        <w:spacing w:before="0" w:after="120"/>
        <w:rPr/>
      </w:pPr>
      <w:r>
        <w:rPr/>
        <w:t>ORDER</w:t>
      </w:r>
    </w:p>
    <w:p>
      <w:pPr>
        <w:pStyle w:val="mainex"/>
        <w:rPr/>
      </w:pPr>
      <w:r>
        <w:rPr/>
      </w:r>
    </w:p>
    <w:p>
      <w:pPr>
        <w:pStyle w:val="standard"/>
        <w:keepNext w:val="true"/>
        <w:rPr/>
      </w:pPr>
      <w:r>
        <w:rPr/>
        <w:t>Therefore</w:t>
      </w:r>
      <w:r>
        <w:rPr>
          <w:b/>
        </w:rPr>
        <w:t>, IT IS ORDERED</w:t>
      </w:r>
      <w:r>
        <w:rPr/>
        <w:t xml:space="preserve"> that:</w:t>
      </w:r>
    </w:p>
    <w:p>
      <w:pPr>
        <w:pStyle w:val="num2"/>
        <w:numPr>
          <w:ilvl w:val="0"/>
          <w:numId w:val="4"/>
        </w:numPr>
        <w:rPr/>
      </w:pPr>
      <w:r>
        <w:rPr/>
        <w:t>If the Commission has not acted on the merits of Southern California Edison Company’s (SCE) petition to modify the Transition Formula by March 31, 2001, the utilities shall resume making avoided cost postings consistent with the Transition Formula.</w:t>
      </w:r>
    </w:p>
    <w:p>
      <w:pPr>
        <w:pStyle w:val="num2"/>
        <w:numPr>
          <w:ilvl w:val="0"/>
          <w:numId w:val="4"/>
        </w:numPr>
        <w:rPr/>
      </w:pPr>
      <w:r>
        <w:rPr/>
        <w:t>Proxy price floors should temporarily replace the California border prices used in calculating avoided cost payments.</w:t>
      </w:r>
    </w:p>
    <w:p>
      <w:pPr>
        <w:pStyle w:val="num2"/>
        <w:numPr>
          <w:ilvl w:val="0"/>
          <w:numId w:val="4"/>
        </w:numPr>
        <w:rPr/>
      </w:pPr>
      <w:r>
        <w:rPr/>
        <w:t xml:space="preserve">The proxy price floor for Topock shall be calculated </w:t>
      </w:r>
      <w:r>
        <w:rPr>
          <w:lang w:eastAsia="en-US"/>
        </w:rPr>
        <w:t xml:space="preserve">as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 xml:space="preserve">k) and (ii) 90% of Southern California Gas Company’s monthly published Schedule G-CS Cost of Gas. </w:t>
      </w:r>
    </w:p>
    <w:p>
      <w:pPr>
        <w:pStyle w:val="num2"/>
        <w:numPr>
          <w:ilvl w:val="0"/>
          <w:numId w:val="4"/>
        </w:numPr>
        <w:rPr/>
      </w:pPr>
      <w:r>
        <w:rPr/>
        <w:t xml:space="preserve">The proxy price floor for Malin shall be calculated </w:t>
      </w:r>
      <w:r>
        <w:rPr>
          <w:lang w:eastAsia="en-US"/>
        </w:rPr>
        <w:t xml:space="preserve">as (i) 10% of the simple average of three border indices at Malin (as published in </w:t>
      </w:r>
      <w:r>
        <w:rPr>
          <w:i/>
          <w:lang w:eastAsia="en-US"/>
        </w:rPr>
        <w:t>Btu Daily Gas Wire, Natural Gas Intelligenc</w:t>
      </w:r>
      <w:r>
        <w:rPr>
          <w:lang w:eastAsia="en-US"/>
        </w:rPr>
        <w:t xml:space="preserve">e, and </w:t>
      </w:r>
      <w:r>
        <w:rPr>
          <w:i/>
          <w:lang w:eastAsia="en-US"/>
        </w:rPr>
        <w:t>Natural Gas Wee</w:t>
      </w:r>
      <w:r>
        <w:rPr>
          <w:lang w:eastAsia="en-US"/>
        </w:rPr>
        <w:t>k) and (ii) 90% of Pacific Gas and Electric Company’s (PG&amp;E) monthly published Schedule G-CSP.</w:t>
      </w:r>
    </w:p>
    <w:p>
      <w:pPr>
        <w:pStyle w:val="num2"/>
        <w:numPr>
          <w:ilvl w:val="0"/>
          <w:numId w:val="4"/>
        </w:numPr>
        <w:rPr/>
      </w:pPr>
      <w:r>
        <w:rPr/>
        <w:t>SCE, San Diego Gas &amp; Electric Company (SDG&amp;E), and PG&amp;E shall establish a tracking account to monitor avoided cost payments made pursuant to this order and those that would have been made if the motion had not been granted, so that appropriate payment adjustments can be made once the petition to modify review of the border indices is concluded.</w:t>
      </w:r>
    </w:p>
    <w:p>
      <w:pPr>
        <w:pStyle w:val="num2"/>
        <w:numPr>
          <w:ilvl w:val="0"/>
          <w:numId w:val="4"/>
        </w:numPr>
        <w:rPr/>
      </w:pPr>
      <w:r>
        <w:rPr/>
        <w:t xml:space="preserve">Within five days of the effective date of this decision SCE, SDG&amp;E, and PG&amp;E shall file and serve a compliance advice letter to establish a tracking account, consistent with this decision.  The advice letter shall be effective on filing subject to Energy Division determining that it is in compliance with this Order. </w:t>
      </w:r>
    </w:p>
    <w:p>
      <w:pPr>
        <w:pStyle w:val="num2"/>
        <w:numPr>
          <w:ilvl w:val="0"/>
          <w:numId w:val="4"/>
        </w:numPr>
        <w:rPr/>
      </w:pPr>
      <w:r>
        <w:rPr/>
        <w:t>This decision is an interim decision and does not prejudge the merits of the pending petition to modify.</w:t>
      </w:r>
    </w:p>
    <w:p>
      <w:pPr>
        <w:pStyle w:val="standard"/>
        <w:rPr/>
      </w:pPr>
      <w:r>
        <w:rPr/>
        <w:t>This order is effective today.</w:t>
      </w:r>
    </w:p>
    <w:p>
      <w:pPr>
        <w:pStyle w:val="standard"/>
        <w:rPr/>
      </w:pPr>
      <w:r>
        <w:rPr/>
        <w:t>Dated __________________, at San Francisco, California.</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84805</w:t>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This ruling will be referred to as the “Joint Ruling”. The Joint Ruling was issued in Investigation (I.) 89-07-004 and Rulemaking (R.) 99-11-022.</w:t>
      </w:r>
    </w:p>
  </w:footnote>
  <w:footnote w:id="3">
    <w:p>
      <w:pPr>
        <w:pStyle w:val="FootnoteText"/>
        <w:spacing w:before="0" w:after="240"/>
        <w:rPr/>
      </w:pPr>
      <w:r>
        <w:rPr>
          <w:rStyle w:val="FootnoteCharacters"/>
        </w:rPr>
        <w:footnoteRef/>
      </w:r>
      <w:r>
        <w:rPr/>
        <w:t xml:space="preserve"> </w:t>
      </w:r>
      <w:r>
        <w:rPr/>
        <w:t>SCE notes that this is a new proposal for how to resolve the merits of its underlying petition which it had not previously set forth.</w:t>
      </w:r>
    </w:p>
  </w:footnote>
  <w:footnote w:id="4">
    <w:p>
      <w:pPr>
        <w:pStyle w:val="FootnoteText"/>
        <w:spacing w:before="0" w:after="240"/>
        <w:rPr/>
      </w:pPr>
      <w:r>
        <w:rPr>
          <w:rStyle w:val="FootnoteCharacters"/>
        </w:rPr>
        <w:footnoteRef/>
      </w:r>
      <w:r>
        <w:rPr/>
        <w:t xml:space="preserve"> </w:t>
      </w:r>
      <w:r>
        <w:rPr/>
        <w:t>The basis differential is the difference between prices in the producing basins and at the border and usually bears some relationship to transportation costs from the basin to the border.</w:t>
      </w:r>
    </w:p>
  </w:footnote>
  <w:footnote w:id="5">
    <w:p>
      <w:pPr>
        <w:pStyle w:val="FootnoteText"/>
        <w:spacing w:before="0" w:after="240"/>
        <w:rPr/>
      </w:pPr>
      <w:r>
        <w:rPr>
          <w:rStyle w:val="FootnoteCharacters"/>
        </w:rPr>
        <w:footnoteRef/>
      </w:r>
      <w:r>
        <w:rPr/>
        <w:t xml:space="preserve"> </w:t>
      </w:r>
      <w:r>
        <w:rPr/>
        <w:t>SCE also asks the Commission to adopt proposed revisions to its “factor” in the Transition Formula at this time. We will take up this proposal in the decision on the merits of the petition. If adopted, revisions to the “factor” will apply on a going forward basis only.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ALJ/MLC/tcg</w:t>
      <w:tab/>
      <w:tab/>
    </w: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7"/>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DocumentMap">
    <w:name w:val="Document Map"/>
    <w:basedOn w:val="Normal"/>
    <w:qFormat/>
    <w:pPr>
      <w:shd w:fill="000080" w:val="clear"/>
    </w:pPr>
    <w:rPr>
      <w:rFonts w:ascii="Tahoma" w:hAnsi="Tahoma" w:cs="Tahoma"/>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ummy">
    <w:name w:val="dummy"/>
    <w:basedOn w:val="Heading1"/>
    <w:qFormat/>
    <w:pPr>
      <w:numPr>
        <w:ilvl w:val="0"/>
        <w:numId w:val="0"/>
      </w:numPr>
      <w:ind w:hanging="0" w:start="0" w:end="0"/>
      <w:outlineLvl w:val="9"/>
    </w:pPr>
    <w:rPr/>
  </w:style>
  <w:style w:type="paragraph" w:styleId="no1">
    <w:name w:val="no.1"/>
    <w:basedOn w:val="standard"/>
    <w:qFormat/>
    <w:pPr>
      <w:numPr>
        <w:ilvl w:val="0"/>
        <w:numId w:val="5"/>
      </w:numPr>
      <w:tabs>
        <w:tab w:val="clear" w:pos="720"/>
        <w:tab w:val="left" w:pos="1080" w:leader="none"/>
      </w:tabs>
      <w:spacing w:lineRule="auto" w:line="240" w:before="0" w:after="120"/>
      <w:ind w:hanging="360" w:start="1080" w:end="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2000-12-01T18:32:00Z</dcterms:created>
  <dc:creator>abw</dc:creator>
  <dc:description/>
  <dc:language>en-CA</dc:language>
  <cp:lastModifiedBy>Tessie Gallardo</cp:lastModifiedBy>
  <cp:lastPrinted>2000-12-01T14:18:00Z</cp:lastPrinted>
  <dcterms:modified xsi:type="dcterms:W3CDTF">2000-12-01T19:49:00Z</dcterms:modified>
  <cp:revision>10</cp:revision>
  <dc:subject/>
  <dc:title>BEFORE THE PUBLIC UTILITIES COMMISSION OF THE STATE OF CALIFORNIA</dc:title>
</cp:coreProperties>
</file>