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PVA/t94  6/11/2001</w:t>
      </w:r>
    </w:p>
    <w:p>
      <w:pPr>
        <w:pStyle w:val="main"/>
        <w:rPr>
          <w:sz w:val="24"/>
        </w:rPr>
      </w:pPr>
      <w:r>
        <w:rPr>
          <w:sz w:val="24"/>
        </w:rPr>
      </w:r>
    </w:p>
    <w:p>
      <w:pPr>
        <w:pStyle w:val="main"/>
        <w:rPr>
          <w:sz w:val="24"/>
        </w:rPr>
      </w:pPr>
      <w:r>
        <w:rPr>
          <w:sz w:val="24"/>
        </w:rPr>
      </w:r>
    </w:p>
    <w:p>
      <w:pPr>
        <w:pStyle w:val="main"/>
        <w:rPr>
          <w:sz w:val="24"/>
        </w:rPr>
      </w:pPr>
      <w:r>
        <w:rPr>
          <w:sz w:val="24"/>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Order Instituting Rulemaking on the Commission’s Own Motion to Determine Whether Baseline Allowances for Residential Usage of Gas and Electricity Should Be Revised.</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t>Rulemaking 01-05-047</w:t>
            </w:r>
          </w:p>
        </w:tc>
      </w:tr>
    </w:tbl>
    <w:p>
      <w:pPr>
        <w:pStyle w:val="Normal"/>
        <w:suppressAutoHyphens w:val="true"/>
        <w:rPr/>
      </w:pPr>
      <w:r>
        <w:rPr/>
      </w:r>
    </w:p>
    <w:p>
      <w:pPr>
        <w:pStyle w:val="main"/>
        <w:rPr/>
      </w:pPr>
      <w:r>
        <w:rPr/>
        <w:t xml:space="preserve">RULING OF ASSIGNED COMMISSIONER AND </w:t>
      </w:r>
    </w:p>
    <w:p>
      <w:pPr>
        <w:pStyle w:val="main"/>
        <w:rPr/>
      </w:pPr>
      <w:r>
        <w:rPr/>
        <w:t>ADMINISTRATIVE LAW JUDGE</w:t>
      </w:r>
    </w:p>
    <w:p>
      <w:pPr>
        <w:pStyle w:val="main"/>
        <w:rPr/>
      </w:pPr>
      <w:r>
        <w:rPr/>
        <w:t>SETTING PREHEARING CONFERENCE</w:t>
      </w:r>
    </w:p>
    <w:p>
      <w:pPr>
        <w:pStyle w:val="main"/>
        <w:rPr/>
      </w:pPr>
      <w:r>
        <w:rPr/>
      </w:r>
    </w:p>
    <w:p>
      <w:pPr>
        <w:pStyle w:val="standard"/>
        <w:rPr/>
      </w:pPr>
      <w:r>
        <w:rPr/>
        <w:t>A Prehearing Conference (PHC) in this proceeding is set for Thursday, June 21, 2001 before Administrative Law Judge (ALJ) Allen, at 10 a.m., in the Commission Courtroom, 505 Van Ness Avenue, San Francisco, California.  At this PHC, we will discuss the scope and schedule of this proceeding, and establish a service list.</w:t>
      </w:r>
    </w:p>
    <w:p>
      <w:pPr>
        <w:pStyle w:val="standard"/>
        <w:rPr/>
      </w:pPr>
      <w:r>
        <w:rPr/>
        <w:t>Consistent with the directions of the Commission, we intend to bifurcate this proceeding.  This will allow for the prompt implementation of simpler and less controversial changes, while providing for a full and fair consideration of potentially more complex and contentious issues.  As the Commission put it, “To the extent it is possible to do so, the early stages of the proceeding should focus on areas where any needed changes will have the greatest and earliest impact on ameliorating customers’ energy bills.”  (Order Instituting Rulemaking (OIR), mimeo. p. 7.)</w:t>
      </w:r>
    </w:p>
    <w:p>
      <w:pPr>
        <w:pStyle w:val="standard"/>
        <w:rPr/>
      </w:pPr>
      <w:r>
        <w:rPr/>
        <w:t>Phase I of the proceeding will address the relatively narrow issues of:</w:t>
      </w:r>
    </w:p>
    <w:p>
      <w:pPr>
        <w:pStyle w:val="standard"/>
        <w:numPr>
          <w:ilvl w:val="0"/>
          <w:numId w:val="3"/>
        </w:numPr>
        <w:spacing w:lineRule="auto" w:line="240"/>
        <w:ind w:hanging="360" w:start="1080" w:end="720"/>
        <w:rPr/>
      </w:pPr>
      <w:r>
        <w:rPr/>
        <w:t>Updating the energy usage data used by the Commission in calculating baseline quantities;</w:t>
      </w:r>
    </w:p>
    <w:p>
      <w:pPr>
        <w:pStyle w:val="standard"/>
        <w:numPr>
          <w:ilvl w:val="0"/>
          <w:numId w:val="3"/>
        </w:numPr>
        <w:spacing w:lineRule="auto" w:line="240" w:before="0" w:after="120"/>
        <w:ind w:hanging="360" w:start="1080" w:end="720"/>
        <w:rPr/>
      </w:pPr>
      <w:r>
        <w:rPr/>
        <w:t xml:space="preserve">The appropriate percentage of energy usage to use in calculating baseline quantities (within the range specified by Public Utilities Code § 739(d)(1)); </w:t>
      </w:r>
    </w:p>
    <w:p>
      <w:pPr>
        <w:pStyle w:val="standard"/>
        <w:numPr>
          <w:ilvl w:val="0"/>
          <w:numId w:val="3"/>
        </w:numPr>
        <w:rPr/>
      </w:pPr>
      <w:r>
        <w:rPr/>
        <w:t>Possible changes to the medical baseline allowance; and</w:t>
      </w:r>
    </w:p>
    <w:p>
      <w:pPr>
        <w:pStyle w:val="standard"/>
        <w:numPr>
          <w:ilvl w:val="0"/>
          <w:numId w:val="3"/>
        </w:numPr>
        <w:rPr/>
      </w:pPr>
      <w:r>
        <w:rPr/>
        <w:t xml:space="preserve">Suggestions for legislative changes.  </w:t>
      </w:r>
    </w:p>
    <w:p>
      <w:pPr>
        <w:pStyle w:val="standard"/>
        <w:rPr/>
      </w:pPr>
      <w:r>
        <w:rPr/>
        <w:t>The schedule for Phase I will generally conform to the schedule in the OIR.  In addition to the events listed in the OIR, prepared testimony and/or a workshop may be appropriate.  Parties should be prepared to discuss their preferences for schedule and procedure at the PHC, with the understanding that Phase I will be a highly expedited proceeding.  Parties may suggest additional issues to be considered in Phase I, or shifting of issues to Phase II, but those suggestions must be supported by good reasons consistent with the scheduling priorities described above.  Any party suggesting any change from the above scope of issues in Phase I must file a written PHC statement by June 20, 2001, with e-mail service on ALJ Allen (</w:t>
      </w:r>
      <w:hyperlink r:id="rId2">
        <w:r>
          <w:rPr>
            <w:rStyle w:val="Hyperlink"/>
          </w:rPr>
          <w:t>pva@cpuc.ca.gov</w:t>
        </w:r>
      </w:hyperlink>
      <w:r>
        <w:rPr/>
        <w:t>) and Assigned Commissioner Brown (</w:t>
      </w:r>
      <w:hyperlink r:id="rId3">
        <w:r>
          <w:rPr>
            <w:rStyle w:val="Hyperlink"/>
          </w:rPr>
          <w:t>gfb@cpuc.ca.gov</w:t>
        </w:r>
      </w:hyperlink>
      <w:r>
        <w:rPr/>
        <w:t>) by June 19, 2001.</w:t>
      </w:r>
      <w:r>
        <w:rPr>
          <w:rStyle w:val="FootnoteCharacters"/>
          <w:rStyle w:val="FootnoteReference"/>
        </w:rPr>
        <w:footnoteReference w:id="2"/>
      </w:r>
      <w:r>
        <w:rPr/>
        <w:t xml:space="preserve">  Service on other parties may be satisfied by bringing sufficient copies to the PHC.</w:t>
      </w:r>
    </w:p>
    <w:p>
      <w:pPr>
        <w:pStyle w:val="standard"/>
        <w:rPr/>
      </w:pPr>
      <w:r>
        <w:rPr/>
        <w:t>Issues within the scope of the proceeding not addressed in Phase I will be addressed in Phase II.  A number of issues have been tentatively identified as appropriate for Phase II.  These issues begin with a consideration of the priorities and policy objectives of the baseline program, and include possible changes to climate zones (including cross-utility issues), consideration of household and demographic characteristics, definition of seasons, and gas versus electric issues.  At the PHC, parties may identify additional issues that they wish to address in Phase II, and the scheduling of Phase II proceedings.  A Scoping Memo will be issued following the PHC, addressing the scope and scheduling of both Phase I and Phase II.</w:t>
      </w:r>
    </w:p>
    <w:p>
      <w:pPr>
        <w:pStyle w:val="standard"/>
        <w:rPr/>
      </w:pPr>
      <w:r>
        <w:rPr/>
        <w:t xml:space="preserve">Public Participation Hearings will be set for locations around the state in August and September.  Respondent utilities are directed to coordinate with the Commission’s Public Advisor’s Office regarding the preparation and content of bill inserts providing notice of the Public Participation Hearings, and are further directed to submit (to the Public Advisor’s Office) bill inserts for review and approval no later than June 18, 2001.  Specific dates and locations will be identified in a subsequent Ruling. </w:t>
      </w:r>
    </w:p>
    <w:p>
      <w:pPr>
        <w:pStyle w:val="Normal"/>
        <w:spacing w:lineRule="auto" w:line="360"/>
        <w:ind w:firstLine="720" w:end="0"/>
        <w:rPr/>
      </w:pPr>
      <w:r>
        <w:rPr/>
        <w:t xml:space="preserve">Anyone who needs assistance with participation in this proceeding should make use of the resources on the Commission’s web site, </w:t>
      </w:r>
      <w:hyperlink r:id="rId4">
        <w:r>
          <w:rPr>
            <w:rStyle w:val="Hyperlink"/>
          </w:rPr>
          <w:t>www.cpuc.ca.gov</w:t>
        </w:r>
      </w:hyperlink>
      <w:r>
        <w:rPr/>
        <w:t xml:space="preserve">, or should contact our Public Advisor’s Office, which is available to help parties understand how to participate in a proceeding, how to file a pleading, and to answer other questions about Commission procedure.  The northern California office can be reached at 415-703-2074 or </w:t>
      </w:r>
      <w:hyperlink r:id="rId5">
        <w:r>
          <w:rPr>
            <w:rStyle w:val="Hyperlink"/>
          </w:rPr>
          <w:t>public.advisor@cpuc.ca.gov</w:t>
        </w:r>
      </w:hyperlink>
      <w:r>
        <w:rPr/>
        <w:t xml:space="preserve">.  The southern California office can be reached at 213-576- 7055 or </w:t>
      </w:r>
      <w:hyperlink r:id="rId6">
        <w:r>
          <w:rPr>
            <w:rStyle w:val="Hyperlink"/>
          </w:rPr>
          <w:t>public.advisor.la@cpuc.ca.gov</w:t>
        </w:r>
      </w:hyperlink>
      <w:r>
        <w:rPr/>
        <w:t xml:space="preserve">. </w:t>
      </w:r>
      <w:r>
        <w:rPr>
          <w:rFonts w:cs="Century Gothic" w:ascii="Century Gothic" w:hAnsi="Century Gothic"/>
          <w:color w:val="0000FF"/>
          <w:sz w:val="24"/>
          <w:lang w:eastAsia="en-US"/>
        </w:rPr>
        <w:t xml:space="preserve"> </w:t>
      </w:r>
    </w:p>
    <w:p>
      <w:pPr>
        <w:pStyle w:val="standard"/>
        <w:keepNext w:val="true"/>
        <w:numPr>
          <w:ilvl w:val="0"/>
          <w:numId w:val="0"/>
        </w:numPr>
        <w:ind w:firstLine="720" w:start="0"/>
        <w:outlineLvl w:val="0"/>
        <w:rPr/>
      </w:pPr>
      <w:r>
        <w:rPr>
          <w:b/>
        </w:rPr>
        <w:t xml:space="preserve">IT IS RULED </w:t>
      </w:r>
      <w:r>
        <w:rPr/>
        <w:t>that:</w:t>
      </w:r>
    </w:p>
    <w:p>
      <w:pPr>
        <w:pStyle w:val="num1"/>
        <w:numPr>
          <w:ilvl w:val="0"/>
          <w:numId w:val="2"/>
        </w:numPr>
        <w:rPr/>
      </w:pPr>
      <w:r>
        <w:rPr/>
        <w:t xml:space="preserve">A PHC is set for June 21, 2001, at 10:00 a.m., in the Commission Courtroom, State Office Building, 505 Van Ness Avenue (between McAllister and Golden Gate), San Francisco, California. </w:t>
      </w:r>
    </w:p>
    <w:p>
      <w:pPr>
        <w:pStyle w:val="num1"/>
        <w:numPr>
          <w:ilvl w:val="0"/>
          <w:numId w:val="2"/>
        </w:numPr>
        <w:rPr/>
      </w:pPr>
      <w:r>
        <w:rPr/>
        <w:t>Written PHC statements may be submitted, but are not required, except as described above.</w:t>
      </w:r>
    </w:p>
    <w:p>
      <w:pPr>
        <w:pStyle w:val="num1"/>
        <w:numPr>
          <w:ilvl w:val="0"/>
          <w:numId w:val="2"/>
        </w:numPr>
        <w:rPr/>
      </w:pPr>
      <w:r>
        <w:rPr/>
        <w:t>Respondent utilities shall submit bill inserts by June 18, 2001, for review and approval, as described above.</w:t>
      </w:r>
    </w:p>
    <w:p>
      <w:pPr>
        <w:pStyle w:val="standard"/>
        <w:keepNext w:val="true"/>
        <w:numPr>
          <w:ilvl w:val="0"/>
          <w:numId w:val="0"/>
        </w:numPr>
        <w:ind w:firstLine="360" w:start="720" w:end="0"/>
        <w:outlineLvl w:val="0"/>
        <w:rPr/>
      </w:pPr>
      <w:r>
        <w:rPr/>
        <w:t>Dated June 11, 2001, at San Francisco, California.</w:t>
      </w:r>
    </w:p>
    <w:p>
      <w:pPr>
        <w:pStyle w:val="Normal"/>
        <w:rPr/>
      </w:pPr>
      <w:r>
        <w:rPr/>
      </w:r>
    </w:p>
    <w:p>
      <w:pPr>
        <w:pStyle w:val="Normal"/>
        <w:rPr/>
      </w:pPr>
      <w:r>
        <w:rPr/>
      </w:r>
    </w:p>
    <w:tbl>
      <w:tblPr>
        <w:tblW w:w="8460" w:type="dxa"/>
        <w:jc w:val="start"/>
        <w:tblInd w:w="468" w:type="dxa"/>
        <w:tblLayout w:type="fixed"/>
        <w:tblCellMar>
          <w:top w:w="0" w:type="dxa"/>
          <w:start w:w="108" w:type="dxa"/>
          <w:bottom w:w="0" w:type="dxa"/>
          <w:end w:w="108" w:type="dxa"/>
        </w:tblCellMar>
      </w:tblPr>
      <w:tblGrid>
        <w:gridCol w:w="4140"/>
        <w:gridCol w:w="360"/>
        <w:gridCol w:w="3960"/>
      </w:tblGrid>
      <w:tr>
        <w:trPr/>
        <w:tc>
          <w:tcPr>
            <w:tcW w:w="4140" w:type="dxa"/>
            <w:tcBorders>
              <w:bottom w:val="single" w:sz="4" w:space="0" w:color="000000"/>
            </w:tcBorders>
          </w:tcPr>
          <w:p>
            <w:pPr>
              <w:pStyle w:val="Footer"/>
              <w:tabs>
                <w:tab w:val="clear" w:pos="4320"/>
                <w:tab w:val="clear" w:pos="8640"/>
              </w:tabs>
              <w:rPr/>
            </w:pPr>
            <w:r>
              <w:rPr/>
              <w:t>/s/  GEOFFREY F. BROWN</w:t>
            </w:r>
          </w:p>
        </w:tc>
        <w:tc>
          <w:tcPr>
            <w:tcW w:w="360" w:type="dxa"/>
            <w:tcBorders/>
          </w:tcPr>
          <w:p>
            <w:pPr>
              <w:pStyle w:val="Normal"/>
              <w:snapToGrid w:val="false"/>
              <w:rPr/>
            </w:pPr>
            <w:r>
              <w:rPr/>
            </w:r>
          </w:p>
        </w:tc>
        <w:tc>
          <w:tcPr>
            <w:tcW w:w="3960" w:type="dxa"/>
            <w:tcBorders>
              <w:bottom w:val="single" w:sz="6" w:space="0" w:color="000000"/>
            </w:tcBorders>
          </w:tcPr>
          <w:p>
            <w:pPr>
              <w:pStyle w:val="Footer"/>
              <w:tabs>
                <w:tab w:val="clear" w:pos="4320"/>
                <w:tab w:val="clear" w:pos="8640"/>
              </w:tabs>
              <w:rPr/>
            </w:pPr>
            <w:r>
              <w:rPr/>
              <w:t>/s/  PETER V. ALLEN</w:t>
            </w:r>
          </w:p>
        </w:tc>
      </w:tr>
      <w:tr>
        <w:trPr/>
        <w:tc>
          <w:tcPr>
            <w:tcW w:w="4140" w:type="dxa"/>
            <w:tcBorders/>
          </w:tcPr>
          <w:p>
            <w:pPr>
              <w:pStyle w:val="Normal"/>
              <w:ind w:end="-198"/>
              <w:jc w:val="center"/>
              <w:rPr/>
            </w:pPr>
            <w:r>
              <w:rPr/>
              <w:t>Geoffrey F. Brown</w:t>
            </w:r>
          </w:p>
          <w:p>
            <w:pPr>
              <w:pStyle w:val="Normal"/>
              <w:ind w:end="-198"/>
              <w:jc w:val="center"/>
              <w:rPr/>
            </w:pPr>
            <w:r>
              <w:rPr/>
              <w:t>Assigned Commissioner</w:t>
            </w:r>
          </w:p>
        </w:tc>
        <w:tc>
          <w:tcPr>
            <w:tcW w:w="360" w:type="dxa"/>
            <w:tcBorders/>
          </w:tcPr>
          <w:p>
            <w:pPr>
              <w:pStyle w:val="Normal"/>
              <w:snapToGrid w:val="false"/>
              <w:rPr/>
            </w:pPr>
            <w:r>
              <w:rPr/>
            </w:r>
          </w:p>
        </w:tc>
        <w:tc>
          <w:tcPr>
            <w:tcW w:w="3960" w:type="dxa"/>
            <w:tcBorders/>
          </w:tcPr>
          <w:p>
            <w:pPr>
              <w:pStyle w:val="Footer"/>
              <w:tabs>
                <w:tab w:val="clear" w:pos="4320"/>
                <w:tab w:val="clear" w:pos="8640"/>
              </w:tabs>
              <w:rPr/>
            </w:pPr>
            <w:r>
              <w:rPr/>
              <w:t>Peter V. Allen</w:t>
            </w:r>
          </w:p>
          <w:p>
            <w:pPr>
              <w:pStyle w:val="Footer"/>
              <w:tabs>
                <w:tab w:val="clear" w:pos="4320"/>
                <w:tab w:val="clear" w:pos="8640"/>
              </w:tabs>
              <w:rPr/>
            </w:pPr>
            <w:r>
              <w:rPr/>
              <w:t>Administrative Law Judge</w:t>
            </w:r>
          </w:p>
        </w:tc>
      </w:tr>
    </w:tbl>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standard"/>
        <w:rPr/>
      </w:pPr>
      <w:r>
        <w:rPr/>
        <w:t>I certify that I have by mail, and by electronic mail to the parties to which an electronic mail address has been provided, this day served a true copy of the original attached Ruling of Assigned Commissioner and Administrative Law Judge Setting Prehearing Conference on all parties of record in this proceeding or their attorneys of record.</w:t>
      </w:r>
    </w:p>
    <w:p>
      <w:pPr>
        <w:pStyle w:val="standard"/>
        <w:rPr/>
      </w:pPr>
      <w:r>
        <w:rPr/>
        <w:t>Dated June 11, 2001, at San Francisco, California.</w:t>
      </w:r>
    </w:p>
    <w:p>
      <w:pPr>
        <w:pStyle w:val="Normal"/>
        <w:rPr/>
      </w:pPr>
      <w:r>
        <w:rPr/>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Footer"/>
              <w:tabs>
                <w:tab w:val="clear" w:pos="4320"/>
                <w:tab w:val="clear" w:pos="8640"/>
              </w:tabs>
              <w:rPr/>
            </w:pPr>
            <w:r>
              <w:rPr/>
              <w:t>/s/  GABY L. SUSANTO</w:t>
            </w:r>
          </w:p>
        </w:tc>
      </w:tr>
      <w:tr>
        <w:trPr/>
        <w:tc>
          <w:tcPr>
            <w:tcW w:w="3420" w:type="dxa"/>
            <w:tcBorders/>
          </w:tcPr>
          <w:p>
            <w:pPr>
              <w:pStyle w:val="Normal"/>
              <w:jc w:val="center"/>
              <w:rPr/>
            </w:pPr>
            <w:r>
              <w:rPr/>
              <w:t>Gaby L. Susanto</w:t>
            </w:r>
          </w:p>
        </w:tc>
      </w:tr>
    </w:tbl>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pPr>
      <w:r>
        <w:rPr/>
      </w:r>
    </w:p>
    <w:p>
      <w:pPr>
        <w:pStyle w:val="Normal"/>
        <w:tabs>
          <w:tab w:val="clear" w:pos="720"/>
          <w:tab w:val="left" w:pos="0" w:leader="none"/>
        </w:tabs>
        <w:ind w:start="1440" w:end="1440"/>
        <w:rPr/>
      </w:pPr>
      <w:r>
        <w:rPr/>
        <w:t>* * * * * * * * * * * * * * * * * * * * * * * * * * * * * * * * * * * * * * *</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pPr>
      <w:r>
        <w:rPr/>
      </w:r>
    </w:p>
    <w:p>
      <w:pPr>
        <w:pStyle w:val="BlockText"/>
        <w:rPr/>
      </w:pPr>
      <w:r>
        <w:rPr/>
        <w:t>If specialized accommodations for the disabled are needed, e.g., sign language interpreters, those making the arrangements must call the Public Advisor at (415) 703</w:t>
        <w:noBreakHyphen/>
        <w:t>2074, TTY 1-866-836-7825 or (415) 703-5282 at least three working days in advance of the event.</w:t>
      </w:r>
    </w:p>
    <w:p>
      <w:pPr>
        <w:pStyle w:val="standard"/>
        <w:ind w:hanging="0" w:end="0"/>
        <w:rPr/>
      </w:pPr>
      <w:r>
        <w:rPr/>
      </w:r>
    </w:p>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rPr>
    </w:pPr>
    <w:r>
      <w:rPr>
        <w:sz w:val="16"/>
      </w:rPr>
      <w:t>99940</w:t>
    </w:r>
  </w:p>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w:t>
      </w:r>
      <w:r>
        <w:rPr/>
        <w:t xml:space="preserve">Written PHC statements are not otherwise required, but parties choosing to submit PHC statements on other issues shall follow the same procedure.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R.01-05-047  PVA/t94</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R.01-05-047  PVA/t94</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R.01-05-047  PVA/t94</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1z0">
    <w:name w:val="WW8Num1z0"/>
    <w:qFormat/>
    <w:rPr/>
  </w:style>
  <w:style w:type="character" w:styleId="WW8Num11z0">
    <w:name w:val="WW8Num11z0"/>
    <w:qFormat/>
    <w:rPr/>
  </w:style>
  <w:style w:type="character" w:styleId="WW8Num17z0">
    <w:name w:val="WW8Num17z0"/>
    <w:qFormat/>
    <w:rPr/>
  </w:style>
  <w:style w:type="character" w:styleId="WW8Num28z0">
    <w:name w:val="WW8Num28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4"/>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dummy">
    <w:name w:val="dummy"/>
    <w:basedOn w:val="Heading1"/>
    <w:qFormat/>
    <w:pPr>
      <w:numPr>
        <w:ilvl w:val="0"/>
        <w:numId w:val="0"/>
      </w:numPr>
      <w:ind w:firstLine="720" w:start="0"/>
      <w:outlineLvl w:val="9"/>
    </w:pPr>
    <w:rPr/>
  </w:style>
  <w:style w:type="paragraph" w:styleId="BodyTextIndent">
    <w:name w:val="Body Text Indent"/>
    <w:basedOn w:val="Normal"/>
    <w:pPr>
      <w:ind w:firstLine="720" w:start="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va@cpuc.ca.gov" TargetMode="External"/><Relationship Id="rId3" Type="http://schemas.openxmlformats.org/officeDocument/2006/relationships/hyperlink" Target="mailto:gfb@cpuc.ca.gov" TargetMode="External"/><Relationship Id="rId4" Type="http://schemas.openxmlformats.org/officeDocument/2006/relationships/hyperlink" Target="http://www.cpuc.ca.gov/" TargetMode="External"/><Relationship Id="rId5" Type="http://schemas.openxmlformats.org/officeDocument/2006/relationships/hyperlink" Target="mailto:public.advisor@cpuc.ca.gov" TargetMode="External"/><Relationship Id="rId6" Type="http://schemas.openxmlformats.org/officeDocument/2006/relationships/hyperlink" Target="mailto:public.advisor.la@cpuc.ca.gov"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2001-06-11T16:09:00Z</dcterms:created>
  <dc:creator>Erlinda Pulmano</dc:creator>
  <dc:description/>
  <dc:language>en-CA</dc:language>
  <cp:lastModifiedBy>T94</cp:lastModifiedBy>
  <cp:lastPrinted>2001-06-11T14:26:00Z</cp:lastPrinted>
  <dcterms:modified xsi:type="dcterms:W3CDTF">2001-06-11T19:06:00Z</dcterms:modified>
  <cp:revision>11</cp:revision>
  <dc:subject/>
  <dc:title>BEFORE THE PUBLIC UTILITIES COMMISSION OF THE STATE OF CALIFORNIA</dc:title>
</cp:coreProperties>
</file>