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tabs>
          <w:tab w:val="clear" w:pos="720"/>
          <w:tab w:val="right" w:pos="11070" w:leader="none"/>
        </w:tabs>
        <w:rPr/>
      </w:pPr>
      <w:r>
        <w:rPr>
          <w:rFonts w:cs="Arial" w:ascii="Arial" w:hAnsi="Arial"/>
          <w:sz w:val="16"/>
        </w:rPr>
        <w:t>STATE OF CALIFORNIA</w:t>
      </w:r>
      <w:r>
        <w:rPr>
          <w:rFonts w:cs="Arial" w:ascii="Arial" w:hAnsi="Arial"/>
        </w:rPr>
        <w:tab/>
      </w:r>
      <w:r>
        <w:rPr>
          <w:rFonts w:cs="Arial" w:ascii="Arial" w:hAnsi="Arial"/>
          <w:sz w:val="16"/>
        </w:rPr>
        <w:t>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sectPr>
          <w:footerReference w:type="default" r:id="rId3"/>
          <w:type w:val="nextPage"/>
          <w:pgSz w:w="12240" w:h="15840"/>
          <w:pgMar w:left="576" w:right="576" w:gutter="0" w:header="0" w:top="720" w:footer="720" w:bottom="776"/>
          <w:pgNumType w:fmt="decimal"/>
          <w:formProt w:val="false"/>
          <w:textDirection w:val="lrTb"/>
          <w:docGrid w:type="default" w:linePitch="360" w:charSpace="0"/>
        </w:sectPr>
      </w:pPr>
    </w:p>
    <w:p>
      <w:pPr>
        <w:pStyle w:val="Normal"/>
        <w:rPr>
          <w:rFonts w:ascii="Arial" w:hAnsi="Arial" w:cs="Arial"/>
          <w:sz w:val="24"/>
        </w:rPr>
      </w:pPr>
      <w:r>
        <w:rPr>
          <w:rFonts w:cs="Arial" w:ascii="Arial" w:hAnsi="Arial"/>
          <w:sz w:val="24"/>
        </w:rPr>
      </w:r>
    </w:p>
    <w:p>
      <w:pPr>
        <w:pStyle w:val="Normal"/>
        <w:rPr>
          <w:sz w:val="24"/>
        </w:rPr>
      </w:pPr>
      <w:r>
        <w:rPr>
          <w:sz w:val="24"/>
        </w:rPr>
      </w:r>
    </w:p>
    <w:p>
      <w:pPr>
        <w:pStyle w:val="Normal"/>
        <w:rPr>
          <w:sz w:val="24"/>
        </w:rPr>
      </w:pPr>
      <w:r>
        <w:rPr>
          <w:sz w:val="24"/>
        </w:rPr>
        <w:t>May 18, 2001</w:t>
      </w:r>
    </w:p>
    <w:p>
      <w:pPr>
        <w:pStyle w:val="Normal"/>
        <w:rPr>
          <w:sz w:val="24"/>
        </w:rPr>
      </w:pPr>
      <w:r>
        <w:rPr>
          <w:sz w:val="24"/>
        </w:rPr>
      </w:r>
    </w:p>
    <w:p>
      <w:pPr>
        <w:pStyle w:val="Normal"/>
        <w:rPr/>
      </w:pPr>
      <w:r>
        <w:rPr/>
      </w:r>
    </w:p>
    <w:p>
      <w:pPr>
        <w:pStyle w:val="Normal"/>
        <w:rPr/>
      </w:pPr>
      <w:r>
        <w:rPr/>
        <w:t>TO: PARTIES OF RECORD IN RULEMAKING 00-10-002</w:t>
      </w:r>
    </w:p>
    <w:p>
      <w:pPr>
        <w:pStyle w:val="Normal"/>
        <w:rPr/>
      </w:pPr>
      <w:r>
        <w:rPr/>
      </w:r>
    </w:p>
    <w:p>
      <w:pPr>
        <w:pStyle w:val="Normal"/>
        <w:rPr/>
      </w:pPr>
      <w:r>
        <w:rPr/>
      </w:r>
    </w:p>
    <w:p>
      <w:pPr>
        <w:pStyle w:val="Normal"/>
        <w:rPr/>
      </w:pPr>
      <w:r>
        <w:rPr/>
      </w:r>
    </w:p>
    <w:p>
      <w:pPr>
        <w:pStyle w:val="Normal"/>
        <w:rPr/>
      </w:pPr>
      <w:r>
        <w:rPr/>
        <w:t>Attached are two draft decisions of Commissioner Carl Wood.  Each decision will be on the Commission's May 24, 2001 meeting agenda.  The Commission may act then, or it may postpone action until later.</w:t>
      </w:r>
    </w:p>
    <w:p>
      <w:pPr>
        <w:pStyle w:val="Normal"/>
        <w:rPr/>
      </w:pPr>
      <w:r>
        <w:rPr/>
      </w:r>
    </w:p>
    <w:p>
      <w:pPr>
        <w:pStyle w:val="Normal"/>
        <w:rPr/>
      </w:pPr>
      <w:r>
        <w:rPr/>
        <w:t>When the Commission acts on a draft decision, it may adopt all or part of it as written, amend or modify it, or set it aside and prepare its own decision.  Only when the Commission acts does the decision become binding on the parties.</w:t>
      </w:r>
    </w:p>
    <w:p>
      <w:pPr>
        <w:pStyle w:val="Normal"/>
        <w:rPr/>
      </w:pPr>
      <w:r>
        <w:rPr/>
      </w:r>
    </w:p>
    <w:p>
      <w:pPr>
        <w:pStyle w:val="Normal"/>
        <w:rPr/>
      </w:pPr>
      <w:r>
        <w:rPr/>
        <w:t>A shortened comment and reply comment period is adopted.  (Rule 77.7 of the Commission’s Rules of Practice and Procedure.)  As a result, separate comments on each draft decision must be filed and served by 5:00 p.m. Tuesday, May 22, 2001.  Parties who wish to, may file separate reply comments on each draft decision.  Reply comments, if any, must be served by electronic mail by 1:00 p.m. on Wednesday, May 23, 2001, with filing and service of the paper copies by 5:00 p.m. on May 23, 2001.  Only limited paper copy service is required, as explained below.</w:t>
      </w:r>
    </w:p>
    <w:p>
      <w:pPr>
        <w:pStyle w:val="Normal"/>
        <w:rPr/>
      </w:pPr>
      <w:r>
        <w:rPr/>
      </w:r>
    </w:p>
    <w:p>
      <w:pPr>
        <w:pStyle w:val="BodyText"/>
        <w:rPr/>
      </w:pPr>
      <w:r>
        <w:rPr/>
        <w:t xml:space="preserve">Parties alleging that evidentiary hearing must be held before one or the other draft decision is adopted must file and serve a motion for evidentiary hearing no later than 5:00 p.m. on May 22, 2001.  The motion must identify the exact alleged factual issue in dispute, show how it is material and relevant to the proceeding, and state what evidence would be offered at hearing.  Electronic mail service of responses to any such motions are due no later than 1:00 p.m. on May 23, 2001, with filing and serving of paper copies by 5:00 p.m. on May 23, 2001.  </w:t>
      </w:r>
    </w:p>
    <w:p>
      <w:pPr>
        <w:pStyle w:val="Normal"/>
        <w:rPr/>
      </w:pPr>
      <w:r>
        <w:rPr/>
      </w:r>
    </w:p>
    <w:p>
      <w:pPr>
        <w:sectPr>
          <w:type w:val="continuous"/>
          <w:pgSz w:w="12240" w:h="15840"/>
          <w:pgMar w:left="576" w:right="576" w:gutter="0" w:header="0" w:top="720" w:footer="720" w:bottom="776"/>
          <w:formProt w:val="false"/>
          <w:textDirection w:val="lrTb"/>
          <w:docGrid w:type="default" w:linePitch="360" w:charSpace="0"/>
        </w:sectPr>
        <w:pStyle w:val="BodyText2"/>
        <w:rPr>
          <w:sz w:val="26"/>
        </w:rPr>
      </w:pPr>
      <w:r>
        <w:rPr>
          <w:sz w:val="26"/>
        </w:rPr>
        <w:t xml:space="preserve">Service of comments, reply comments, motions and responses must be consistent with the December 7, 2000 ruling on service.  That is, service shall be performed on the service list by electronic mail, including Commission members on the service list.  In addition, limited service of paper copies is required as explained in the Ruling.  Further, separate paper copy service must be performed on </w:t>
      </w:r>
      <w:r>
        <w:br w:type="page"/>
      </w:r>
    </w:p>
    <w:p>
      <w:pPr>
        <w:pStyle w:val="BodyText2"/>
        <w:rPr>
          <w:sz w:val="26"/>
        </w:rPr>
      </w:pPr>
      <w:r>
        <w:rPr>
          <w:sz w:val="26"/>
        </w:rPr>
        <w:t>TO: PARTIES OF RECORD IN RULEMAKING 00-10-002</w:t>
      </w:r>
    </w:p>
    <w:p>
      <w:pPr>
        <w:pStyle w:val="BodyText2"/>
        <w:rPr>
          <w:sz w:val="26"/>
        </w:rPr>
      </w:pPr>
      <w:r>
        <w:rPr>
          <w:sz w:val="26"/>
        </w:rPr>
        <w:t>Page 2</w:t>
      </w:r>
    </w:p>
    <w:p>
      <w:pPr>
        <w:pStyle w:val="BodyText2"/>
        <w:rPr>
          <w:sz w:val="26"/>
        </w:rPr>
      </w:pPr>
      <w:r>
        <w:rPr>
          <w:sz w:val="26"/>
        </w:rPr>
        <w:t>May 18, 2001</w:t>
      </w:r>
    </w:p>
    <w:p>
      <w:pPr>
        <w:pStyle w:val="BodyText2"/>
        <w:rPr>
          <w:sz w:val="26"/>
        </w:rPr>
      </w:pPr>
      <w:r>
        <w:rPr>
          <w:sz w:val="26"/>
        </w:rPr>
      </w:r>
    </w:p>
    <w:p>
      <w:pPr>
        <w:pStyle w:val="BodyText2"/>
        <w:rPr>
          <w:sz w:val="26"/>
        </w:rPr>
      </w:pPr>
      <w:r>
        <w:rPr>
          <w:sz w:val="26"/>
        </w:rPr>
      </w:r>
    </w:p>
    <w:p>
      <w:pPr>
        <w:pStyle w:val="BodyText2"/>
        <w:rPr/>
      </w:pPr>
      <w:r>
        <w:rPr>
          <w:sz w:val="26"/>
        </w:rPr>
        <w:t xml:space="preserve">Presiding Officer and Assigned Commissioner Wood, Administrative Law Judge Galvin (paper copies, plus electronic mail service to </w:t>
      </w:r>
      <w:r>
        <w:rPr>
          <w:sz w:val="26"/>
          <w:u w:val="single"/>
        </w:rPr>
        <w:t>mfg@cpuc.ca.gov</w:t>
      </w:r>
      <w:r>
        <w:rPr>
          <w:sz w:val="26"/>
        </w:rPr>
        <w:t xml:space="preserve">), Administrative Law Judge Mattson (paper copies, plus electronic mail service to </w:t>
      </w:r>
      <w:hyperlink r:id="rId4">
        <w:r>
          <w:rPr>
            <w:rStyle w:val="Hyperlink"/>
            <w:sz w:val="26"/>
          </w:rPr>
          <w:t>bwm@cpuc.ca.gov)</w:t>
        </w:r>
      </w:hyperlink>
      <w:r>
        <w:rPr>
          <w:sz w:val="26"/>
        </w:rPr>
        <w:t xml:space="preserve">, Jonathan Lakritz (paper copies, plus electronic mail service to </w:t>
      </w:r>
      <w:hyperlink r:id="rId5">
        <w:r>
          <w:rPr>
            <w:rStyle w:val="Hyperlink"/>
            <w:sz w:val="26"/>
          </w:rPr>
          <w:t>jol@cpuc.ca.gov</w:t>
        </w:r>
      </w:hyperlink>
      <w:r>
        <w:rPr>
          <w:sz w:val="26"/>
        </w:rPr>
        <w:t>), and three copies on Energy Division.  For paper copy service, I suggest delivery at the same time the document is filed in the Docket Office.</w:t>
      </w:r>
    </w:p>
    <w:p>
      <w:pPr>
        <w:pStyle w:val="Normal"/>
        <w:rPr/>
      </w:pPr>
      <w:r>
        <w:rPr/>
      </w:r>
    </w:p>
    <w:p>
      <w:pPr>
        <w:pStyle w:val="Normal"/>
        <w:rPr>
          <w:sz w:val="24"/>
          <w:u w:val="single"/>
        </w:rPr>
      </w:pPr>
      <w:r>
        <w:rPr>
          <w:u w:val="single"/>
        </w:rPr>
        <w:t>/s/ LYNN T. CAREW</w:t>
      </w:r>
    </w:p>
    <w:p>
      <w:pPr>
        <w:pStyle w:val="Normal"/>
        <w:rPr/>
      </w:pPr>
      <w:r>
        <w:rPr/>
        <w:t>Lynn T. Carew, Chief</w:t>
      </w:r>
    </w:p>
    <w:p>
      <w:pPr>
        <w:pStyle w:val="Normal"/>
        <w:rPr/>
      </w:pPr>
      <w:r>
        <w:rPr/>
        <w:t>Administrative Law Judge</w:t>
      </w:r>
    </w:p>
    <w:p>
      <w:pPr>
        <w:pStyle w:val="Normal"/>
        <w:rPr/>
      </w:pPr>
      <w:r>
        <w:rPr/>
      </w:r>
    </w:p>
    <w:p>
      <w:pPr>
        <w:pStyle w:val="Normal"/>
        <w:rPr/>
      </w:pPr>
      <w:r>
        <w:rPr/>
        <w:t>LTC:eap</w:t>
      </w:r>
    </w:p>
    <w:p>
      <w:pPr>
        <w:pStyle w:val="Normal"/>
        <w:rPr/>
      </w:pPr>
      <w:r>
        <w:rPr/>
      </w:r>
    </w:p>
    <w:p>
      <w:pPr>
        <w:pStyle w:val="Normal"/>
        <w:rPr/>
      </w:pPr>
      <w:r>
        <w:rPr/>
        <w:t>Attachments</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center" w:pos="4680" w:leader="none"/>
          <w:tab w:val="right" w:pos="9360" w:leader="none"/>
        </w:tabs>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Header"/>
        <w:tabs>
          <w:tab w:val="clear" w:pos="4320"/>
          <w:tab w:val="clear" w:pos="8640"/>
          <w:tab w:val="center" w:pos="4680" w:leader="none"/>
          <w:tab w:val="right" w:pos="9360" w:leader="none"/>
        </w:tabs>
        <w:rPr/>
      </w:pPr>
      <w:r>
        <w:rPr/>
        <w:t>COM/CXW/eap</w:t>
        <w:tab/>
      </w:r>
      <w:r>
        <w:rPr>
          <w:rFonts w:cs="Helvetica" w:ascii="Helvetica" w:hAnsi="Helvetica"/>
          <w:b/>
          <w:sz w:val="36"/>
        </w:rPr>
        <w:t>DRAFT</w:t>
      </w:r>
      <w:r>
        <w:rPr>
          <w:b/>
        </w:rPr>
        <w:tab/>
      </w:r>
      <w:r>
        <w:rPr>
          <w:b/>
          <w:sz w:val="32"/>
        </w:rPr>
        <w:t>Item 14</w:t>
      </w:r>
    </w:p>
    <w:p>
      <w:pPr>
        <w:pStyle w:val="Header"/>
        <w:tabs>
          <w:tab w:val="clear" w:pos="8640"/>
          <w:tab w:val="center" w:pos="4320" w:leader="none"/>
          <w:tab w:val="right" w:pos="9360" w:leader="none"/>
        </w:tabs>
        <w:rPr/>
      </w:pPr>
      <w:r>
        <w:rPr/>
        <w:tab/>
        <w:tab/>
      </w:r>
      <w:r>
        <w:rPr>
          <w:b/>
          <w:sz w:val="32"/>
        </w:rPr>
        <w:t>5/24/2001</w:t>
      </w:r>
    </w:p>
    <w:p>
      <w:pPr>
        <w:pStyle w:val="Header"/>
        <w:widowControl/>
        <w:tabs>
          <w:tab w:val="clear" w:pos="4320"/>
          <w:tab w:val="clear" w:pos="8640"/>
        </w:tabs>
        <w:suppressAutoHyphens w:val="true"/>
        <w:rPr>
          <w:b/>
          <w:sz w:val="32"/>
        </w:rPr>
      </w:pPr>
      <w:r>
        <w:rPr>
          <w:b/>
          <w:sz w:val="32"/>
        </w:rPr>
      </w:r>
    </w:p>
    <w:p>
      <w:pPr>
        <w:pStyle w:val="Normal"/>
        <w:suppressAutoHyphens w:val="true"/>
        <w:ind w:hanging="1080" w:start="1080" w:end="0"/>
        <w:rPr/>
      </w:pPr>
      <w:r>
        <w:rPr/>
        <w:t xml:space="preserve">Decision </w:t>
      </w:r>
      <w:r>
        <w:rPr>
          <w:b/>
          <w:u w:val="single"/>
        </w:rPr>
        <w:t>DRAFT DECISION OF COMMISSIONER WOOD</w:t>
      </w:r>
      <w:r>
        <w:rPr/>
        <w:t xml:space="preserve"> </w:t>
        <w:br/>
        <w:t>(Mailed May 18, 2001)</w:t>
      </w:r>
    </w:p>
    <w:p>
      <w:pPr>
        <w:pStyle w:val="Normal"/>
        <w:suppressAutoHyphens w:val="true"/>
        <w:rPr/>
      </w:pPr>
      <w:r>
        <w:rPr/>
      </w:r>
    </w:p>
    <w:p>
      <w:pPr>
        <w:pStyle w:val="titlebar"/>
        <w:rPr>
          <w:sz w:val="24"/>
        </w:rPr>
      </w:pPr>
      <w:r>
        <w:rPr>
          <w:sz w:val="24"/>
        </w:rPr>
        <w:t>BEFORE THE PUBLIC UTILITIES COMMISSION OF THE STATE OF CALIFORNIA</w:t>
      </w:r>
    </w:p>
    <w:p>
      <w:pPr>
        <w:pStyle w:val="Normal"/>
        <w:suppressAutoHyphens w:val="true"/>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Order Instituting Rulemaking into the operation of interruptible load programs offered by Pacific Gas &amp; Electric Company, San Diego Gas &amp; Electric Company, and Southern California Edison Company and the effect of these programs on energy prices, other demand responsiveness programs, and the reliability of the electric system.</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Rulemaking 00-10-002</w:t>
            </w:r>
          </w:p>
          <w:p>
            <w:pPr>
              <w:pStyle w:val="Normal"/>
              <w:jc w:val="center"/>
              <w:rPr/>
            </w:pPr>
            <w:r>
              <w:rPr/>
              <w:t>(Filed October 5, 2000)</w:t>
            </w:r>
          </w:p>
        </w:tc>
      </w:tr>
    </w:tbl>
    <w:p>
      <w:pPr>
        <w:pStyle w:val="Normal"/>
        <w:suppressAutoHyphens w:val="true"/>
        <w:rPr/>
      </w:pPr>
      <w:r>
        <w:rPr/>
      </w:r>
    </w:p>
    <w:p>
      <w:pPr>
        <w:pStyle w:val="Normal"/>
        <w:rPr/>
      </w:pPr>
      <w:r>
        <w:rPr/>
      </w:r>
    </w:p>
    <w:p>
      <w:pPr>
        <w:pStyle w:val="main"/>
        <w:rPr/>
      </w:pPr>
      <w:r>
        <w:rPr/>
        <w:t xml:space="preserve">INTERIM OPINION </w:t>
      </w:r>
    </w:p>
    <w:p>
      <w:pPr>
        <w:pStyle w:val="Normal"/>
        <w:suppressAutoHyphens w:val="true"/>
        <w:rPr/>
      </w:pPr>
      <w:r>
        <w:rPr/>
      </w:r>
    </w:p>
    <w:p>
      <w:pPr>
        <w:pStyle w:val="Heading1"/>
        <w:numPr>
          <w:ilvl w:val="0"/>
          <w:numId w:val="5"/>
        </w:numPr>
        <w:ind w:hanging="0" w:start="0"/>
        <w:rPr/>
      </w:pPr>
      <w:r>
        <w:rPr/>
        <w:t>Summary</w:t>
      </w:r>
    </w:p>
    <w:p>
      <w:pPr>
        <w:pStyle w:val="standard"/>
        <w:rPr/>
      </w:pPr>
      <w:r>
        <w:rPr/>
        <w:t>This decision addresses recovery of costs for programs adopted in Decision (D.) 01-04-006.  We provide an ongoing source of cost recovery.</w:t>
      </w:r>
    </w:p>
    <w:p>
      <w:pPr>
        <w:pStyle w:val="Heading1"/>
        <w:numPr>
          <w:ilvl w:val="0"/>
          <w:numId w:val="5"/>
        </w:numPr>
        <w:ind w:hanging="0" w:start="0"/>
        <w:rPr/>
      </w:pPr>
      <w:r>
        <w:rPr/>
        <w:t>Background</w:t>
      </w:r>
    </w:p>
    <w:p>
      <w:pPr>
        <w:pStyle w:val="standard"/>
        <w:rPr/>
      </w:pPr>
      <w:r>
        <w:rPr/>
        <w:t>On April 20, 2001, Pacific Gas &amp; Electric Company (PG&amp;E) filed and served an emergency petition for modification of D.01-04-006.  PG&amp;E seeks an immediate, on-going source of funds for programs adopted in D.01-04-006 through either a surcharge on current rates, or an offset to revenues collected by PG&amp;E on behalf of the California Department of Water Resources (DWR).</w:t>
      </w:r>
      <w:r>
        <w:rPr>
          <w:rStyle w:val="FootnoteCharacters"/>
          <w:rStyle w:val="FootnoteReference"/>
        </w:rPr>
        <w:footnoteReference w:id="2"/>
      </w:r>
    </w:p>
    <w:p>
      <w:pPr>
        <w:pStyle w:val="standard"/>
        <w:rPr/>
      </w:pPr>
      <w:r>
        <w:rPr/>
        <w:t>In support, PG&amp;E asserts that it is a Chapter 11 “debtor in possession” under the United States Bankruptcy Code.  As such, PG&amp;E says it is constrained from implementing new programs without concurrent receipt of funds.  PG&amp;E estimates that the cost of programs adopted in D.01-04-006 for 2001 alone could be $33 million over and above revenues now authorized in rates.</w:t>
      </w:r>
    </w:p>
    <w:p>
      <w:pPr>
        <w:pStyle w:val="standard"/>
        <w:rPr/>
      </w:pPr>
      <w:r>
        <w:rPr/>
        <w:t>Further, PG&amp;E states that the funding must not be illusory.  Rather, according to PG&amp;E, the Commission must clarify that these costs are not subject to any prohibition on cost recovery after the end of the rate freeze, such as the prohibition PG&amp;E believes was established in D.99-10-057, and affirmed in D.00</w:t>
        <w:noBreakHyphen/>
        <w:t>03-058.</w:t>
      </w:r>
    </w:p>
    <w:p>
      <w:pPr>
        <w:pStyle w:val="standard"/>
        <w:rPr/>
      </w:pPr>
      <w:r>
        <w:rPr/>
        <w:t>Pursuant to a shortened comment period, responses to the emergency petition were filed on May 15, 2001 by SCE and the Commission’s Office of Ratepayer Advocates (ORA).  SCE states its support for modification of D.01</w:t>
        <w:noBreakHyphen/>
        <w:t>04</w:t>
        <w:noBreakHyphen/>
        <w:t>006 such that post-rate freeze cost recovery will not be barred by D.99</w:t>
        <w:noBreakHyphen/>
        <w:t>10-057, D.00-03-058, or related decisions.  SCE reports, however, that it does not currently anticipate the need for an immediate surcharge (since incremental revenues may result from the migration of SCE’s customers from interruptible to firm service schedules).  SCE says if the situation changes, however, it will seek necessary relief at that time.  ORA contends PG&amp;E’s petition is premature, generally without merit, and should be rejected.</w:t>
      </w:r>
    </w:p>
    <w:p>
      <w:pPr>
        <w:pStyle w:val="Heading1"/>
        <w:numPr>
          <w:ilvl w:val="0"/>
          <w:numId w:val="5"/>
        </w:numPr>
        <w:ind w:hanging="0" w:start="0"/>
        <w:rPr/>
      </w:pPr>
      <w:r>
        <w:rPr/>
        <w:t>Discussion</w:t>
      </w:r>
    </w:p>
    <w:p>
      <w:pPr>
        <w:pStyle w:val="standard"/>
        <w:rPr/>
      </w:pPr>
      <w:r>
        <w:rPr/>
        <w:t>We are persuaded to modify the memorandum account method of recovery for the incremental costs of programs, activities, studies and reports authorized in D.01-04-006.  We provide a more specific method for current recovery.</w:t>
      </w:r>
    </w:p>
    <w:p>
      <w:pPr>
        <w:pStyle w:val="standard"/>
        <w:rPr/>
      </w:pPr>
      <w:r>
        <w:rPr/>
        <w:t>We do this by confirming that the expenditures required to implement programs adopted in D.01-04-006 are part of each utility’s cost of service revenue requirement.  For PG&amp;E and SCE, they are recoverable costs prior to calculating the California Procurement Adjustment (CPA), and recovery is before any fixed DWR set-aside.  (Public Utilities Code Section 360.5.)  For SDG&amp;E, they are recoverable as part of the Purchased Electric Commodity Account (PECA), as explained below.</w:t>
      </w:r>
    </w:p>
    <w:p>
      <w:pPr>
        <w:pStyle w:val="standard"/>
        <w:rPr/>
      </w:pPr>
      <w:r>
        <w:rPr/>
        <w:t>We adopt SCE’s recommendation, and modify D.01-04-006 to authorize a balancing account.  This ensures that over- or under-collections will be amortized in rates.  We decline to adopt SCE’s recommendation to amortize these balances annually.  Rather, to provide prompt treatment, we authorize amortization monthly.</w:t>
      </w:r>
    </w:p>
    <w:p>
      <w:pPr>
        <w:pStyle w:val="standard"/>
        <w:rPr/>
      </w:pPr>
      <w:r>
        <w:rPr/>
        <w:t>Respondent utilities are authorized to establish an Interruptible Load Program Incremental Cost Balancing Account (ILPIC) in their Preliminary Statements.  This account shall record the amounts that were previously authorized for the memorandum account.</w:t>
      </w:r>
      <w:r>
        <w:rPr>
          <w:rStyle w:val="FootnoteCharacters"/>
          <w:rStyle w:val="FootnoteReference"/>
        </w:rPr>
        <w:footnoteReference w:id="3"/>
      </w:r>
      <w:r>
        <w:rPr/>
        <w:t xml:space="preserve">  That is, it shall record monthly costs above funds authorized in current rates (i.e., incremental costs) of administering any program, activity, study or report authorized, or ordered, in D.01-04-006.  The accounting shall separately identify the cost and revenue associated with each program, activity, study or report (e.g., separately track costs and revenues from the new Base Interruptible Program, Voluntary Demand Response Program, each curtailment study, each report).</w:t>
      </w:r>
    </w:p>
    <w:p>
      <w:pPr>
        <w:pStyle w:val="standard"/>
        <w:rPr/>
      </w:pPr>
      <w:r>
        <w:rPr/>
        <w:t>This account balance would normally be recovered by a specific surcharge (which would balance costs against a specific revenue stream).  Alternatively, the balance would be reviewed and the reasonable costs amortized in rates in a subsequent period.  We will direct PG&amp;E and SCE to transfer the balances in the ILPIC to their Transition Revenue Account (TRA) monthly because we want to emphasize that these costs are recoverable now as current costs, and we are persuaded that the companies cannot defer recovery.  It is in the TRA that PG&amp;E and SCE recover their authorized revenue requirements for non-energy items before determining the residual revenue available first for energy costs and then any further residual available for stranded cost recovery in their Transition Cost Balancing Account.  PG&amp;E and SCE shall reflect this modification in each utility’s TRA tariff.  This treatment assures current recovery of these costs ahead of energy procurement and stranded costs.</w:t>
      </w:r>
    </w:p>
    <w:p>
      <w:pPr>
        <w:pStyle w:val="standard"/>
        <w:rPr/>
      </w:pPr>
      <w:r>
        <w:rPr/>
        <w:t>SDG&amp;E shall also establish an ILPIC, and on a monthly basis transfer the balance to its post-rate freeze PECA.  The PECA allows for prompt amortization of charges to energy costs.  In this way, SDG&amp;E will not have cost recovery risk for the ILPIC.</w:t>
      </w:r>
    </w:p>
    <w:p>
      <w:pPr>
        <w:pStyle w:val="standard"/>
        <w:rPr/>
      </w:pPr>
      <w:r>
        <w:rPr/>
        <w:t>We decline to add a surcharge to PG&amp;E and SCE rates, since those rates are currently subject to the electric industry restructuring rate freeze.  Just as we concluded in D.01-04-006, we cannot raise electric utility rates for these utilities until we have determined that the rate freeze is over.</w:t>
      </w:r>
    </w:p>
    <w:p>
      <w:pPr>
        <w:pStyle w:val="standard"/>
        <w:rPr/>
      </w:pPr>
      <w:r>
        <w:rPr/>
        <w:t>Moreover, we recently raised each utility’s rates approximately $2.5 billion annually, or $5.0 billion combined.  (D.01-03-082; D.01-05-064, mimeo, page 16.)  We decline to further raise rates until we have an opportunity to consider the effect of these increases in a more comprehensive way on each utility, its customers, and the California economy.</w:t>
      </w:r>
    </w:p>
    <w:p>
      <w:pPr>
        <w:pStyle w:val="standard"/>
        <w:rPr/>
      </w:pPr>
      <w:r>
        <w:rPr/>
        <w:t>Further, SCE does not request a surcharge at this time.  Such surcharge, if contemplated, however, would be small.  It would be approximately $0.001/kWh for SCE, and $0.0004 for PG&amp;E.</w:t>
      </w:r>
      <w:r>
        <w:rPr>
          <w:rStyle w:val="FootnoteCharacters"/>
          <w:rStyle w:val="FootnoteReference"/>
        </w:rPr>
        <w:footnoteReference w:id="4"/>
      </w:r>
      <w:r>
        <w:rPr/>
        <w:t xml:space="preserve"> We normally do not separately include small surcharges absent extraordinary justification.  The approach adopted here accomplishes the desired and necessary cost recovery.</w:t>
      </w:r>
    </w:p>
    <w:p>
      <w:pPr>
        <w:pStyle w:val="standard"/>
        <w:rPr/>
      </w:pPr>
      <w:r>
        <w:rPr/>
        <w:t>SDG&amp;E estimates a surcharge would not exceed $0.001/kWh.</w:t>
      </w:r>
      <w:r>
        <w:rPr>
          <w:rStyle w:val="FootnoteCharacters"/>
          <w:rStyle w:val="FootnoteReference"/>
        </w:rPr>
        <w:footnoteReference w:id="5"/>
      </w:r>
      <w:r>
        <w:rPr/>
        <w:t xml:space="preserve"> For the same reasons, we decline to adopt an additional surcharge for SDG&amp;E.</w:t>
      </w:r>
    </w:p>
    <w:p>
      <w:pPr>
        <w:pStyle w:val="standard"/>
        <w:rPr/>
      </w:pPr>
      <w:r>
        <w:rPr/>
        <w:t>We also decline to adopt PG&amp;E’s alternative recommendation to authorize utilities to withhold funding for these programs from revenues collected on behalf of DWR.  PG&amp;E’s proposed language to implement this suggestion is that the Commission “instruct utilities to work with DWR to develop the details of this proposal as an alternative to a surcharge.”  This proposal is not sufficiently developed to merit adoption.  Rather, the method we adopt herein provides assurance of current cost recovery, and needs no further development.</w:t>
      </w:r>
    </w:p>
    <w:p>
      <w:pPr>
        <w:pStyle w:val="standard"/>
        <w:rPr/>
      </w:pPr>
      <w:r>
        <w:rPr/>
        <w:t>The adopted balancing account approach provides current cost recovery.  Just as with any balancing account, however, entries are subject to later reasonableness review.</w:t>
      </w:r>
    </w:p>
    <w:p>
      <w:pPr>
        <w:pStyle w:val="Heading1"/>
        <w:numPr>
          <w:ilvl w:val="0"/>
          <w:numId w:val="5"/>
        </w:numPr>
        <w:ind w:hanging="0" w:start="0"/>
        <w:rPr/>
      </w:pPr>
      <w:r>
        <w:rPr/>
        <w:t>Need for Expedited Consideration</w:t>
      </w:r>
    </w:p>
    <w:p>
      <w:pPr>
        <w:pStyle w:val="standard"/>
        <w:rPr/>
      </w:pPr>
      <w:r>
        <w:rPr/>
        <w:t>Rule 77.7(f)(9) of the Commission’s Rules of Practice and Procedure provides in relevant part that:</w:t>
      </w:r>
    </w:p>
    <w:p>
      <w:pPr>
        <w:pStyle w:val="quote"/>
        <w:rPr/>
      </w:pPr>
      <w:r>
        <w:rPr/>
        <w:t>“…</w:t>
      </w:r>
      <w:r>
        <w:rPr/>
        <w:t>the Commission may reduce or waive the period for public review and comment under this rule…for a decision where the Commission determines, on the motion of a party or on its own motion, that public necessity requires reduction or waiver of the 30-day period for public review and comment.  For purposes of this subsection, "public necessity" refers to circumstances in which the public interest in the Commission adopting a decision before expiration of the 30-day review and comment period clearly outweighs the public interest in having the full 30-day period for review and comment.  "Public necessity" includes, without limitation, circumstances where failure to adopt a decision before expiration of the 30-day review and comment period…would cause significant harm to public health or welfare.  When acting pursuant to this subsection, the Commission will provide such reduced period for public review and comment as is consistent with the public necessity requiring reduction or waiver.“</w:t>
      </w:r>
    </w:p>
    <w:p>
      <w:pPr>
        <w:pStyle w:val="standard"/>
        <w:rPr/>
      </w:pPr>
      <w:r>
        <w:rPr/>
        <w:t>PG&amp;E initially asked that the Commission rule on its petition within three days of the date it was filed.</w:t>
      </w:r>
    </w:p>
    <w:p>
      <w:pPr>
        <w:pStyle w:val="standard"/>
        <w:rPr/>
      </w:pPr>
      <w:r>
        <w:rPr/>
        <w:t>We balance the public interest in quickly amending D.01-04-006 against the public interest in having a full 30-day comment cycle on the proposed amendment.  We conclude that the former outweighs the latter.  We must respond quickly to provide additional assurance (beyond that already provided by the memorandum accounts initially adopted in D.01-04-006) of cost recovery so that respondent utilities may successfully implement the orders in D.01</w:t>
        <w:noBreakHyphen/>
        <w:t>04</w:t>
        <w:noBreakHyphen/>
        <w:t>006.  Failure by respondent utilities to fully implement the orders in D.01-04-006 jeopardizes public health and safety by significantly increasing California’s exposure to rolling blackouts in Summer 2001.  We seek valuable public review and comment of our proposed change, and find that a reduced period balances the need for that input with the need for timely action before Summer 2001.</w:t>
      </w:r>
    </w:p>
    <w:p>
      <w:pPr>
        <w:pStyle w:val="Heading1"/>
        <w:numPr>
          <w:ilvl w:val="0"/>
          <w:numId w:val="5"/>
        </w:numPr>
        <w:ind w:hanging="0" w:start="0"/>
        <w:rPr/>
      </w:pPr>
      <w:r>
        <w:rPr/>
        <w:t>Comments on Draft Decision</w:t>
      </w:r>
    </w:p>
    <w:p>
      <w:pPr>
        <w:pStyle w:val="standard"/>
        <w:rPr/>
      </w:pPr>
      <w:r>
        <w:rPr/>
        <w:t>On May 18, 2001, the draft decision of Assigned Commissioner and Presiding Officer Wood on this matter was mailed to parties in accordance with Section 311(g) of the Public Utilities Code and Rule 77.7 of the Rules of Practice and Procedure.  Comments were filed on ________________, and reply comments on _______________.</w:t>
      </w:r>
    </w:p>
    <w:p>
      <w:pPr>
        <w:pStyle w:val="standard"/>
        <w:rPr/>
      </w:pPr>
      <w:r>
        <w:rPr/>
        <w:t>We issue today’s order based on the emergency petition, responses to the petition, plus comments and reply on the Draft Decision.  With service of the Draft Decision, parties who believed hearings were necessary or required were advised to move for evidentiary hearing by the date comments were due.  Motions were required to identify the exact alleged factual issue in dispute, show that it is material and relevant, and state what evidence would be offered at hearing.</w:t>
      </w:r>
    </w:p>
    <w:p>
      <w:pPr>
        <w:pStyle w:val="dummy"/>
        <w:numPr>
          <w:ilvl w:val="0"/>
          <w:numId w:val="0"/>
        </w:numPr>
        <w:ind w:hanging="0" w:start="0"/>
        <w:rPr/>
      </w:pPr>
      <w:r>
        <w:rPr/>
        <w:t>Findings of Fact</w:t>
      </w:r>
    </w:p>
    <w:p>
      <w:pPr>
        <w:pStyle w:val="num1"/>
        <w:numPr>
          <w:ilvl w:val="0"/>
          <w:numId w:val="3"/>
        </w:numPr>
        <w:rPr/>
      </w:pPr>
      <w:r>
        <w:rPr/>
        <w:t xml:space="preserve">A balancing account for recovery of incremental costs incurred by respondent utilities implementing orders pursuant to D.01-04-006 provides superior current cost recovery to that permitted by a memorandum account. </w:t>
      </w:r>
    </w:p>
    <w:p>
      <w:pPr>
        <w:pStyle w:val="num1"/>
        <w:numPr>
          <w:ilvl w:val="0"/>
          <w:numId w:val="3"/>
        </w:numPr>
        <w:rPr/>
      </w:pPr>
      <w:r>
        <w:rPr/>
        <w:t xml:space="preserve">Incremental costs incurred by respondent utilities to implement orders adopted in D.00-01-004 are part of each utility’s cost of service revenue requirement.  </w:t>
      </w:r>
    </w:p>
    <w:p>
      <w:pPr>
        <w:pStyle w:val="num1"/>
        <w:numPr>
          <w:ilvl w:val="0"/>
          <w:numId w:val="3"/>
        </w:numPr>
        <w:rPr/>
      </w:pPr>
      <w:r>
        <w:rPr>
          <w:rFonts w:eastAsia="Palatino"/>
        </w:rPr>
        <w:t xml:space="preserve"> </w:t>
      </w:r>
      <w:r>
        <w:rPr/>
        <w:t>Amortizing the balance in the ILPIC monthly assures current cost recovery ahead of energy procurement and stranded costs.</w:t>
      </w:r>
    </w:p>
    <w:p>
      <w:pPr>
        <w:pStyle w:val="num1"/>
        <w:numPr>
          <w:ilvl w:val="0"/>
          <w:numId w:val="3"/>
        </w:numPr>
        <w:rPr/>
      </w:pPr>
      <w:r>
        <w:rPr/>
        <w:t>The public interest in quickly modifying D.01-04-006 so that cost recovery can be clarified for Summer 2001 outweighs the public interest in a full 30-day public review and comment of the proposed amendment.</w:t>
      </w:r>
    </w:p>
    <w:p>
      <w:pPr>
        <w:pStyle w:val="dummy"/>
        <w:numPr>
          <w:ilvl w:val="0"/>
          <w:numId w:val="0"/>
        </w:numPr>
        <w:ind w:hanging="0" w:start="0"/>
        <w:rPr/>
      </w:pPr>
      <w:r>
        <w:rPr/>
        <w:t>Conclusions of Law</w:t>
      </w:r>
    </w:p>
    <w:p>
      <w:pPr>
        <w:pStyle w:val="num1"/>
        <w:numPr>
          <w:ilvl w:val="0"/>
          <w:numId w:val="2"/>
        </w:numPr>
        <w:rPr/>
      </w:pPr>
      <w:r>
        <w:rPr/>
        <w:t>A balancing account should be used to record incremental costs incurred to implement programs adopted in D.01-04-006, and the balances should be amortized monthly.</w:t>
      </w:r>
    </w:p>
    <w:p>
      <w:pPr>
        <w:pStyle w:val="num1"/>
        <w:numPr>
          <w:ilvl w:val="0"/>
          <w:numId w:val="2"/>
        </w:numPr>
        <w:rPr/>
      </w:pPr>
      <w:r>
        <w:rPr/>
        <w:t>Incremental costs incurred to implement programs adopted in D.01-04-006 should be recoverable prior to calculating the CPA and recovered before any fixed DWR set-aside for PG&amp;E and SCE, and should be recoverable as part of the PECA for SDG&amp;E.</w:t>
      </w:r>
    </w:p>
    <w:p>
      <w:pPr>
        <w:pStyle w:val="num1"/>
        <w:numPr>
          <w:ilvl w:val="0"/>
          <w:numId w:val="2"/>
        </w:numPr>
        <w:rPr/>
      </w:pPr>
      <w:r>
        <w:rPr/>
        <w:t>The period for public review and comment on the draft decision should be reduced, pursuant to Rule 77.7(f)(9), as we balance the need to quickly amend D.01-04-006 against the public interest in a full 30-day public review and comment period.</w:t>
      </w:r>
    </w:p>
    <w:p>
      <w:pPr>
        <w:pStyle w:val="num1"/>
        <w:numPr>
          <w:ilvl w:val="0"/>
          <w:numId w:val="2"/>
        </w:numPr>
        <w:rPr/>
      </w:pPr>
      <w:r>
        <w:rPr/>
        <w:t>This order should be effective today so that any potential threat to public health and safety by respondent utilities failing to fully implement the orders in D.01-04-006 can be addressed immediately.</w:t>
      </w:r>
    </w:p>
    <w:p>
      <w:pPr>
        <w:pStyle w:val="Normal"/>
        <w:spacing w:lineRule="auto" w:line="360"/>
        <w:rPr/>
      </w:pPr>
      <w:r>
        <w:rPr/>
      </w:r>
    </w:p>
    <w:p>
      <w:pPr>
        <w:pStyle w:val="main"/>
        <w:rPr/>
      </w:pPr>
      <w:r>
        <w:rPr/>
        <w:t>INTERIM ORDER</w:t>
      </w:r>
    </w:p>
    <w:p>
      <w:pPr>
        <w:pStyle w:val="Normal"/>
        <w:keepNext w:val="true"/>
        <w:rPr/>
      </w:pPr>
      <w:r>
        <w:rPr/>
      </w:r>
    </w:p>
    <w:p>
      <w:pPr>
        <w:pStyle w:val="standard"/>
        <w:keepNext w:val="true"/>
        <w:rPr/>
      </w:pPr>
      <w:r>
        <w:rPr>
          <w:b/>
        </w:rPr>
        <w:t>IT IS ORDERED</w:t>
      </w:r>
      <w:r>
        <w:rPr/>
        <w:t xml:space="preserve"> that:</w:t>
      </w:r>
    </w:p>
    <w:p>
      <w:pPr>
        <w:pStyle w:val="num1"/>
        <w:numPr>
          <w:ilvl w:val="0"/>
          <w:numId w:val="4"/>
        </w:numPr>
        <w:ind w:firstLine="360" w:start="0" w:end="0"/>
        <w:rPr/>
      </w:pPr>
      <w:r>
        <w:rPr/>
        <w:t>The April 30, 2001 emergency petition for modification of Decision (D.) 01</w:t>
        <w:noBreakHyphen/>
        <w:t xml:space="preserve">04-006 filed by Pacific Gas &amp; Electric Company (PG&amp;E) is granted to the extent provided herein, and denied in all other respects.  </w:t>
      </w:r>
    </w:p>
    <w:p>
      <w:pPr>
        <w:pStyle w:val="num1"/>
        <w:numPr>
          <w:ilvl w:val="0"/>
          <w:numId w:val="4"/>
        </w:numPr>
        <w:ind w:firstLine="360" w:start="0" w:end="0"/>
        <w:rPr/>
      </w:pPr>
      <w:r>
        <w:rPr/>
        <w:t>Decision 01-04-006 is modified as follows:</w:t>
      </w:r>
    </w:p>
    <w:p>
      <w:pPr>
        <w:pStyle w:val="letter"/>
        <w:numPr>
          <w:ilvl w:val="0"/>
          <w:numId w:val="6"/>
        </w:numPr>
        <w:rPr/>
      </w:pPr>
      <w:r>
        <w:rPr/>
        <w:t>Conclusion of Law 53 is replaced with:</w:t>
      </w:r>
    </w:p>
    <w:p>
      <w:pPr>
        <w:pStyle w:val="quote"/>
        <w:ind w:start="1440" w:end="720"/>
        <w:rPr/>
      </w:pPr>
      <w:r>
        <w:rPr/>
        <w:t>“</w:t>
      </w:r>
      <w:r>
        <w:rPr/>
        <w:t>53.  Each respondent utility should establish an Interruptible Load Program Incremental Cost Balancing Account (ILPIC) to track all dollars it spends and receives above funds authorized in current rates to implement any decision in today’s order regarding interruptible programs and curtailment priorities.”</w:t>
      </w:r>
    </w:p>
    <w:p>
      <w:pPr>
        <w:pStyle w:val="letter"/>
        <w:numPr>
          <w:ilvl w:val="0"/>
          <w:numId w:val="6"/>
        </w:numPr>
        <w:rPr/>
      </w:pPr>
      <w:r>
        <w:rPr/>
        <w:t>Conclusion of Law 57 is replaced with:</w:t>
      </w:r>
    </w:p>
    <w:p>
      <w:pPr>
        <w:pStyle w:val="quote"/>
        <w:ind w:start="1440" w:end="720"/>
        <w:rPr/>
      </w:pPr>
      <w:r>
        <w:rPr/>
        <w:t>“</w:t>
      </w:r>
      <w:r>
        <w:rPr/>
        <w:t>57.  The annual dollar limits should include annual amounts funded in current rates, plus the annual amounts recorded in the balancing account of each respondent utility, for total interruptible program costs, and new costs implementing changes to curtailment priorities.</w:t>
      </w:r>
    </w:p>
    <w:p>
      <w:pPr>
        <w:pStyle w:val="letter"/>
        <w:numPr>
          <w:ilvl w:val="0"/>
          <w:numId w:val="6"/>
        </w:numPr>
        <w:rPr/>
      </w:pPr>
      <w:r>
        <w:rPr/>
        <w:t>Ordering Paragraph 15 (as renumbered pursuant to D.01-04-009) is replaced with:</w:t>
      </w:r>
    </w:p>
    <w:p>
      <w:pPr>
        <w:pStyle w:val="quote"/>
        <w:ind w:start="1440" w:end="720"/>
        <w:rPr/>
      </w:pPr>
      <w:r>
        <w:rPr/>
        <w:t>“</w:t>
      </w:r>
      <w:r>
        <w:rPr/>
        <w:t>15.  Each respondent utility shall establish a balancing account consistent with the orders herein.  The balancing account shall record all dollars spent above funds authorized in current rates to implement any program, activity, study, or report ordered herein.  The accounting shall separately identify the cost and revenue associated with each program, activity, study or report (e.g., separately track costs and revenues for the new Base Interruptible Program, Voluntary Demand Response Program, each curtailment study, each report).  Each respondent utility may include interest on the balance.  The burden to demonstrate reasonableness for future cost recovery shall be on each respondent utility.  Each respondent utility shall implement the orders herein without delay consistent with its public utility obligations and responsibilities.</w:t>
      </w:r>
    </w:p>
    <w:p>
      <w:pPr>
        <w:pStyle w:val="letter"/>
        <w:numPr>
          <w:ilvl w:val="0"/>
          <w:numId w:val="6"/>
        </w:numPr>
        <w:rPr/>
      </w:pPr>
      <w:r>
        <w:rPr/>
        <w:t>The last sentence of Ordering Paragraph 16 is replaced with:</w:t>
      </w:r>
    </w:p>
    <w:p>
      <w:pPr>
        <w:pStyle w:val="quote"/>
        <w:ind w:start="1440" w:end="720"/>
        <w:rPr/>
      </w:pPr>
      <w:r>
        <w:rPr/>
        <w:t>“</w:t>
      </w:r>
      <w:r>
        <w:rPr/>
        <w:t>These dollars include amounts funded in current rates, and those recorded in the balancing account of each respondent utility.”</w:t>
      </w:r>
    </w:p>
    <w:p>
      <w:pPr>
        <w:pStyle w:val="num1"/>
        <w:numPr>
          <w:ilvl w:val="0"/>
          <w:numId w:val="4"/>
        </w:numPr>
        <w:ind w:firstLine="360" w:start="0" w:end="0"/>
        <w:rPr/>
      </w:pPr>
      <w:r>
        <w:rPr/>
        <w:t>Within five days of the date of this order, respondent utilities PG&amp;E, Southern California Edison Company, and San Diego Gas &amp; Electric Company shall each file and serve an advice letter with revised tariffs.  The advice letters with revised tariffs shall implement the directions in this order, including amending each utility’s Preliminary Statement to create an ILPIC Balancing Account.  Each advice letter with tariffs shall be in compliance with General Order 96-A.  The advice letters and tariffs shall become effective five days after filing, unless suspended by the Energy Division Director, with the ILPIC Balancing Accounts replacing the memorandum accounts initially adopted in D.01-04-006, and the ILPIC Balancing Accounts becoming effective the date the memorandum accounts initially adopted in D.01-04-006 became effective.  The Energy Division Director may require a respondent utility to amend its advice letter and tariffs to comply with the orders herein.</w:t>
      </w:r>
    </w:p>
    <w:p>
      <w:pPr>
        <w:pStyle w:val="num1"/>
        <w:numPr>
          <w:ilvl w:val="0"/>
          <w:numId w:val="4"/>
        </w:numPr>
        <w:ind w:firstLine="360" w:start="0" w:end="0"/>
        <w:rPr/>
      </w:pPr>
      <w:r>
        <w:rPr/>
        <w:t>The period for public review and comment on the draft decision is reduced, pursuant to Rule 77.7(f)(9) of the Commission’s Rules of Practice and Procedure.</w:t>
      </w:r>
    </w:p>
    <w:p>
      <w:pPr>
        <w:pStyle w:val="num1"/>
        <w:numPr>
          <w:ilvl w:val="0"/>
          <w:numId w:val="4"/>
        </w:numPr>
        <w:ind w:firstLine="360" w:start="0" w:end="0"/>
        <w:rPr/>
      </w:pPr>
      <w:r>
        <w:rPr/>
        <w:t>This rulemaking proceeding remains open.</w:t>
      </w:r>
    </w:p>
    <w:p>
      <w:pPr>
        <w:pStyle w:val="standard"/>
        <w:rPr/>
      </w:pPr>
      <w:r>
        <w:rPr/>
        <w:t>This order is effective today.</w:t>
      </w:r>
    </w:p>
    <w:p>
      <w:pPr>
        <w:pStyle w:val="standard"/>
        <w:rPr/>
      </w:pPr>
      <w:r>
        <w:rPr/>
        <w:t xml:space="preserve">Dated </w:t>
      </w:r>
      <w:r>
        <w:rPr>
          <w:u w:val="single"/>
        </w:rPr>
        <w:tab/>
        <w:tab/>
        <w:tab/>
        <w:tab/>
        <w:tab/>
      </w:r>
      <w:r>
        <w:rPr/>
        <w:t>, at San Francisco, California.</w:t>
      </w:r>
    </w:p>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6"/>
      </w:rPr>
    </w:pPr>
    <w:r>
      <w:rPr>
        <w:rFonts w:eastAsia="Palatino"/>
        <w:sz w:val="16"/>
      </w:rPr>
      <w:t xml:space="preserve">                    </w:t>
    </w:r>
    <w:r>
      <w:rPr>
        <w:sz w:val="16"/>
      </w:rPr>
      <w:t>98142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98128</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98128</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On May 4, 2001, applications for rehearing of D.01-04-006 were filed by Southern California Edison Company (SCE) and San Diego Gas &amp; Electric Company (SDG&amp;E).  Among other things, applicants raise issues about funding of programs adopted in D.01-04-006.  This decision in no way prejudges the disposition of the applications for rehearing.</w:t>
      </w:r>
    </w:p>
  </w:footnote>
  <w:footnote w:id="3">
    <w:p>
      <w:pPr>
        <w:pStyle w:val="FootnoteText"/>
        <w:spacing w:before="0" w:after="240"/>
        <w:rPr/>
      </w:pPr>
      <w:r>
        <w:rPr>
          <w:rStyle w:val="FootnoteCharacters"/>
        </w:rPr>
        <w:footnoteRef/>
      </w:r>
      <w:r>
        <w:rPr/>
        <w:t xml:space="preserve">  </w:t>
      </w:r>
      <w:r>
        <w:rPr/>
        <w:t>D.01-04-006, Ordering Paragraph 15, as renumbered pursuant to D.01-04-009.</w:t>
      </w:r>
    </w:p>
  </w:footnote>
  <w:footnote w:id="4">
    <w:p>
      <w:pPr>
        <w:pStyle w:val="FootnoteText"/>
        <w:spacing w:before="0" w:after="240"/>
        <w:rPr/>
      </w:pPr>
      <w:r>
        <w:rPr>
          <w:rStyle w:val="FootnoteCharacters"/>
        </w:rPr>
        <w:footnoteRef/>
      </w:r>
      <w:r>
        <w:rPr/>
        <w:t xml:space="preserve"> </w:t>
      </w:r>
      <w:r>
        <w:rPr/>
        <w:t>SCE’s surcharge might be $0.001/kWh ($275 million capped expenditures less $186 million in current rates, or $89 million, divided by 83.78 billion kWh).  (Sources: May 4, 2001 application for rehearing, page 22; D.01-05-064, mimeo., page 16).  PG&amp;E’s surcharge might be $0.0004/kWh (up to $33 million divided by 82 billion kWh.)  (Sources: April 30, 2001 emergency petition for modification, page 2; D.01-05-064, mimeo., page 16 with $2.46 billion divided by $0.03/kWh).</w:t>
      </w:r>
    </w:p>
  </w:footnote>
  <w:footnote w:id="5">
    <w:p>
      <w:pPr>
        <w:pStyle w:val="FootnoteText"/>
        <w:spacing w:before="0" w:after="240"/>
        <w:rPr/>
      </w:pPr>
      <w:r>
        <w:rPr>
          <w:rStyle w:val="FootnoteCharacters"/>
        </w:rPr>
        <w:footnoteRef/>
      </w:r>
      <w:r>
        <w:rPr/>
        <w:t xml:space="preserve">  </w:t>
      </w:r>
      <w:r>
        <w:rPr/>
        <w:t>April 2, 2001 Reply Comments of San Diego Gas &amp; Electric Company on the March 16, 2001 Draft Decision of Commissioner Wood, page 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lvlText w:val="%1."/>
      <w:lvlJc w:val="start"/>
      <w:pPr>
        <w:tabs>
          <w:tab w:val="num" w:pos="0"/>
        </w:tabs>
        <w:ind w:start="0" w:hanging="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Letter"/>
      <w:lvlText w:val="%1."/>
      <w:lvlJc w:val="start"/>
      <w:pPr>
        <w:tabs>
          <w:tab w:val="num" w:pos="0"/>
        </w:tabs>
        <w:ind w:start="0" w:hanging="0"/>
      </w:pPr>
    </w:lvl>
  </w:abstractNum>
  <w:abstractNum w:abstractNumId="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5"/>
      </w:numPr>
      <w:spacing w:before="120" w:after="12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12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7"/>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8"/>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44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ind w:firstLine="3600" w:start="0" w:end="0"/>
    </w:pPr>
    <w:rPr/>
  </w:style>
  <w:style w:type="paragraph" w:styleId="dummy">
    <w:name w:val="dummy"/>
    <w:basedOn w:val="Heading1"/>
    <w:qFormat/>
    <w:pPr>
      <w:numPr>
        <w:ilvl w:val="0"/>
        <w:numId w:val="5"/>
      </w:numPr>
      <w:outlineLvl w:val="9"/>
    </w:pPr>
    <w:rPr/>
  </w:style>
  <w:style w:type="paragraph" w:styleId="BodyText2">
    <w:name w:val="Body Text 2"/>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544" w:leader="none"/>
        <w:tab w:val="right" w:pos="11088"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hyperlink" Target="mailto:bwm@cpuc.ca.gov)" TargetMode="External"/><Relationship Id="rId5" Type="http://schemas.openxmlformats.org/officeDocument/2006/relationships/hyperlink" Target="mailto:jol@cpuc.ca.gov"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Decision-S 7-24-00</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2001-05-17T18:23:00Z</dcterms:created>
  <dc:creator>Erlinda A. Pulmano</dc:creator>
  <dc:description/>
  <dc:language>en-CA</dc:language>
  <cp:lastModifiedBy>Erlinda A. Pulmano</cp:lastModifiedBy>
  <cp:lastPrinted>2001-05-18T13:19:00Z</cp:lastPrinted>
  <dcterms:modified xsi:type="dcterms:W3CDTF">2001-05-18T18:40:00Z</dcterms:modified>
  <cp:revision>11</cp:revision>
  <dc:subject/>
  <dc:title>Decision 			</dc:title>
</cp:coreProperties>
</file>