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CXW/BWM/t94   5/2/2001</w:t>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pStyle w:val="Normal"/>
        <w:suppressAutoHyphens w:val="true"/>
        <w:rPr/>
      </w:pPr>
      <w:r>
        <w:rPr/>
      </w:r>
    </w:p>
    <w:p>
      <w:pPr>
        <w:pStyle w:val="main"/>
        <w:rPr/>
      </w:pPr>
      <w:r>
        <w:rPr/>
        <w:t xml:space="preserve">PRESIDING OFFICER AND ASSIGNED COMMISSIONER’S </w:t>
      </w:r>
    </w:p>
    <w:p>
      <w:pPr>
        <w:pStyle w:val="main"/>
        <w:rPr/>
      </w:pPr>
      <w:r>
        <w:rPr/>
        <w:t xml:space="preserve">RULING ON BACKUP GENERATOR DATA FROM </w:t>
      </w:r>
    </w:p>
    <w:p>
      <w:pPr>
        <w:pStyle w:val="main"/>
        <w:rPr/>
      </w:pPr>
      <w:r>
        <w:rPr/>
        <w:t>PACIFIC GAS AND ELECTRIC COMPANY</w:t>
      </w:r>
    </w:p>
    <w:p>
      <w:pPr>
        <w:pStyle w:val="Normal"/>
        <w:suppressAutoHyphens w:val="true"/>
        <w:rPr/>
      </w:pPr>
      <w:r>
        <w:rPr/>
      </w:r>
    </w:p>
    <w:p>
      <w:pPr>
        <w:pStyle w:val="standard"/>
        <w:ind w:hanging="0" w:end="0"/>
        <w:rPr>
          <w:b/>
        </w:rPr>
      </w:pPr>
      <w:r>
        <w:rPr>
          <w:b/>
        </w:rPr>
        <w:t>1.  Summary</w:t>
      </w:r>
    </w:p>
    <w:p>
      <w:pPr>
        <w:pStyle w:val="standard"/>
        <w:rPr/>
      </w:pPr>
      <w:r>
        <w:rPr/>
        <w:t xml:space="preserve">Pacific Gas and Electric Company shall provide limited, specific data to the Commission, which the Commission will in turn provide to the California Energy Commission, under terms and conditions stated herein.  Parties may file and serve comments and reply comments as provided herein.  </w:t>
      </w:r>
    </w:p>
    <w:p>
      <w:pPr>
        <w:pStyle w:val="standard"/>
        <w:ind w:hanging="0" w:end="0"/>
        <w:rPr>
          <w:b/>
        </w:rPr>
      </w:pPr>
      <w:r>
        <w:rPr>
          <w:b/>
        </w:rPr>
        <w:t>2.  Background</w:t>
      </w:r>
    </w:p>
    <w:p>
      <w:pPr>
        <w:pStyle w:val="standard"/>
        <w:rPr/>
      </w:pPr>
      <w:r>
        <w:rPr/>
        <w:t xml:space="preserve">By letter dated April 17, 2001, Commissioner Arthur H. Rosenfeld of the California Energy Commission (CEC) asks for assistance in obtaining backup generation (BUG) data from Pacific Gas and Electric Company (PG&amp;E).  (See Attachment A.)  Commissioner Rosenfeld states that the desired information has been successfully obtained from air quality management districts (AQMD), with the exception of the Bay Area AQMD.  The Bay Area AQMD exempts BUGs from the permitting process if certain minimal requirements are met, according to the CEC, making the information unavailable.  Nonetheless, the CEC understands that the Rate Group within PG&amp;E has the information the CEC seeks.  The CEC states that PG&amp;E declines to provide the information to the CEC, however, citing Public Utilities Code Section 394.4(a).   </w:t>
      </w:r>
    </w:p>
    <w:p>
      <w:pPr>
        <w:pStyle w:val="standard"/>
        <w:ind w:hanging="0" w:end="0"/>
        <w:rPr>
          <w:b/>
        </w:rPr>
      </w:pPr>
      <w:r>
        <w:rPr>
          <w:b/>
        </w:rPr>
        <w:t>3.  Discussion</w:t>
      </w:r>
    </w:p>
    <w:p>
      <w:pPr>
        <w:pStyle w:val="standard"/>
        <w:rPr/>
      </w:pPr>
      <w:r>
        <w:rPr/>
        <w:t xml:space="preserve">The CEC states a need to obtain confidential information through Commission authority that the CEC has determined it cannot obtain under its own authority.  The Commission seeks to cooperate with the CEC in exploring all reasonable methods to address the current electricity crisis.  PG&amp;E does not express any objection to providing the requested data, only a concern about its release to the public.  </w:t>
      </w:r>
    </w:p>
    <w:p>
      <w:pPr>
        <w:pStyle w:val="standard"/>
        <w:rPr/>
      </w:pPr>
      <w:r>
        <w:rPr/>
        <w:t xml:space="preserve">The CEC clearly needs the requested information to assess the feasibility of deploying BUGs.  Release of this information to the public at large, however, might compromise customer confidentiality.  Limited release of otherwise confidential information has been previously authorized in this proceeding, and may be used as a model here.  (See Rulings dated February 6, 2001, and March 28, 2001.)  On balance, the public interest is best served by limited, conditional release of information to the CEC as described below. </w:t>
      </w:r>
    </w:p>
    <w:p>
      <w:pPr>
        <w:pStyle w:val="standard"/>
        <w:rPr/>
      </w:pPr>
      <w:r>
        <w:rPr/>
        <w:t xml:space="preserve">To accomplish this, PG&amp;E will provide data to the Commission consistent with the ordering paragraphs.  Further, parties may file and serve comments and reply comments on the need and desirability of limited, conditional release of this data, so that I may have the benefit of a more complete understanding of any relevant issues before its release to the CEC.  I will review the data to ensure that it is within the scope of this ruling.  I will also review comments and reply comments, if any.  Absent a further order to the contrary, however, I authorize release of the data by the Energy Division Director to CEC Commissioner Rosenfeld on the condition that the CEC not further release this information without prior written approval of this Commission.  </w:t>
      </w:r>
    </w:p>
    <w:p>
      <w:pPr>
        <w:pStyle w:val="standard"/>
        <w:rPr/>
      </w:pPr>
      <w:r>
        <w:rPr>
          <w:b/>
        </w:rPr>
        <w:t>IT IS RULED</w:t>
      </w:r>
      <w:r>
        <w:rPr/>
        <w:t xml:space="preserve"> that:</w:t>
      </w:r>
    </w:p>
    <w:p>
      <w:pPr>
        <w:pStyle w:val="num1"/>
        <w:numPr>
          <w:ilvl w:val="0"/>
          <w:numId w:val="2"/>
        </w:numPr>
        <w:rPr/>
      </w:pPr>
      <w:r>
        <w:rPr/>
        <w:t>Within 10 days of today, Pacific Gas &amp; Electric Company (PG&amp;E) shall provide to the Energy Division Director, the Administrative Law Judge, and me:</w:t>
      </w:r>
    </w:p>
    <w:p>
      <w:pPr>
        <w:pStyle w:val="standard"/>
        <w:spacing w:lineRule="auto" w:line="240"/>
        <w:ind w:hanging="360" w:start="1440" w:end="0"/>
        <w:rPr/>
      </w:pPr>
      <w:r>
        <w:rPr/>
        <w:t>a.</w:t>
        <w:tab/>
        <w:t>An electronic copy and hardcopy of the PG&amp;E Rates Group database containing the information sought by the California Energy Commission (CEC) in the letter dated April 17, 2001.  (See Attachment A).</w:t>
      </w:r>
    </w:p>
    <w:p>
      <w:pPr>
        <w:pStyle w:val="standard"/>
        <w:spacing w:lineRule="auto" w:line="240"/>
        <w:ind w:hanging="360" w:start="1440" w:end="0"/>
        <w:rPr/>
      </w:pPr>
      <w:r>
        <w:rPr/>
      </w:r>
    </w:p>
    <w:p>
      <w:pPr>
        <w:pStyle w:val="standard"/>
        <w:spacing w:lineRule="auto" w:line="240"/>
        <w:ind w:hanging="360" w:start="1440" w:end="0"/>
        <w:rPr/>
      </w:pPr>
      <w:r>
        <w:rPr/>
        <w:t xml:space="preserve">b.  In particular, the requested information shall include backup generator (BUG) data for the Bay Area, and ideally include for each BUG: owner, address, engine manufacturer and model, engine rating, generator capability, other engine characteristics such as design type, age, emissions, and permit limitations, with unit sizes greater than 300 kilowatts being the primary focus.  </w:t>
      </w:r>
    </w:p>
    <w:p>
      <w:pPr>
        <w:pStyle w:val="standard"/>
        <w:spacing w:lineRule="auto" w:line="240"/>
        <w:ind w:hanging="360" w:start="1440" w:end="0"/>
        <w:rPr/>
      </w:pPr>
      <w:r>
        <w:rPr/>
      </w:r>
    </w:p>
    <w:p>
      <w:pPr>
        <w:pStyle w:val="num1"/>
        <w:numPr>
          <w:ilvl w:val="0"/>
          <w:numId w:val="2"/>
        </w:numPr>
        <w:rPr/>
      </w:pPr>
      <w:r>
        <w:rPr/>
        <w:t xml:space="preserve">PG&amp;E shall clearly identify and mark any data for which it holds and asserts a privilege against disclosure pursuant to one or more statutory privileges against disclosure set forth in the Evidence Code or other provisions of law. PG&amp;E must both identify the privilege and explain why the data for which confidential treatment is desired meets each condition for the assertion of the privilege. </w:t>
      </w:r>
    </w:p>
    <w:p>
      <w:pPr>
        <w:pStyle w:val="standard"/>
        <w:rPr/>
      </w:pPr>
      <w:r>
        <w:rPr/>
        <w:t xml:space="preserve">PG&amp;E shall similarly identify and mark any data that it believes is subject to a privilege or exemption from disclosure that may be exercised by the Commission. For the later class of data, PG&amp;E must both specifically identify the statutory privilege or exemption it believes may be exercised by the Commission, and explain why the public interest in nondisclosure of such data clearly outweighs the public interest in disclosure. Data not so marked shall be treated as information available to the public. </w:t>
      </w:r>
    </w:p>
    <w:p>
      <w:pPr>
        <w:pStyle w:val="num1"/>
        <w:numPr>
          <w:ilvl w:val="0"/>
          <w:numId w:val="2"/>
        </w:numPr>
        <w:rPr/>
      </w:pPr>
      <w:r>
        <w:rPr/>
        <w:t xml:space="preserve">Parties may file and serve comments and reply comments on the Commission’s collection of this data from PG&amp;E, and its conditional release to the CEC.  Comments shall be filed and served within 5 days of the date of this ruling, and reply comments shall be filed and served within 3 days of the date comments are filed and served.  </w:t>
      </w:r>
    </w:p>
    <w:p>
      <w:pPr>
        <w:pStyle w:val="num1"/>
        <w:numPr>
          <w:ilvl w:val="0"/>
          <w:numId w:val="2"/>
        </w:numPr>
        <w:rPr/>
      </w:pPr>
      <w:r>
        <w:rPr/>
        <w:t xml:space="preserve">Upon confirmation that the data submitted pursuant to Ordering Paragraph 1 complies with this ruling, and unless I direct otherwise after review of comments and reply comments, the Energy Division Director shall transmit the data to Commissioner Rosenfeld of the CEC without unreasonable delay.  </w:t>
      </w:r>
    </w:p>
    <w:p>
      <w:pPr>
        <w:pStyle w:val="num1"/>
        <w:numPr>
          <w:ilvl w:val="0"/>
          <w:numId w:val="2"/>
        </w:numPr>
        <w:rPr/>
      </w:pPr>
      <w:r>
        <w:rPr/>
        <w:t xml:space="preserve">Release of this data to the CEC is under the condition that the CEC treat as confidential and proprietary any data that is marked submitted to the Commission as confidential and proprietary as outlined in the above second ruling.  Release of the data to the CEC is on the condition that the data not be used for any purposes other than those stated by the CEC in its April 17, 2001 letter.  Further, release of the data is on the condition that it be used only within and by the CEC.  This data shall not be further disclosed by the CEC to any other party or person without the prior written consent of the Commission or the Assigned Commissioner.  Any request by the CEC to release this information shall be filed and served by pleading, with responses due pursuant to Rule 45(f) of the Commission’s Rules of Practice and Procedure.  In exceptional circumstances, the CEC may seek accelerated consideration of disclosure issues.  Release of any protected data to the CEC is under the further condition that the Commission retrained ongoing unlimited jurisdiction over the data and its use, even after this proceeding is closed.  These conditions attach to any release of the data beyond the CEC, upon the written grant of a pleading filed and served by CEC to release the data, and attach to any party or person who obtains the data.  Any legal process demand on CEC for this data shall be referred to the Commission by filing and serving a pleading, and the data shall not be released absent grant of the pleading.  Any violation of the terms and conditions of this ruling by any person or party is subject to all remedies provided in the Public Utilities Code, including but not limited to Pub. Util. Code §  2113.  Further, publication or release of this data by the CEC absent the above conditions is only on the further condition that the data is published or released in an aggregate form, in such manner that the protection permitted by any relevant section of the Public Utilities Code, General Order or Commission decision is not compromised or violated.  </w:t>
      </w:r>
    </w:p>
    <w:p>
      <w:pPr>
        <w:pStyle w:val="standard"/>
        <w:rPr/>
      </w:pPr>
      <w:r>
        <w:rPr/>
        <w:t>Dated May 2, 2001, at San Francisco, California.</w:t>
      </w:r>
    </w:p>
    <w:p>
      <w:pPr>
        <w:pStyle w:val="Normal"/>
        <w:rPr/>
      </w:pPr>
      <w:r>
        <w:rPr/>
      </w:r>
    </w:p>
    <w:p>
      <w:pPr>
        <w:pStyle w:val="Header"/>
        <w:widowControl/>
        <w:tabs>
          <w:tab w:val="clear" w:pos="4320"/>
          <w:tab w:val="clear" w:pos="8640"/>
        </w:tabs>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CARL WOOD</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Carl Wood</w:t>
            </w:r>
          </w:p>
          <w:p>
            <w:pPr>
              <w:pStyle w:val="Normal"/>
              <w:jc w:val="center"/>
              <w:rPr/>
            </w:pPr>
            <w:r>
              <w:rPr/>
              <w:t>Presiding Officer</w:t>
            </w:r>
          </w:p>
          <w:p>
            <w:pPr>
              <w:pStyle w:val="Normal"/>
              <w:jc w:val="center"/>
              <w:rPr/>
            </w:pPr>
            <w:r>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standard"/>
        <w:rPr/>
      </w:pPr>
      <w:r>
        <w:rPr/>
        <w:t>I certify that I have by both mail and by electronic mail, to the parties to which an electronic mail address has been provided, this day served a true copy of the original attached Presiding Officer and Assigned Commissioner’s Ruling on Backup Generator Data from Pacific Gas and Electric Company on all parties of record in this proceeding or their attorneys of record.</w:t>
      </w:r>
    </w:p>
    <w:p>
      <w:pPr>
        <w:pStyle w:val="standard"/>
        <w:rPr/>
      </w:pPr>
      <w:r>
        <w:rPr/>
        <w:t>Dated May 2,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Footer"/>
              <w:tabs>
                <w:tab w:val="clear" w:pos="4320"/>
                <w:tab w:val="clear" w:pos="8640"/>
              </w:tabs>
              <w:rPr/>
            </w:pPr>
            <w:r>
              <w:rPr/>
              <w:t>/s/   GABY L. SUSANTO</w:t>
            </w:r>
          </w:p>
        </w:tc>
      </w:tr>
      <w:tr>
        <w:trPr/>
        <w:tc>
          <w:tcPr>
            <w:tcW w:w="3420" w:type="dxa"/>
            <w:tcBorders/>
          </w:tcPr>
          <w:p>
            <w:pPr>
              <w:pStyle w:val="Footer"/>
              <w:tabs>
                <w:tab w:val="clear" w:pos="4320"/>
                <w:tab w:val="clear" w:pos="8640"/>
              </w:tabs>
              <w:rPr/>
            </w:pPr>
            <w:r>
              <w:rPr/>
              <w:t>Gaby L. Susanto</w:t>
            </w:r>
          </w:p>
        </w:tc>
      </w:tr>
    </w:tbl>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spacing w:before="120" w:after="120"/>
        <w:ind w:start="1440" w:end="1440"/>
        <w:rPr/>
      </w:pPr>
      <w:r>
        <w:rPr/>
        <w:t>* * * * * * * * * * * * * * * * * * * * * * * * * * * * * * * * * * * * * * *</w:t>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BlockText"/>
        <w:rPr>
          <w:sz w:val="26"/>
        </w:rPr>
      </w:pPr>
      <w:r>
        <w:rPr>
          <w:sz w:val="26"/>
        </w:rPr>
        <w:t>If specialized accommodations for the disabled are needed, e.g., sign language interpreters, those making the arrangements must call the Public Advisor at (415) 703</w:t>
        <w:noBreakHyphen/>
        <w:t>2074, TTY 1</w:t>
        <w:noBreakHyphen/>
        <w:t>866</w:t>
        <w:noBreakHyphen/>
        <w:t>836</w:t>
        <w:noBreakHyphen/>
        <w:t>7825 or (415) 703</w:t>
        <w:noBreakHyphen/>
        <w:t>5282 at least three working days in advance of the event.</w:t>
      </w:r>
    </w:p>
    <w:p>
      <w:pPr>
        <w:pStyle w:val="BlockText"/>
        <w:ind w:start="0" w:end="0"/>
        <w:jc w:val="center"/>
        <w:rPr>
          <w:sz w:val="26"/>
        </w:rPr>
      </w:pPr>
      <w:r>
        <w:rPr>
          <w:sz w:val="26"/>
        </w:rPr>
        <w:t>[ON CEC LETTERHEAD]</w:t>
      </w:r>
    </w:p>
    <w:p>
      <w:pPr>
        <w:pStyle w:val="BlockText"/>
        <w:ind w:start="0" w:end="1440"/>
        <w:rPr>
          <w:sz w:val="26"/>
        </w:rPr>
      </w:pPr>
      <w:r>
        <w:rPr>
          <w:sz w:val="26"/>
        </w:rPr>
      </w:r>
    </w:p>
    <w:p>
      <w:pPr>
        <w:pStyle w:val="BlockText"/>
        <w:ind w:start="0" w:end="0"/>
        <w:jc w:val="center"/>
        <w:rPr>
          <w:rFonts w:ascii="Times New Roman" w:hAnsi="Times New Roman" w:cs="Times New Roman"/>
        </w:rPr>
      </w:pPr>
      <w:r>
        <w:rPr>
          <w:rFonts w:cs="Times New Roman" w:ascii="Times New Roman" w:hAnsi="Times New Roman"/>
        </w:rPr>
        <w:t>April 17, 2001</w:t>
      </w:r>
    </w:p>
    <w:p>
      <w:pPr>
        <w:pStyle w:val="BlockText"/>
        <w:ind w:start="0" w:end="1440"/>
        <w:jc w:val="center"/>
        <w:rPr>
          <w:rFonts w:ascii="Times New Roman" w:hAnsi="Times New Roman" w:cs="Times New Roman"/>
        </w:rPr>
      </w:pPr>
      <w:r>
        <w:rPr>
          <w:rFonts w:cs="Times New Roman" w:ascii="Times New Roman" w:hAnsi="Times New Roman"/>
        </w:rPr>
      </w:r>
    </w:p>
    <w:p>
      <w:pPr>
        <w:pStyle w:val="Normal"/>
        <w:tabs>
          <w:tab w:val="clear" w:pos="720"/>
          <w:tab w:val="left" w:pos="468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4680" w:leader="none"/>
        </w:tabs>
        <w:ind w:end="1440"/>
        <w:rPr>
          <w:rFonts w:ascii="Times New Roman" w:hAnsi="Times New Roman" w:cs="Times New Roman"/>
          <w:sz w:val="24"/>
        </w:rPr>
      </w:pPr>
      <w:r>
        <w:rPr>
          <w:rFonts w:cs="Times New Roman" w:ascii="Times New Roman" w:hAnsi="Times New Roman"/>
          <w:sz w:val="24"/>
        </w:rPr>
      </w:r>
    </w:p>
    <w:p>
      <w:pPr>
        <w:pStyle w:val="AddressandClose"/>
        <w:ind w:end="1440"/>
        <w:rPr/>
      </w:pPr>
      <w:r>
        <w:rPr/>
        <w:t xml:space="preserve">Commissioner Carl Wood </w:t>
      </w:r>
    </w:p>
    <w:p>
      <w:pPr>
        <w:pStyle w:val="AddressandClose"/>
        <w:ind w:end="1440"/>
        <w:rPr/>
      </w:pPr>
      <w:r>
        <w:rPr/>
        <w:t>California Public Utilities Commission</w:t>
      </w:r>
    </w:p>
    <w:p>
      <w:pPr>
        <w:pStyle w:val="AddressandClose"/>
        <w:ind w:end="1440"/>
        <w:rPr/>
      </w:pPr>
      <w:r>
        <w:rPr/>
        <w:t>505 Van Ness Avenue</w:t>
      </w:r>
    </w:p>
    <w:p>
      <w:pPr>
        <w:pStyle w:val="AddressandClose"/>
        <w:ind w:end="1440"/>
        <w:rPr/>
      </w:pPr>
      <w:r>
        <w:rPr/>
        <w:t>San Francisco, California  94102</w:t>
      </w:r>
    </w:p>
    <w:p>
      <w:pPr>
        <w:pStyle w:val="AddressandClose"/>
        <w:ind w:end="1440"/>
        <w:rPr/>
      </w:pPr>
      <w:r>
        <w:rPr/>
      </w:r>
    </w:p>
    <w:p>
      <w:pPr>
        <w:pStyle w:val="Normal"/>
        <w:ind w:end="1440"/>
        <w:rPr>
          <w:rFonts w:ascii="Times New Roman" w:hAnsi="Times New Roman" w:cs="Times New Roman"/>
          <w:sz w:val="24"/>
        </w:rPr>
      </w:pPr>
      <w:r>
        <w:rPr>
          <w:rFonts w:cs="Times New Roman" w:ascii="Times New Roman" w:hAnsi="Times New Roman"/>
          <w:sz w:val="24"/>
        </w:rPr>
        <w:t>Dear Commissioner Wood:</w:t>
      </w:r>
    </w:p>
    <w:p>
      <w:pPr>
        <w:pStyle w:val="Normal"/>
        <w:ind w:end="1440"/>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I am writing to request your assistance in obtaining backup generator (BUG) data from Pacific Gas and Electric Company (PG&amp;E).</w:t>
      </w:r>
    </w:p>
    <w:p>
      <w:pPr>
        <w:pStyle w:val="Normal"/>
        <w:ind w:firstLine="720" w:end="0"/>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The California Energy Commission (CEC) has initiated a study to evaluate the feasibility of deploying existing BUGs to help alleviate the state’s current electric power shortage.  The emphasis of this effort is the next year or two, i.e. the timeframe expected to pose the greatest challenges to meeting our statewide power needs.  The first task in this project is to develop a comprehensive inventory of the statewide BUGs population.  The information we are seeking on each BUG is relatively detailed and ideally includes owner, address, engine manufacturer and model, engine rating, generator capacity, other engine characteristics such as design type, age, emissions, and permit limitations.  Unit sizes greater than 300 kilowatts (kW) are the primary focus.</w:t>
      </w:r>
    </w:p>
    <w:p>
      <w:pPr>
        <w:pStyle w:val="Normal"/>
        <w:ind w:end="1440"/>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 xml:space="preserve">The primary source of BUG information has been the various air quality management districts (AQMD’s) throughout the state.  These districts routinely collect the information we are seeking as part of their normal permitting process.  For this reason, it has been relatively easy to obtain the information we need via a freedom of information request.  The districts have been extremely cooperative, and have gone out of their way to assist us.  In most cases, they have provided us with detailed spreadsheets containing the requested information.  In other cases, they have provided us access to their normally closed files so that we may extract the needed data. </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We have determined that the BUGs information we are seeking is not available for the Bay Area, one of the largest and most important regions of the state.  The reason for this is the unique permitting process in the Bay Area, which exempts BUGs from the permitting process if certain minimal requirements are met.</w:t>
      </w:r>
    </w:p>
    <w:p>
      <w:pPr>
        <w:pStyle w:val="Normal"/>
        <w:ind w:firstLine="720" w:end="0"/>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As part of the activities to determine alternative means to obtain the Bay Area data, it was discovered that the Rates Group within PG&amp;E has developed a database containing just the information we were seeking.  The group was contacted to inquire if their database could be made available to us for the benefit of our project.  PG&amp;E indicated that they were prevented from making this information available to the public because language contained Public Utility Code, Article 11, Section 394.4A.</w:t>
      </w:r>
    </w:p>
    <w:p>
      <w:pPr>
        <w:pStyle w:val="Normal"/>
        <w:ind w:end="1440"/>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 xml:space="preserve">The information contained in the PG&amp;E files on BUGs is critical to our conducting an assessment of the feasibility of using BUGs to help minimize rolling blackouts.  To this end, we are seeking your assistance in obtaining the PG&amp;E BUG database.  It is important to note that the information we are seeking from PG&amp;E is precisely the type of information that is part of the </w:t>
      </w:r>
    </w:p>
    <w:p>
      <w:pPr>
        <w:pStyle w:val="Normal"/>
        <w:rPr>
          <w:rFonts w:ascii="Times New Roman" w:hAnsi="Times New Roman" w:cs="Times New Roman"/>
          <w:sz w:val="24"/>
        </w:rPr>
      </w:pPr>
      <w:r>
        <w:rPr>
          <w:rFonts w:cs="Times New Roman" w:ascii="Times New Roman" w:hAnsi="Times New Roman"/>
          <w:sz w:val="24"/>
        </w:rPr>
        <w:t>public record at most of the air districts throughout the State.  The fact that no information on BUGs exists for the Bay Area is the result of the unique permitting process historically used for BUGs by the Bay Area AQMD.</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I would appreciate your immediate attention in addressing our request given the urgency of  evaluating viable short-term solutions to the energy crises.  If you have any questions or concerns, please contact me at (916) 654-4930 or Kelly Birkinshaw at (916) 654-4542.</w:t>
      </w:r>
    </w:p>
    <w:p>
      <w:pPr>
        <w:pStyle w:val="Normal"/>
        <w:rPr>
          <w:rFonts w:ascii="Times New Roman" w:hAnsi="Times New Roman" w:cs="Times New Roman"/>
          <w:sz w:val="24"/>
        </w:rPr>
      </w:pPr>
      <w:r>
        <w:rPr>
          <w:rFonts w:cs="Times New Roman" w:ascii="Times New Roman" w:hAnsi="Times New Roman"/>
          <w:sz w:val="24"/>
        </w:rPr>
      </w:r>
    </w:p>
    <w:p>
      <w:pPr>
        <w:pStyle w:val="AddressandClose"/>
        <w:tabs>
          <w:tab w:val="clear" w:pos="720"/>
          <w:tab w:val="left" w:pos="4680" w:leader="none"/>
        </w:tabs>
        <w:ind w:end="1440"/>
        <w:rPr>
          <w:rFonts w:ascii="Times New Roman" w:hAnsi="Times New Roman" w:cs="Times New Roman"/>
          <w:sz w:val="24"/>
        </w:rPr>
      </w:pPr>
      <w:r>
        <w:rPr>
          <w:rFonts w:cs="Times New Roman"/>
          <w:sz w:val="24"/>
        </w:rPr>
      </w:r>
    </w:p>
    <w:p>
      <w:pPr>
        <w:pStyle w:val="AddressandClose"/>
        <w:tabs>
          <w:tab w:val="clear" w:pos="720"/>
          <w:tab w:val="left" w:pos="4320" w:leader="none"/>
        </w:tabs>
        <w:ind w:end="1440"/>
        <w:rPr/>
      </w:pPr>
      <w:r>
        <w:rPr/>
        <w:tab/>
        <w:t>Sincerely,</w:t>
      </w:r>
    </w:p>
    <w:p>
      <w:pPr>
        <w:pStyle w:val="AddressandClose"/>
        <w:tabs>
          <w:tab w:val="clear" w:pos="720"/>
          <w:tab w:val="left" w:pos="4320" w:leader="none"/>
        </w:tabs>
        <w:ind w:end="1440"/>
        <w:rPr/>
      </w:pPr>
      <w:r>
        <w:rPr/>
      </w:r>
    </w:p>
    <w:p>
      <w:pPr>
        <w:pStyle w:val="AddressandClose"/>
        <w:tabs>
          <w:tab w:val="clear" w:pos="720"/>
          <w:tab w:val="left" w:pos="4320" w:leader="none"/>
        </w:tabs>
        <w:ind w:end="1440"/>
        <w:rPr/>
      </w:pPr>
      <w:r>
        <w:rPr/>
      </w:r>
    </w:p>
    <w:p>
      <w:pPr>
        <w:pStyle w:val="AddressandClose"/>
        <w:tabs>
          <w:tab w:val="clear" w:pos="720"/>
          <w:tab w:val="left" w:pos="3960" w:leader="none"/>
        </w:tabs>
        <w:ind w:end="1440"/>
        <w:rPr/>
      </w:pPr>
      <w:r>
        <w:rPr/>
        <w:tab/>
        <w:t>/s/  Arthur H. Rosenfeld</w:t>
      </w:r>
    </w:p>
    <w:p>
      <w:pPr>
        <w:pStyle w:val="AddressandClose"/>
        <w:numPr>
          <w:ilvl w:val="0"/>
          <w:numId w:val="0"/>
        </w:numPr>
        <w:tabs>
          <w:tab w:val="clear" w:pos="720"/>
          <w:tab w:val="left" w:pos="4320" w:leader="none"/>
        </w:tabs>
        <w:ind w:end="1440"/>
        <w:outlineLvl w:val="0"/>
        <w:rPr/>
      </w:pPr>
      <w:r>
        <w:rPr/>
        <w:tab/>
        <w:t>Arthur H. Rosenfeld</w:t>
      </w:r>
    </w:p>
    <w:p>
      <w:pPr>
        <w:pStyle w:val="AddressandClose"/>
        <w:numPr>
          <w:ilvl w:val="0"/>
          <w:numId w:val="0"/>
        </w:numPr>
        <w:tabs>
          <w:tab w:val="clear" w:pos="720"/>
          <w:tab w:val="left" w:pos="4320" w:leader="none"/>
        </w:tabs>
        <w:ind w:end="1440"/>
        <w:outlineLvl w:val="0"/>
        <w:rPr/>
      </w:pPr>
      <w:r>
        <w:rPr/>
        <w:tab/>
        <w:t>Commissioner</w:t>
      </w:r>
    </w:p>
    <w:p>
      <w:pPr>
        <w:pStyle w:val="AddressandClose"/>
        <w:numPr>
          <w:ilvl w:val="0"/>
          <w:numId w:val="0"/>
        </w:numPr>
        <w:ind w:end="1440"/>
        <w:outlineLvl w:val="0"/>
        <w:rPr/>
      </w:pPr>
      <w:r>
        <w:rPr/>
      </w:r>
    </w:p>
    <w:p>
      <w:pPr>
        <w:pStyle w:val="AddressandClose"/>
        <w:numPr>
          <w:ilvl w:val="0"/>
          <w:numId w:val="0"/>
        </w:numPr>
        <w:ind w:end="1440"/>
        <w:outlineLvl w:val="0"/>
        <w:rPr/>
      </w:pPr>
      <w:r>
        <w:rPr/>
      </w:r>
    </w:p>
    <w:p>
      <w:pPr>
        <w:pStyle w:val="AddressandClose"/>
        <w:ind w:end="1440"/>
        <w:rPr/>
      </w:pPr>
      <w:r>
        <w:rPr/>
        <w:t>cc: Jonathon Lakritz, Policy Advisor, Office of Commissioner Wood</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Monotype Sort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96156</w:t>
    </w:r>
  </w:p>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CXW/BWM/t94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CXW/BWM/t94 </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CXW/BWM/t94 </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CXW/BWM/t94 </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rFonts w:ascii="Arial" w:hAnsi="Arial" w:cs="Arial"/>
      <w:b/>
      <w:i w:val="false"/>
      <w:sz w:val="24"/>
      <w:u w:val="none"/>
    </w:rPr>
  </w:style>
  <w:style w:type="character" w:styleId="WW8Num2z0">
    <w:name w:val="WW8Num2z0"/>
    <w:qFormat/>
    <w:rPr>
      <w:rFonts w:ascii="Arial" w:hAnsi="Arial" w:cs="Arial"/>
      <w:b/>
      <w:i w:val="false"/>
      <w:sz w:val="24"/>
      <w:u w:val="none"/>
    </w:rPr>
  </w:style>
  <w:style w:type="character" w:styleId="WW8Num5z0">
    <w:name w:val="WW8Num5z0"/>
    <w:qFormat/>
    <w:rPr>
      <w:rFonts w:ascii="PALATINO" w:hAnsi="PALATINO" w:cs="PALATINO"/>
      <w:b w:val="false"/>
      <w:i w:val="false"/>
      <w:sz w:val="24"/>
      <w:u w:val="none"/>
    </w:rPr>
  </w:style>
  <w:style w:type="character" w:styleId="WW8Num6z0">
    <w:name w:val="WW8Num6z0"/>
    <w:qFormat/>
    <w:rPr>
      <w:rFonts w:ascii="PALATINO" w:hAnsi="PALATINO" w:cs="PALATINO"/>
      <w:b w:val="false"/>
      <w:i w:val="false"/>
      <w:sz w:val="24"/>
      <w:u w:val="none"/>
    </w:rPr>
  </w:style>
  <w:style w:type="character" w:styleId="WW8Num7z0">
    <w:name w:val="WW8Num7z0"/>
    <w:qFormat/>
    <w:rPr>
      <w:rFonts w:ascii="PALATINO" w:hAnsi="PALATINO" w:cs="PALATINO"/>
      <w:b w:val="false"/>
      <w:i w:val="false"/>
      <w:sz w:val="24"/>
      <w:u w:val="none"/>
    </w:rPr>
  </w:style>
  <w:style w:type="character" w:styleId="WW8Num10z0">
    <w:name w:val="WW8Num10z0"/>
    <w:qFormat/>
    <w:rPr>
      <w:rFonts w:ascii="Monotype Sorts" w:hAnsi="Monotype Sorts" w:cs="Monotype Sorts"/>
    </w:rPr>
  </w:style>
  <w:style w:type="character" w:styleId="WW8Num11z0">
    <w:name w:val="WW8Num11z0"/>
    <w:qFormat/>
    <w:rPr/>
  </w:style>
  <w:style w:type="character" w:styleId="WW8Num12z0">
    <w:name w:val="WW8Num12z0"/>
    <w:qFormat/>
    <w:rPr>
      <w:rFonts w:ascii="PALATINO" w:hAnsi="PALATINO" w:cs="PALATINO"/>
      <w:b w:val="false"/>
      <w:i w:val="false"/>
      <w:sz w:val="20"/>
      <w:u w:val="none"/>
    </w:rPr>
  </w:style>
  <w:style w:type="character" w:styleId="WW8Num13z0">
    <w:name w:val="WW8Num13z0"/>
    <w:qFormat/>
    <w:rPr>
      <w:rFonts w:ascii="Arial" w:hAnsi="Arial" w:cs="Arial"/>
      <w:b/>
      <w:i w:val="false"/>
      <w:sz w:val="24"/>
      <w:u w:val="none"/>
    </w:rPr>
  </w:style>
  <w:style w:type="character" w:styleId="WW8Num17z0">
    <w:name w:val="WW8Num17z0"/>
    <w:qFormat/>
    <w:rPr>
      <w:rFonts w:ascii="PALATINO" w:hAnsi="PALATINO" w:cs="PALATINO"/>
      <w:b w:val="false"/>
      <w:i w:val="false"/>
      <w:sz w:val="24"/>
      <w:u w:val="none"/>
    </w:rPr>
  </w:style>
  <w:style w:type="character" w:styleId="WW8Num21z0">
    <w:name w:val="WW8Num21z0"/>
    <w:qFormat/>
    <w:rPr>
      <w:rFonts w:ascii="PALATINO" w:hAnsi="PALATINO" w:cs="PALATINO"/>
      <w:b w:val="false"/>
      <w:i w:val="false"/>
      <w:sz w:val="20"/>
      <w:u w:val="none"/>
    </w:rPr>
  </w:style>
  <w:style w:type="character" w:styleId="WW8Num24z0">
    <w:name w:val="WW8Num24z0"/>
    <w:qFormat/>
    <w:rPr>
      <w:rFonts w:ascii="PALATINO" w:hAnsi="PALATINO" w:cs="PALATINO"/>
      <w:b w:val="false"/>
      <w:i w:val="false"/>
      <w:sz w:val="24"/>
      <w:u w:val="none"/>
    </w:rPr>
  </w:style>
  <w:style w:type="character" w:styleId="WW8Num25z0">
    <w:name w:val="WW8Num25z0"/>
    <w:qFormat/>
    <w:rPr>
      <w:rFonts w:ascii="PALATINO" w:hAnsi="PALATINO" w:cs="PALATINO"/>
      <w:b w:val="false"/>
      <w:i w:val="false"/>
      <w:sz w:val="24"/>
      <w:u w:val="none"/>
    </w:rPr>
  </w:style>
  <w:style w:type="character" w:styleId="WW8Num27z0">
    <w:name w:val="WW8Num27z0"/>
    <w:qFormat/>
    <w:rPr>
      <w:rFonts w:ascii="Arial" w:hAnsi="Arial" w:cs="Arial"/>
      <w:b/>
      <w:i w:val="false"/>
      <w:sz w:val="24"/>
      <w:u w:val="none"/>
    </w:rPr>
  </w:style>
  <w:style w:type="character" w:styleId="WW8Num28z0">
    <w:name w:val="WW8Num28z0"/>
    <w:qFormat/>
    <w:rPr>
      <w:rFonts w:ascii="Symbol" w:hAnsi="Symbol" w:cs="Symbol"/>
    </w:rPr>
  </w:style>
  <w:style w:type="character" w:styleId="WW8Num31z0">
    <w:name w:val="WW8Num31z0"/>
    <w:qFormat/>
    <w:rPr>
      <w:rFonts w:ascii="Times New Roman" w:hAnsi="Times New Roman" w:cs="Times New Roman"/>
      <w:b/>
      <w:i w:val="false"/>
      <w:sz w:val="20"/>
      <w:u w:val="single"/>
    </w:rPr>
  </w:style>
  <w:style w:type="character" w:styleId="WW8Num33z0">
    <w:name w:val="WW8Num33z0"/>
    <w:qFormat/>
    <w:rPr>
      <w:b/>
      <w:i w:val="false"/>
      <w:sz w:val="24"/>
      <w:u w:val="single"/>
    </w:rPr>
  </w:style>
  <w:style w:type="character" w:styleId="WW8Num37z0">
    <w:name w:val="WW8Num37z0"/>
    <w:qFormat/>
    <w:rPr>
      <w:b/>
      <w:i w:val="false"/>
      <w:sz w:val="24"/>
      <w:u w:val="single"/>
    </w:rPr>
  </w:style>
  <w:style w:type="character" w:styleId="WW8Num40z0">
    <w:name w:val="WW8Num40z0"/>
    <w:qFormat/>
    <w:rPr>
      <w:rFonts w:ascii="Arial" w:hAnsi="Arial" w:cs="Arial"/>
      <w:b/>
      <w:i w:val="false"/>
      <w:sz w:val="24"/>
      <w:u w:val="none"/>
    </w:rPr>
  </w:style>
  <w:style w:type="character" w:styleId="WW8Num41z0">
    <w:name w:val="WW8Num41z0"/>
    <w:qFormat/>
    <w:rPr>
      <w:rFonts w:ascii="Times New Roman" w:hAnsi="Times New Roman" w:cs="Times New Roman"/>
      <w:b w:val="false"/>
      <w:i w:val="false"/>
      <w:sz w:val="24"/>
      <w:u w:val="none"/>
    </w:rPr>
  </w:style>
  <w:style w:type="character" w:styleId="WW8Num42z0">
    <w:name w:val="WW8Num42z0"/>
    <w:qFormat/>
    <w:rPr>
      <w:rFonts w:ascii="Times New Roman" w:hAnsi="Times New Roman" w:cs="Times New Roman"/>
      <w:b/>
      <w:i w:val="false"/>
      <w:sz w:val="20"/>
      <w:u w:val="single"/>
    </w:rPr>
  </w:style>
  <w:style w:type="character" w:styleId="WW8Num43z0">
    <w:name w:val="WW8Num43z0"/>
    <w:qFormat/>
    <w:rPr>
      <w:rFonts w:ascii="Arial" w:hAnsi="Arial" w:cs="Arial"/>
      <w:b/>
      <w:i w:val="false"/>
      <w:sz w:val="24"/>
      <w:u w:val="none"/>
    </w:rPr>
  </w:style>
  <w:style w:type="character" w:styleId="WW8Num45z0">
    <w:name w:val="WW8Num45z0"/>
    <w:qFormat/>
    <w:rPr>
      <w:rFonts w:ascii="PALATINO" w:hAnsi="PALATINO" w:cs="PALATINO"/>
      <w:b w:val="false"/>
      <w:i w:val="false"/>
      <w:sz w:val="20"/>
      <w:u w:val="none"/>
    </w:rPr>
  </w:style>
  <w:style w:type="character" w:styleId="WW8Num51z0">
    <w:name w:val="WW8Num51z0"/>
    <w:qFormat/>
    <w:rPr/>
  </w:style>
  <w:style w:type="character" w:styleId="WW8Num52z0">
    <w:name w:val="WW8Num52z0"/>
    <w:qFormat/>
    <w:rPr>
      <w:b/>
      <w:i w:val="false"/>
      <w:sz w:val="24"/>
      <w:u w:val="single"/>
    </w:rPr>
  </w:style>
  <w:style w:type="character" w:styleId="WW8Num54z0">
    <w:name w:val="WW8Num54z0"/>
    <w:qFormat/>
    <w:rPr>
      <w:rFonts w:ascii="Arial" w:hAnsi="Arial" w:cs="Arial"/>
      <w:b/>
      <w:i w:val="false"/>
      <w:sz w:val="24"/>
      <w:u w:val="none"/>
    </w:rPr>
  </w:style>
  <w:style w:type="character" w:styleId="WW8Num56z0">
    <w:name w:val="WW8Num56z0"/>
    <w:qFormat/>
    <w:rPr>
      <w:rFonts w:ascii="Symbol" w:hAnsi="Symbol" w:cs="Symbol"/>
    </w:rPr>
  </w:style>
  <w:style w:type="character" w:styleId="WW8Num58z0">
    <w:name w:val="WW8Num58z0"/>
    <w:qFormat/>
    <w:rPr>
      <w:rFonts w:ascii="PALATINO" w:hAnsi="PALATINO" w:cs="PALATINO"/>
      <w:b w:val="false"/>
      <w:i w:val="false"/>
      <w:sz w:val="20"/>
      <w:u w:val="none"/>
    </w:rPr>
  </w:style>
  <w:style w:type="character" w:styleId="WW8Num59z0">
    <w:name w:val="WW8Num59z0"/>
    <w:qFormat/>
    <w:rPr>
      <w:rFonts w:ascii="Symbol" w:hAnsi="Symbol" w:cs="Symbol"/>
    </w:rPr>
  </w:style>
  <w:style w:type="character" w:styleId="WW8Num61z0">
    <w:name w:val="WW8Num61z0"/>
    <w:qFormat/>
    <w:rPr>
      <w:rFonts w:ascii="Arial" w:hAnsi="Arial" w:cs="Arial"/>
      <w:b/>
      <w:i w:val="false"/>
      <w:sz w:val="24"/>
      <w:u w:val="none"/>
    </w:rPr>
  </w:style>
  <w:style w:type="character" w:styleId="WW8Num64z0">
    <w:name w:val="WW8Num64z0"/>
    <w:qFormat/>
    <w:rPr>
      <w:rFonts w:ascii="PALATINO" w:hAnsi="PALATINO" w:cs="PALATINO"/>
      <w:b w:val="false"/>
      <w:i w:val="false"/>
      <w:sz w:val="24"/>
      <w:u w:val="none"/>
    </w:rPr>
  </w:style>
  <w:style w:type="character" w:styleId="WW8Num65z0">
    <w:name w:val="WW8Num65z0"/>
    <w:qFormat/>
    <w:rPr>
      <w:rFonts w:ascii="Times New Roman" w:hAnsi="Times New Roman" w:cs="Times New Roman"/>
      <w:b w:val="false"/>
      <w:i w:val="false"/>
      <w:sz w:val="24"/>
      <w:u w:val="none"/>
    </w:rPr>
  </w:style>
  <w:style w:type="character" w:styleId="WW8Num68z0">
    <w:name w:val="WW8Num68z0"/>
    <w:qFormat/>
    <w:rPr/>
  </w:style>
  <w:style w:type="character" w:styleId="WW8Num69z0">
    <w:name w:val="WW8Num69z0"/>
    <w:qFormat/>
    <w:rPr>
      <w:b/>
      <w:i w:val="false"/>
      <w:sz w:val="24"/>
      <w:u w:val="single"/>
    </w:rPr>
  </w:style>
  <w:style w:type="character" w:styleId="WW8Num70z0">
    <w:name w:val="WW8Num70z0"/>
    <w:qFormat/>
    <w:rPr>
      <w:rFonts w:ascii="Arial" w:hAnsi="Arial" w:cs="Arial"/>
      <w:b/>
      <w:i w:val="false"/>
      <w:sz w:val="24"/>
      <w:u w:val="none"/>
    </w:rPr>
  </w:style>
  <w:style w:type="character" w:styleId="WW8Num71z0">
    <w:name w:val="WW8Num71z0"/>
    <w:qFormat/>
    <w:rPr>
      <w:rFonts w:ascii="Arial" w:hAnsi="Arial" w:cs="Arial"/>
      <w:b/>
      <w:i w:val="false"/>
      <w:sz w:val="24"/>
      <w:u w:val="none"/>
    </w:rPr>
  </w:style>
  <w:style w:type="character" w:styleId="WW8Num75z0">
    <w:name w:val="WW8Num75z0"/>
    <w:qFormat/>
    <w:rPr>
      <w:rFonts w:ascii="PALATINO" w:hAnsi="PALATINO" w:cs="PALATINO"/>
      <w:b w:val="false"/>
      <w:i w:val="false"/>
      <w:sz w:val="24"/>
      <w:u w:val="none"/>
    </w:rPr>
  </w:style>
  <w:style w:type="character" w:styleId="WW8Num76z0">
    <w:name w:val="WW8Num76z0"/>
    <w:qFormat/>
    <w:rPr>
      <w:rFonts w:ascii="Times New Roman" w:hAnsi="Times New Roman" w:cs="Times New Roman"/>
      <w:b w:val="false"/>
      <w:i w:val="false"/>
      <w:sz w:val="24"/>
      <w:u w:val="none"/>
    </w:rPr>
  </w:style>
  <w:style w:type="character" w:styleId="WW8Num77z0">
    <w:name w:val="WW8Num77z0"/>
    <w:qFormat/>
    <w:rPr>
      <w:b/>
      <w:i w:val="false"/>
      <w:sz w:val="24"/>
      <w:u w:val="single"/>
    </w:rPr>
  </w:style>
  <w:style w:type="character" w:styleId="WW8Num79z0">
    <w:name w:val="WW8Num79z0"/>
    <w:qFormat/>
    <w:rPr/>
  </w:style>
  <w:style w:type="character" w:styleId="WW8Num80z0">
    <w:name w:val="WW8Num80z0"/>
    <w:qFormat/>
    <w:rPr/>
  </w:style>
  <w:style w:type="character" w:styleId="WW8Num83z0">
    <w:name w:val="WW8Num83z0"/>
    <w:qFormat/>
    <w:rPr/>
  </w:style>
  <w:style w:type="character" w:styleId="WW8Num87z0">
    <w:name w:val="WW8Num87z0"/>
    <w:qFormat/>
    <w:rPr>
      <w:rFonts w:ascii="Arial" w:hAnsi="Arial" w:cs="Arial"/>
      <w:b/>
      <w:i w:val="false"/>
      <w:sz w:val="24"/>
      <w:u w:val="none"/>
    </w:rPr>
  </w:style>
  <w:style w:type="character" w:styleId="WW8NumSt59z0">
    <w:name w:val="WW8NumSt59z0"/>
    <w:qFormat/>
    <w:rPr>
      <w:rFonts w:ascii="PALATINO" w:hAnsi="PALATINO" w:cs="PALATINO"/>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BodyText3">
    <w:name w:val="Body Text 3"/>
    <w:basedOn w:val="Normal"/>
    <w:qFormat/>
    <w:pPr>
      <w:tabs>
        <w:tab w:val="clear" w:pos="720"/>
        <w:tab w:val="left" w:pos="9540" w:leader="none"/>
      </w:tabs>
      <w:ind w:hanging="0" w:start="0" w:end="36"/>
    </w:pPr>
    <w:rPr>
      <w:color w:val="000000"/>
      <w:lang w:eastAsia="en-US"/>
    </w:rPr>
  </w:style>
  <w:style w:type="paragraph" w:styleId="BodyText2">
    <w:name w:val="Body Text 2"/>
    <w:basedOn w:val="Normal"/>
    <w:qFormat/>
    <w:pPr/>
    <w:rPr>
      <w:color w:val="000000"/>
      <w:lang w:eastAsia="en-US"/>
    </w:rPr>
  </w:style>
  <w:style w:type="paragraph" w:styleId="BodyTextIndent">
    <w:name w:val="Body Text Indent"/>
    <w:basedOn w:val="Normal"/>
    <w:pPr>
      <w:ind w:hanging="0" w:start="360" w:end="0"/>
    </w:pPr>
    <w:rPr>
      <w:color w:val="000000"/>
      <w:lang w:eastAsia="en-US"/>
    </w:rPr>
  </w:style>
  <w:style w:type="paragraph" w:styleId="BodyTextIndent3">
    <w:name w:val="Body Text Indent 3"/>
    <w:basedOn w:val="Normal"/>
    <w:qFormat/>
    <w:pPr>
      <w:ind w:hanging="540" w:start="900" w:end="0"/>
    </w:pPr>
    <w:rPr>
      <w:color w:val="000000"/>
      <w:lang w:eastAsia="en-US"/>
    </w:rPr>
  </w:style>
  <w:style w:type="paragraph" w:styleId="BodyTextIndent2">
    <w:name w:val="Body Text Indent 2"/>
    <w:basedOn w:val="Normal"/>
    <w:qFormat/>
    <w:pPr>
      <w:ind w:hanging="720" w:start="1440" w:end="0"/>
    </w:pPr>
    <w:rPr>
      <w:color w:val="000000"/>
      <w:lang w:eastAsia="en-US"/>
    </w:rPr>
  </w:style>
  <w:style w:type="paragraph" w:styleId="AddressandClose">
    <w:name w:val="Address and Close"/>
    <w:basedOn w:val="Normal"/>
    <w:qFormat/>
    <w:pPr>
      <w:keepNext w:val="true"/>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2001-04-24T19:31:00Z</dcterms:created>
  <dc:creator>Erlinda A. Pulmano</dc:creator>
  <dc:description/>
  <dc:language>en-CA</dc:language>
  <cp:lastModifiedBy>T94</cp:lastModifiedBy>
  <cp:lastPrinted>2001-05-02T08:30:00Z</cp:lastPrinted>
  <dcterms:modified xsi:type="dcterms:W3CDTF">2001-05-02T13:00:00Z</dcterms:modified>
  <cp:revision>30</cp:revision>
  <dc:subject/>
  <dc:title>BEFORE THE PUBLIC UTILITIES COMMISSION OF THE STATE OF CALIFORNIA</dc:title>
</cp:coreProperties>
</file>