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hanging="0" w:end="0"/>
        <w:rPr/>
      </w:pPr>
      <w:r>
        <w:rPr>
          <w:rFonts w:eastAsia="PALATINO"/>
        </w:rPr>
        <w:t xml:space="preserve"> </w:t>
      </w:r>
      <w:r>
        <w:rPr/>
        <w:t>BWM/sid  12/7/2000</w:t>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rPr/>
            </w:pPr>
            <w:r>
              <w:rPr/>
              <w:t>Order Instituting Rulemaking into the operation of interruptible load programs offered by Pacific Gas and Electric Company, San Diego Gas &amp; Electric Company, and Southern California Edison Company and the effect of these programs on energy prices, other demand responsiveness programs, and the reliability of the electric system.</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Rulemaking 00-10-002</w:t>
            </w:r>
          </w:p>
          <w:p>
            <w:pPr>
              <w:pStyle w:val="Normal"/>
              <w:jc w:val="center"/>
              <w:rPr/>
            </w:pPr>
            <w:r>
              <w:rPr/>
              <w:t>(Filed October 5, 2000)</w:t>
            </w:r>
          </w:p>
        </w:tc>
      </w:tr>
    </w:tbl>
    <w:p>
      <w:pPr>
        <w:pStyle w:val="Normal"/>
        <w:suppressAutoHyphens w:val="true"/>
        <w:rPr/>
      </w:pPr>
      <w:r>
        <w:rPr/>
      </w:r>
    </w:p>
    <w:p>
      <w:pPr>
        <w:pStyle w:val="Normal"/>
        <w:rPr/>
      </w:pPr>
      <w:r>
        <w:rPr/>
      </w:r>
    </w:p>
    <w:p>
      <w:pPr>
        <w:pStyle w:val="main"/>
        <w:rPr/>
      </w:pPr>
      <w:r>
        <w:rPr/>
        <w:t>ADMINISTRATIVE LAW JUDGE’S RULING</w:t>
      </w:r>
    </w:p>
    <w:p>
      <w:pPr>
        <w:pStyle w:val="main"/>
        <w:rPr/>
      </w:pPr>
      <w:r>
        <w:rPr/>
        <w:t xml:space="preserve">ON ADDITIONAL PROPOSALS AND COMMENTS, </w:t>
      </w:r>
    </w:p>
    <w:p>
      <w:pPr>
        <w:pStyle w:val="main"/>
        <w:rPr/>
      </w:pPr>
      <w:r>
        <w:rPr/>
        <w:t xml:space="preserve">PROCEDURAL MATTERS, AND </w:t>
      </w:r>
    </w:p>
    <w:p>
      <w:pPr>
        <w:pStyle w:val="main"/>
        <w:rPr/>
      </w:pPr>
      <w:r>
        <w:rPr/>
        <w:t>ELECTRONIC SERVICE PROTOCOLS</w:t>
      </w:r>
    </w:p>
    <w:p>
      <w:pPr>
        <w:pStyle w:val="main"/>
        <w:rPr/>
      </w:pPr>
      <w:r>
        <w:rPr/>
      </w:r>
    </w:p>
    <w:p>
      <w:pPr>
        <w:pStyle w:val="standard"/>
        <w:rPr/>
      </w:pPr>
      <w:r>
        <w:rPr/>
        <w:t>This ruling addresses additional proposals and comments, procedural matters, and electronic service protocols.</w:t>
      </w:r>
    </w:p>
    <w:p>
      <w:pPr>
        <w:pStyle w:val="Heading1"/>
        <w:numPr>
          <w:ilvl w:val="0"/>
          <w:numId w:val="4"/>
        </w:numPr>
        <w:rPr>
          <w:rFonts w:ascii="PALATINO" w:hAnsi="PALATINO" w:cs="PALATINO"/>
          <w:kern w:val="0"/>
        </w:rPr>
      </w:pPr>
      <w:r>
        <w:rPr>
          <w:rFonts w:cs="PALATINO" w:ascii="PALATINO" w:hAnsi="PALATINO"/>
          <w:kern w:val="0"/>
        </w:rPr>
        <w:t>Additional Proposals and Comments</w:t>
      </w:r>
    </w:p>
    <w:p>
      <w:pPr>
        <w:pStyle w:val="standard"/>
        <w:rPr/>
      </w:pPr>
      <w:r>
        <w:rPr/>
        <w:t xml:space="preserve">Some parties included curtailment priority proposals in filings made December 4, 2000.  Comments on those proposals are due to be filed and served on December 11, 2000.  </w:t>
      </w:r>
    </w:p>
    <w:p>
      <w:pPr>
        <w:pStyle w:val="standard"/>
        <w:rPr/>
      </w:pPr>
      <w:r>
        <w:rPr/>
        <w:t>The Energy Producers and Users Coalition (EPUC) filed and served an emergency motion on December 4, 2000 which “is intended to comply with ALJ Mattson’s November 30, 2000 e-mail seeking ‘proposals’ on December 4, 2000.”  (December 4, 2000 EPUC Emergency Motion, page 1, footnote 1.)  The emergency motion includes recommendations on curtailment priorities and implementation.  Comments filed and served December 11, 2000 should address the proposals contained in EPUC’s emergency motion.  Responses to the motion, however, may also be filed and served by December 19, 2000.  (Rule 45(f) of the Commission’s Rules of Practice and Procedure.)</w:t>
      </w:r>
    </w:p>
    <w:p>
      <w:pPr>
        <w:pStyle w:val="standard"/>
        <w:rPr/>
      </w:pPr>
      <w:r>
        <w:rPr/>
        <w:t xml:space="preserve">Other parties have chosen to wait for a separate, parallel process to make proposals on curtailment priorities.  For example, San Diego Gas and Electric Company states that “consequently, curtailment programs and measures will not be addressed in this filing.”  (December 4, 2000 Proposals, page 4, footnote 1.) </w:t>
      </w:r>
    </w:p>
    <w:p>
      <w:pPr>
        <w:pStyle w:val="standard"/>
        <w:rPr/>
      </w:pPr>
      <w:r>
        <w:rPr/>
        <w:t>This ruling clarifies that respondents and parties should not delay making proposals.  As a result, to the extent not yet done, respondents and parties should, within seven days of the date of this ruling, file and serve proposals that address each of the four items in Ordering Paragraph 1 of the Rulemaking, including curtailment issues:</w:t>
      </w:r>
    </w:p>
    <w:p>
      <w:pPr>
        <w:pStyle w:val="quote"/>
        <w:ind w:hanging="450" w:start="1170" w:end="720"/>
        <w:rPr/>
      </w:pPr>
      <w:r>
        <w:rPr/>
        <w:t>(a)  “the role of customers on a utility’s interruptible tariffs to ensure reliable and reasonably-priced electric service in California, especially for the Summer of 2001;</w:t>
      </w:r>
    </w:p>
    <w:p>
      <w:pPr>
        <w:pStyle w:val="quote"/>
        <w:ind w:hanging="450" w:start="1170" w:end="720"/>
        <w:rPr/>
      </w:pPr>
      <w:r>
        <w:rPr/>
        <w:t xml:space="preserve">(b)  coordinate the variety of interruptible, curtailable and demand responsiveness programs being offered and proposed in California; </w:t>
      </w:r>
    </w:p>
    <w:p>
      <w:pPr>
        <w:pStyle w:val="quote"/>
        <w:ind w:hanging="450" w:start="1170" w:end="720"/>
        <w:rPr/>
      </w:pPr>
      <w:r>
        <w:rPr/>
        <w:t xml:space="preserve">(c)  identify alternative means for customers to reduce their energy usage during periods of peak demand; and </w:t>
      </w:r>
    </w:p>
    <w:p>
      <w:pPr>
        <w:pStyle w:val="quote"/>
        <w:ind w:hanging="450" w:start="1170" w:end="720"/>
        <w:rPr/>
      </w:pPr>
      <w:r>
        <w:rPr/>
        <w:t xml:space="preserve">(d)  “to revise and update the Commission’s priorities for curtailing customers during times of energy shortages.”  (R.00-10-002, Ordering Paragraph 1, page 15.)  </w:t>
      </w:r>
    </w:p>
    <w:p>
      <w:pPr>
        <w:pStyle w:val="standard"/>
        <w:rPr/>
      </w:pPr>
      <w:r>
        <w:rPr/>
        <w:t xml:space="preserve">Further, to the extent proposals filed December 4, 2000 do not address improved curtailment notification measures, respondents and parties may file and serve additional proposals.  For example, respondents and parties may address the feasibility, desirability and cost of creating phone banks or using electronic mail to notify customers before curtailments (e.g., rolling blackouts).  </w:t>
      </w:r>
    </w:p>
    <w:p>
      <w:pPr>
        <w:pStyle w:val="standard"/>
        <w:rPr/>
      </w:pPr>
      <w:r>
        <w:rPr/>
        <w:t xml:space="preserve">Comments on proposals filed and served seven days from today may be filed and served within seven days after proposals are filed. </w:t>
      </w:r>
    </w:p>
    <w:p>
      <w:pPr>
        <w:pStyle w:val="Heading1"/>
        <w:numPr>
          <w:ilvl w:val="0"/>
          <w:numId w:val="4"/>
        </w:numPr>
        <w:tabs>
          <w:tab w:val="clear" w:pos="720"/>
          <w:tab w:val="left" w:pos="0" w:leader="none"/>
        </w:tabs>
        <w:rPr/>
      </w:pPr>
      <w:r>
        <w:rPr/>
        <w:t>Service List</w:t>
      </w:r>
    </w:p>
    <w:p>
      <w:pPr>
        <w:pStyle w:val="standard"/>
        <w:rPr/>
      </w:pPr>
      <w:r>
        <w:rPr/>
        <w:t xml:space="preserve">The official service list may be viewed on the Commission’s web page.  A copy may also be obtained from the Commission’s Process Office.  Parties are encouraged to confirm that the information on the service list is correct, including electronic mail addresses in the comma-delimited file.  </w:t>
      </w:r>
    </w:p>
    <w:p>
      <w:pPr>
        <w:pStyle w:val="standard"/>
        <w:rPr/>
      </w:pPr>
      <w:r>
        <w:rPr/>
        <w:t>Parties shall serve notice correcting errors, or providing updates, on the Process Office, with a copy served on the service list, including me.  In particular, some (but not all) electronic mail messages sent by the Commission have been returned as undelivered for Lisa Hubbard, Peter Bray, Robert McCann, and Ed Yates at lhubbard@sempra.com, pbeter@enron.com, and mccann@cal.net, ed@clfp.com, respectively.  Please correct or update electronic mail addresses as necessary.</w:t>
      </w:r>
    </w:p>
    <w:p>
      <w:pPr>
        <w:pStyle w:val="Heading1"/>
        <w:numPr>
          <w:ilvl w:val="0"/>
          <w:numId w:val="4"/>
        </w:numPr>
        <w:ind w:hanging="1080" w:start="1080" w:end="0"/>
        <w:rPr/>
      </w:pPr>
      <w:r>
        <w:rPr/>
        <w:t>Service by Electronic Mail</w:t>
      </w:r>
    </w:p>
    <w:p>
      <w:pPr>
        <w:pStyle w:val="standard"/>
        <w:rPr/>
      </w:pPr>
      <w:r>
        <w:rPr/>
        <w:t xml:space="preserve">Ordering Paragraph 2 of the November 7, 2000 Ruling of Presiding Officer and Assigned Commissioner Lynch was modified at the November 17, 2000 prehearing conference (PHC) based on parties’ unopposed recommendations.  As a result, service of documents shall be by electronic mail on all persons in the appearance and state service categories of the service list.  Parties are encouraged, but not required, to also serve a copy of each document electronically on persons in the information only category.  Service performed by electronic mail shall be executed by 5:00 p.m. on the date service is due. </w:t>
      </w:r>
    </w:p>
    <w:p>
      <w:pPr>
        <w:pStyle w:val="standard"/>
        <w:rPr/>
      </w:pPr>
      <w:r>
        <w:rPr/>
        <w:t>Paper copies shall also be served on President Lynch, James Hendry, me, plus three on copies on Energy Division.  In addition, paper copies shall be served on Commissioner Wood and Linda Serizawa.  Each paper copy shall, to the fullest extent feasible and reasonable, be delivered to the Commission the same day it is served.  A paper copy shall also be served on William Nelson, appearing for the Residential Energy Efficiency Clearing House, Inc. (REECH, Inc.).</w:t>
      </w:r>
    </w:p>
    <w:p>
      <w:pPr>
        <w:pStyle w:val="standard"/>
        <w:rPr/>
      </w:pPr>
      <w:r>
        <w:rPr/>
        <w:t>Electronic service does not apply to the filing of documents with the Commission.  Documents must be filed as described in, and required by, Rule 2 whether or not service is performed electronically.</w:t>
      </w:r>
    </w:p>
    <w:p>
      <w:pPr>
        <w:pStyle w:val="standard"/>
        <w:rPr/>
      </w:pPr>
      <w:r>
        <w:rPr/>
        <w:t xml:space="preserve">Paper copies of this Ruling will be served along with service by electronic mail.  Service of subsequent rulings, proposed decisions, and other documents (other than interim or final Commission decisions) shall be by electronic mail only, except for William Nelson, and persons in the information only category who have not provided electronic mail addresses.  </w:t>
      </w:r>
    </w:p>
    <w:p>
      <w:pPr>
        <w:pStyle w:val="Heading1"/>
        <w:numPr>
          <w:ilvl w:val="0"/>
          <w:numId w:val="4"/>
        </w:numPr>
        <w:rPr/>
      </w:pPr>
      <w:r>
        <w:rPr/>
        <w:t>Electronic Service Protocols</w:t>
      </w:r>
    </w:p>
    <w:p>
      <w:pPr>
        <w:pStyle w:val="standard"/>
        <w:rPr/>
      </w:pPr>
      <w:r>
        <w:rPr/>
        <w:t>Logistics for electronic service were also discussed at the November 17, 2000 PHC, including reference to a November 7, 2000 Ruling by Judge Minkin in Application (A.) 99-01-016, et al.  As a result, protocols are stated in Attachment A consistent with those adopted in A.99-01-016, et al.  Parties shall make every reasonable effort to follow the protocols in Attachment A.</w:t>
      </w:r>
    </w:p>
    <w:p>
      <w:pPr>
        <w:pStyle w:val="standard"/>
        <w:keepNext w:val="true"/>
        <w:rPr/>
      </w:pPr>
      <w:r>
        <w:rPr>
          <w:b/>
        </w:rPr>
        <w:t>IT IS RULED</w:t>
      </w:r>
      <w:r>
        <w:rPr/>
        <w:t xml:space="preserve"> that:</w:t>
      </w:r>
    </w:p>
    <w:p>
      <w:pPr>
        <w:pStyle w:val="num1"/>
        <w:numPr>
          <w:ilvl w:val="0"/>
          <w:numId w:val="3"/>
        </w:numPr>
        <w:rPr/>
      </w:pPr>
      <w:r>
        <w:rPr/>
        <w:tab/>
        <w:t>Comments on all proposals filed and served on December 4, 2000 shall be filed and served on December 11, 000.</w:t>
      </w:r>
    </w:p>
    <w:p>
      <w:pPr>
        <w:pStyle w:val="num1"/>
        <w:numPr>
          <w:ilvl w:val="0"/>
          <w:numId w:val="3"/>
        </w:numPr>
        <w:rPr/>
      </w:pPr>
      <w:r>
        <w:rPr>
          <w:rFonts w:eastAsia="PALATINO"/>
        </w:rPr>
        <w:t xml:space="preserve">  </w:t>
      </w:r>
      <w:r>
        <w:rPr/>
        <w:t>To the extent not yet done, respondents and parties may file and serve proposals to address each of the four items covered in Ordering Paragraph 1 of the Rulemaking, including proposals “to revise and update the Commission’s priorities for curtailing customers during times of energy shortages.”  (R.00</w:t>
        <w:noBreakHyphen/>
        <w:t>10</w:t>
        <w:noBreakHyphen/>
        <w:t>002, Ordering Paragraph 1, page 15.)  Further, to the extent proposals filed December 4, 2000 do not address improved curtailment notification measures, respondents and parties may file and serve additional proposals (e.g., feasibility, desirability and cost of creating phone banks or using electronic mail to notify customers before rolling blackouts).  These proposals, if any, shall be filed and served within seven days of the date of this ruling.  Comments on proposals filed seven days from today shall be filed and served within seven days after proposals are filed.</w:t>
      </w:r>
    </w:p>
    <w:p>
      <w:pPr>
        <w:pStyle w:val="num1"/>
        <w:numPr>
          <w:ilvl w:val="0"/>
          <w:numId w:val="3"/>
        </w:numPr>
        <w:rPr/>
      </w:pPr>
      <w:r>
        <w:rPr>
          <w:rFonts w:eastAsia="PALATINO"/>
        </w:rPr>
        <w:t xml:space="preserve">  </w:t>
      </w:r>
      <w:r>
        <w:rPr/>
        <w:t>Respondents and parties shall follow the electronic service protocols in Attachment A.  Respondents and parties shall serve documents by electronic mail.  Service of paper copies of documents shall also be performed on President Lynch, Commissioner Wood, James Hendry, Linda Serizawa, William Nelson, me, and three copies on Energy Division.</w:t>
      </w:r>
    </w:p>
    <w:p>
      <w:pPr>
        <w:pStyle w:val="num1"/>
        <w:numPr>
          <w:ilvl w:val="0"/>
          <w:numId w:val="3"/>
        </w:numPr>
        <w:rPr/>
      </w:pPr>
      <w:r>
        <w:rPr>
          <w:rFonts w:eastAsia="PALATINO"/>
        </w:rPr>
        <w:t xml:space="preserve">  </w:t>
      </w:r>
      <w:r>
        <w:rPr/>
        <w:t>Parties shall serve notice of any errors in, or changes to, the service list (including electronic mail addresses contained in the comma-delimited file) on the Process Office, with a copy on the service list and me.</w:t>
      </w:r>
    </w:p>
    <w:p>
      <w:pPr>
        <w:pStyle w:val="num1"/>
        <w:numPr>
          <w:ilvl w:val="0"/>
          <w:numId w:val="3"/>
        </w:numPr>
        <w:rPr/>
      </w:pPr>
      <w:r>
        <w:rPr>
          <w:rFonts w:eastAsia="PALATINO"/>
        </w:rPr>
        <w:t xml:space="preserve">  </w:t>
      </w:r>
      <w:r>
        <w:rPr/>
        <w:t>Electronic service shall not vacate the Commission’s Rules for the filing of documents that must be filed (e.g., motions, responses to motions, comments on the proposed decision, replies to comments on the proposed decision).</w:t>
      </w:r>
    </w:p>
    <w:p>
      <w:pPr>
        <w:pStyle w:val="standard"/>
        <w:rPr/>
      </w:pPr>
      <w:r>
        <w:rPr/>
        <w:t>Dated December 7, 2000, at San Francisco, California.</w:t>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snapToGrid w:val="false"/>
              <w:rPr/>
            </w:pPr>
            <w:r>
              <w:rPr/>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Burton W. Mattson</w:t>
            </w:r>
          </w:p>
          <w:p>
            <w:pPr>
              <w:pStyle w:val="Normal"/>
              <w:jc w:val="center"/>
              <w:rPr/>
            </w:pPr>
            <w:r>
              <w:rPr/>
              <w:t>Administrative Law Judge</w:t>
            </w:r>
          </w:p>
        </w:tc>
      </w:tr>
    </w:tbl>
    <w:p>
      <w:pPr>
        <w:sectPr>
          <w:headerReference w:type="default" r:id="rId2"/>
          <w:headerReference w:type="first" r:id="rId3"/>
          <w:footerReference w:type="default" r:id="rId4"/>
          <w:footerReference w:type="first" r:id="rId5"/>
          <w:type w:val="nextPage"/>
          <w:pgSz w:w="12240" w:h="15840"/>
          <w:pgMar w:left="1440" w:right="1440" w:gutter="0" w:header="720" w:top="990" w:footer="720" w:bottom="1440"/>
          <w:pgNumType w:fmt="decimal"/>
          <w:formProt w:val="false"/>
          <w:titlePg/>
          <w:textDirection w:val="lrTb"/>
          <w:docGrid w:type="default" w:linePitch="360" w:charSpace="0"/>
        </w:sectPr>
        <w:pStyle w:val="main"/>
        <w:rPr/>
      </w:pPr>
      <w:r>
        <w:rPr/>
      </w:r>
    </w:p>
    <w:p>
      <w:pPr>
        <w:pStyle w:val="main"/>
        <w:rPr/>
      </w:pPr>
      <w:r>
        <w:rPr/>
        <w:t>ATTACHMENT A</w:t>
      </w:r>
    </w:p>
    <w:p>
      <w:pPr>
        <w:pStyle w:val="main"/>
        <w:rPr/>
      </w:pPr>
      <w:r>
        <w:rPr/>
      </w:r>
    </w:p>
    <w:p>
      <w:pPr>
        <w:pStyle w:val="main"/>
        <w:rPr/>
      </w:pPr>
      <w:r>
        <w:rPr/>
        <w:t>ELECTRONIC SERVICE PROTOCOLS</w:t>
      </w:r>
    </w:p>
    <w:p>
      <w:pPr>
        <w:pStyle w:val="main"/>
        <w:rPr/>
      </w:pPr>
      <w:r>
        <w:rPr/>
      </w:r>
    </w:p>
    <w:p>
      <w:pPr>
        <w:pStyle w:val="H-2"/>
        <w:tabs>
          <w:tab w:val="clear" w:pos="720"/>
          <w:tab w:val="left" w:pos="360" w:leader="none"/>
        </w:tabs>
        <w:rPr/>
      </w:pPr>
      <w:r>
        <w:rPr/>
        <w:t>1.</w:t>
        <w:tab/>
        <w:t>Party Status in Commission Proceedings</w:t>
      </w:r>
    </w:p>
    <w:p>
      <w:pPr>
        <w:pStyle w:val="standard"/>
        <w:rPr/>
      </w:pPr>
      <w:r>
        <w:rPr/>
        <w:t>These electronic service protocols are applicable to all “appearances.”  In accordance with Commission practice, by entering an appearance at a hearing or by other appropriate means, an interested party or protestant gains “party” status.  A party to a Commission proceeding has certain rights that non-parties (those in “state service” and “information only” service categories) do not have.  For example, a party has the right to participate in evidentiary hearings, file comments on a proposed decision, and appeal a final decision.  A party also has the ability to consent to waive or reduce a comment period, and to challenge the assignment of an Administrative Law Judge (ALJ).  Non-parties do not have these rights, even though they are included on the service list for the proceeding and receive copies of some or all documents.</w:t>
      </w:r>
    </w:p>
    <w:p>
      <w:pPr>
        <w:pStyle w:val="H-2"/>
        <w:tabs>
          <w:tab w:val="clear" w:pos="720"/>
          <w:tab w:val="left" w:pos="360" w:leader="none"/>
        </w:tabs>
        <w:rPr/>
      </w:pPr>
      <w:r>
        <w:rPr/>
        <w:t>2.</w:t>
        <w:tab/>
        <w:t>Service of Documents by Electronic Mail</w:t>
      </w:r>
    </w:p>
    <w:p>
      <w:pPr>
        <w:pStyle w:val="standard"/>
        <w:rPr/>
      </w:pPr>
      <w:r>
        <w:rPr/>
        <w:t xml:space="preserve">All individuals in appearance and state service categories on the service list for this proceeding have provided electronic mail addresses.  Therefore, for the purposes of this proceeding, all appearances shall serve documents by electronic mail, and in turn, shall accept service by electronic mail.  In addition, paper copies shall be served on President Lynch, Commissioner Wood, James Hendry, Linda Serizawa, ALJ Mattson, William Nelson, and three copies on Energy Division.  </w:t>
      </w:r>
      <w:r>
        <w:br w:type="page"/>
      </w:r>
    </w:p>
    <w:p>
      <w:pPr>
        <w:pStyle w:val="H-2"/>
        <w:tabs>
          <w:tab w:val="clear" w:pos="720"/>
          <w:tab w:val="left" w:pos="360" w:leader="none"/>
        </w:tabs>
        <w:rPr/>
      </w:pPr>
      <w:r>
        <w:rPr/>
        <w:t>3.</w:t>
        <w:tab/>
        <w:t>Notice of Availability</w:t>
      </w:r>
    </w:p>
    <w:p>
      <w:pPr>
        <w:pStyle w:val="sub1"/>
        <w:ind w:firstLine="720" w:end="0"/>
        <w:rPr/>
      </w:pPr>
      <w:r>
        <w:rPr/>
        <w:t xml:space="preserve">If a document, including attachments, exceeds 75 pages, parties may serve a Notice of Availability in lieu of all or part of the document, in accordance with Rule 2.3(c) of the Commission’s Rules of Practice and Procedure. </w:t>
      </w:r>
    </w:p>
    <w:p>
      <w:pPr>
        <w:pStyle w:val="H-2"/>
        <w:tabs>
          <w:tab w:val="clear" w:pos="720"/>
          <w:tab w:val="left" w:pos="360" w:leader="none"/>
        </w:tabs>
        <w:rPr/>
      </w:pPr>
      <w:r>
        <w:rPr/>
        <w:t>4.</w:t>
        <w:tab/>
        <w:t>Filing of Documents</w:t>
      </w:r>
    </w:p>
    <w:p>
      <w:pPr>
        <w:pStyle w:val="sub1"/>
        <w:ind w:firstLine="720" w:end="0"/>
        <w:rPr/>
      </w:pPr>
      <w:r>
        <w:rPr/>
        <w:t>These electronic service protocols govern service of documents only, and do not change the rules regarding the tendering of documents for filing.  Documents for filing must be tendered in paper form, as described in Rule 2, et. seq., of the Commission’s Rules of Practice and Procedure.</w:t>
      </w:r>
    </w:p>
    <w:p>
      <w:pPr>
        <w:pStyle w:val="H-2"/>
        <w:tabs>
          <w:tab w:val="clear" w:pos="720"/>
          <w:tab w:val="left" w:pos="360" w:leader="none"/>
        </w:tabs>
        <w:rPr>
          <w:i/>
          <w:i/>
        </w:rPr>
      </w:pPr>
      <w:r>
        <w:rPr/>
        <w:t>5.</w:t>
        <w:tab/>
        <w:t>Electronic Service Standards</w:t>
      </w:r>
    </w:p>
    <w:p>
      <w:pPr>
        <w:pStyle w:val="standard"/>
        <w:rPr/>
      </w:pPr>
      <w:r>
        <w:rPr/>
        <w:t>As an aid to review of documents served electronically, appearances should follow these procedures:</w:t>
      </w:r>
    </w:p>
    <w:p>
      <w:pPr>
        <w:pStyle w:val="bullet"/>
        <w:numPr>
          <w:ilvl w:val="0"/>
          <w:numId w:val="2"/>
        </w:numPr>
        <w:rPr/>
      </w:pPr>
      <w:r>
        <w:rPr/>
        <w:t>Merge into a single electronic file the entire document to be served (e.g., title page, table of contents, text, attachments, service list).</w:t>
      </w:r>
    </w:p>
    <w:p>
      <w:pPr>
        <w:pStyle w:val="bullet"/>
        <w:numPr>
          <w:ilvl w:val="0"/>
          <w:numId w:val="2"/>
        </w:numPr>
        <w:rPr/>
      </w:pPr>
      <w:r>
        <w:rPr/>
        <w:t>Attach the document file to an electronic note.</w:t>
      </w:r>
    </w:p>
    <w:p>
      <w:pPr>
        <w:pStyle w:val="bullet"/>
        <w:numPr>
          <w:ilvl w:val="0"/>
          <w:numId w:val="2"/>
        </w:numPr>
        <w:rPr/>
      </w:pPr>
      <w:r>
        <w:rPr/>
        <w:t>In the subject line of the note, identify the proceeding number; the party sending the document; and the abbreviated title of the document.</w:t>
      </w:r>
    </w:p>
    <w:p>
      <w:pPr>
        <w:pStyle w:val="bullet"/>
        <w:numPr>
          <w:ilvl w:val="0"/>
          <w:numId w:val="2"/>
        </w:numPr>
        <w:rPr/>
      </w:pPr>
      <w:r>
        <w:rPr/>
        <w:t>Within the body of the note, identify the word processing program used to create the document if anything other than Microsoft Word.  (Commission experience is that most recipients can readily open documents sent in Microsoft Word 6.0/95.)</w:t>
      </w:r>
      <w:r>
        <w:br w:type="page"/>
      </w:r>
    </w:p>
    <w:p>
      <w:pPr>
        <w:pStyle w:val="Title1"/>
        <w:rPr/>
      </w:pPr>
      <w:r>
        <w:rPr/>
      </w:r>
    </w:p>
    <w:p>
      <w:pPr>
        <w:pStyle w:val="standard"/>
        <w:rPr/>
      </w:pPr>
      <w:r>
        <w:rPr/>
        <w:t xml:space="preserve">If the electronic mail is returned to the sender, or the recipient informs the sender of an inability to open the document, the sender shall immediately arrange for alternative service (regular U.S. mail shall be the default, unless another means—such as overnight delivery—is mutually agreed upon).  </w:t>
      </w:r>
    </w:p>
    <w:p>
      <w:pPr>
        <w:pStyle w:val="standard"/>
        <w:rPr/>
      </w:pPr>
      <w:r>
        <w:rPr/>
        <w:t xml:space="preserve">Parties should exercise good judgment regarding electronic mail service, and moderate the burden of paper management for recipients.  For example, if a particularly complex matrix or cost-effectiveness study with complex tables is an attachment within a document mailed electronically, and it can be reasonably foreseen that most parties will have difficulty printing the matrix or tables, the sender should also serve paper copies by U.S. mail, and indicate that in the electronic note.  </w:t>
      </w:r>
    </w:p>
    <w:p>
      <w:pPr>
        <w:pStyle w:val="H-2"/>
        <w:tabs>
          <w:tab w:val="clear" w:pos="720"/>
          <w:tab w:val="left" w:pos="360" w:leader="none"/>
        </w:tabs>
        <w:rPr/>
      </w:pPr>
      <w:r>
        <w:rPr/>
        <w:t>6.</w:t>
        <w:tab/>
        <w:t>Obtaining Up-to-Date Electronic Mail Addresses</w:t>
      </w:r>
    </w:p>
    <w:p>
      <w:pPr>
        <w:pStyle w:val="standard"/>
        <w:rPr/>
      </w:pPr>
      <w:r>
        <w:rPr/>
        <w:t xml:space="preserve">The current service lists for active proceedings are available on the Commission’s web page, </w:t>
      </w:r>
      <w:hyperlink r:id="rId6">
        <w:r>
          <w:rPr>
            <w:rStyle w:val="Hyperlink"/>
            <w:u w:val="none"/>
          </w:rPr>
          <w:t>www.cpuc.ca.gov</w:t>
        </w:r>
      </w:hyperlink>
      <w:r>
        <w:rPr/>
        <w:t>.  To obtain an up-to-date service list of electronic mail addresses:</w:t>
      </w:r>
    </w:p>
    <w:p>
      <w:pPr>
        <w:pStyle w:val="bullet"/>
        <w:numPr>
          <w:ilvl w:val="0"/>
          <w:numId w:val="5"/>
        </w:numPr>
        <w:rPr/>
      </w:pPr>
      <w:r>
        <w:rPr/>
        <w:t xml:space="preserve">On the “Legal Documents” bar choose “Service Lists.”  </w:t>
      </w:r>
    </w:p>
    <w:p>
      <w:pPr>
        <w:pStyle w:val="bullet"/>
        <w:numPr>
          <w:ilvl w:val="0"/>
          <w:numId w:val="5"/>
        </w:numPr>
        <w:rPr/>
      </w:pPr>
      <w:r>
        <w:rPr/>
        <w:t>Scroll through the “Index of Service Lists” to the number for this proceeding (or click “edit,” “find,” type in R0010002, and click “find next”).</w:t>
      </w:r>
    </w:p>
    <w:p>
      <w:pPr>
        <w:pStyle w:val="bullet"/>
        <w:numPr>
          <w:ilvl w:val="0"/>
          <w:numId w:val="5"/>
        </w:numPr>
        <w:spacing w:before="120" w:after="240"/>
        <w:rPr/>
      </w:pPr>
      <w:r>
        <w:rPr/>
        <w:t xml:space="preserve">To view and copy the electronic addresses for a service list, download the comma-delimited file, and copy the column containing the electronic addresses.  </w:t>
      </w:r>
    </w:p>
    <w:p>
      <w:pPr>
        <w:pStyle w:val="standard"/>
        <w:rPr/>
      </w:pPr>
      <w:r>
        <w:rPr/>
        <w:t>The Commission’s Process Office periodically updates service lists to correct errors or to make changes at the request of parties and non-parties on the list.  Parties should copy the current service list from the web page (or obtain paper copy from the Process Office) before serving a document.</w:t>
      </w:r>
    </w:p>
    <w:p>
      <w:pPr>
        <w:pStyle w:val="H-2"/>
        <w:tabs>
          <w:tab w:val="clear" w:pos="720"/>
          <w:tab w:val="left" w:pos="360" w:leader="none"/>
        </w:tabs>
        <w:rPr>
          <w:i/>
          <w:i/>
        </w:rPr>
      </w:pPr>
      <w:r>
        <w:rPr/>
        <w:t>7.</w:t>
        <w:tab/>
        <w:t>Pagination Discrepancies in Documents Served Electronically</w:t>
      </w:r>
    </w:p>
    <w:p>
      <w:pPr>
        <w:pStyle w:val="standard"/>
        <w:rPr/>
      </w:pPr>
      <w:r>
        <w:rPr/>
        <w:t xml:space="preserve">Differences among word-processing software can cause pagination differences between documents served electronically and print outs of the original.  (If documents are served electronically in PDF format, these differences do not occur, although PDF files can be especially difficult to print out.)  For the purposes of reference and/or citation (e.g., at the Final Oral Argument, if held), parties should use the pagination found in the original document. </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r>
    </w:p>
    <w:p>
      <w:pPr>
        <w:pStyle w:val="main"/>
        <w:rPr/>
      </w:pPr>
      <w:r>
        <w:rPr/>
        <w:t>(END OF ATTACHMENT A)</w:t>
      </w:r>
    </w:p>
    <w:p>
      <w:pPr>
        <w:sectPr>
          <w:headerReference w:type="default" r:id="rId7"/>
          <w:headerReference w:type="first" r:id="rId8"/>
          <w:footerReference w:type="default" r:id="rId9"/>
          <w:footerReference w:type="first" r:id="rId10"/>
          <w:type w:val="nextPage"/>
          <w:pgSz w:w="12240" w:h="15840"/>
          <w:pgMar w:left="1440" w:right="1440" w:gutter="0" w:header="720" w:top="990" w:footer="720" w:bottom="1440"/>
          <w:pgNumType w:start="1" w:fmt="decimal"/>
          <w:formProt w:val="false"/>
          <w:titlePg/>
          <w:textDirection w:val="lrTb"/>
          <w:docGrid w:type="default" w:linePitch="360" w:charSpace="0"/>
        </w:sectPr>
        <w:pStyle w:val="main"/>
        <w:jc w:val="start"/>
        <w:rPr/>
      </w:pPr>
      <w:r>
        <w:rPr/>
      </w: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and by e-mail this day served a true copy of the original attached Administrative Law Judge’s Ruling on Additional Proposals and Comments, Procedural Matters, and Electronic Service Protocols on all parties of record in this proceeding or their attorneys of record.</w:t>
      </w:r>
    </w:p>
    <w:p>
      <w:pPr>
        <w:pStyle w:val="standard"/>
        <w:rPr/>
      </w:pPr>
      <w:r>
        <w:rPr/>
        <w:t>Dated December 7, 2000,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snapToGrid w:val="false"/>
              <w:rPr/>
            </w:pPr>
            <w:r>
              <w:rPr/>
            </w:r>
          </w:p>
        </w:tc>
      </w:tr>
      <w:tr>
        <w:trPr/>
        <w:tc>
          <w:tcPr>
            <w:tcW w:w="3420" w:type="dxa"/>
            <w:tcBorders/>
          </w:tcPr>
          <w:p>
            <w:pPr>
              <w:pStyle w:val="Normal"/>
              <w:jc w:val="center"/>
              <w:rPr/>
            </w:pPr>
            <w:r>
              <w:rPr/>
              <w:t>Fannie Sid</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both"/>
      <w:rPr/>
    </w:pPr>
    <w:r>
      <w:rPr>
        <w:sz w:val="16"/>
      </w:rPr>
      <w:t>85215</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R.00-10-002  BWM/sid</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R.00-10-002  BWM/sid</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R.00-10-002  BWM/sid</w:t>
    </w:r>
  </w:p>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R.00-10-002  BWM/sid</w:t>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R.00-10-002  BWM/sid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1z0">
    <w:name w:val="WW8Num1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7"/>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itle1">
    <w:name w:val="Title1"/>
    <w:basedOn w:val="Normal"/>
    <w:qFormat/>
    <w:pPr>
      <w:jc w:val="center"/>
    </w:pPr>
    <w:rPr>
      <w:rFonts w:ascii="HELVETICA" w:hAnsi="HELVETICA" w:cs="HELVETICA"/>
      <w:b/>
    </w:rPr>
  </w:style>
  <w:style w:type="paragraph" w:styleId="bullet">
    <w:name w:val="bullet"/>
    <w:basedOn w:val="Normal"/>
    <w:qFormat/>
    <w:pPr>
      <w:numPr>
        <w:ilvl w:val="0"/>
        <w:numId w:val="2"/>
      </w:numPr>
      <w:tabs>
        <w:tab w:val="clear" w:pos="720"/>
        <w:tab w:val="left" w:pos="1080" w:leader="none"/>
      </w:tabs>
      <w:spacing w:before="120" w:after="120"/>
      <w:ind w:hanging="0" w:start="1080" w:end="720"/>
    </w:pPr>
    <w:rPr/>
  </w:style>
  <w:style w:type="paragraph" w:styleId="H-2">
    <w:name w:val="H-2"/>
    <w:basedOn w:val="Heading1"/>
    <w:qFormat/>
    <w:pPr>
      <w:numPr>
        <w:ilvl w:val="0"/>
        <w:numId w:val="0"/>
      </w:numPr>
      <w:ind w:hanging="0" w:start="0" w:end="0"/>
      <w:outlineLvl w:val="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www.cpuc.ca.gov/"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2000-12-07T16:17:00Z</dcterms:created>
  <dc:creator>Fannie Sid</dc:creator>
  <dc:description/>
  <dc:language>en-CA</dc:language>
  <cp:lastModifiedBy>Fannie Sid</cp:lastModifiedBy>
  <cp:lastPrinted>2000-12-07T13:52:00Z</cp:lastPrinted>
  <dcterms:modified xsi:type="dcterms:W3CDTF">2000-12-07T19:31:00Z</dcterms:modified>
  <cp:revision>6</cp:revision>
  <dc:subject/>
  <dc:title>BEFORE THE PUBLIC UTILITIES COMMISSION OF THE STATE OF CALIFORNIA</dc:title>
</cp:coreProperties>
</file>