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LYN/BWM/eap  11/7/2000</w:t>
      </w:r>
    </w:p>
    <w:p>
      <w:pPr>
        <w:pStyle w:val="Normal"/>
        <w:rPr/>
      </w:pPr>
      <w:r>
        <w:rPr/>
      </w:r>
    </w:p>
    <w:p>
      <w:pPr>
        <w:pStyle w:val="Normal"/>
        <w:rPr/>
      </w:pPr>
      <w:r>
        <w:rPr/>
      </w:r>
    </w:p>
    <w:p>
      <w:pPr>
        <w:pStyle w:val="Normal"/>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Order Instituting Rulemaking into the operation of interruptible load programs offered by Pacific Gas and Electric Company, San Diego Gas &amp; Electric Company, and Southern California Edison Company and the effect of these programs on energy prices, other demand responsiveness programs, and the reliability of the electric system.</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Rulemaking 00-10-002</w:t>
            </w:r>
          </w:p>
          <w:p>
            <w:pPr>
              <w:pStyle w:val="Normal"/>
              <w:jc w:val="center"/>
              <w:rPr/>
            </w:pPr>
            <w:r>
              <w:rPr/>
              <w:t>(Filed October 5, 2000)</w:t>
            </w:r>
          </w:p>
        </w:tc>
      </w:tr>
    </w:tbl>
    <w:p>
      <w:pPr>
        <w:pStyle w:val="Normal"/>
        <w:suppressAutoHyphens w:val="true"/>
        <w:rPr/>
      </w:pPr>
      <w:r>
        <w:rPr/>
      </w:r>
    </w:p>
    <w:p>
      <w:pPr>
        <w:pStyle w:val="Normal"/>
        <w:rPr/>
      </w:pPr>
      <w:r>
        <w:rPr/>
      </w:r>
    </w:p>
    <w:p>
      <w:pPr>
        <w:pStyle w:val="main"/>
        <w:rPr/>
      </w:pPr>
      <w:r>
        <w:rPr/>
        <w:t>PRESIDING OFFICER AND ASSIGNED COMMISSIONER’S RULING</w:t>
      </w:r>
    </w:p>
    <w:p>
      <w:pPr>
        <w:pStyle w:val="main"/>
        <w:rPr/>
      </w:pPr>
      <w:r>
        <w:rPr/>
        <w:t>ADDRESSING ADMINISTRATIVE MATTERS AND</w:t>
      </w:r>
    </w:p>
    <w:p>
      <w:pPr>
        <w:pStyle w:val="main"/>
        <w:rPr/>
      </w:pPr>
      <w:r>
        <w:rPr/>
        <w:t>SETTING A PREHEARING CONFERENCE</w:t>
      </w:r>
    </w:p>
    <w:p>
      <w:pPr>
        <w:pStyle w:val="Normal"/>
        <w:suppressAutoHyphens w:val="true"/>
        <w:rPr/>
      </w:pPr>
      <w:r>
        <w:rPr/>
      </w:r>
    </w:p>
    <w:p>
      <w:pPr>
        <w:pStyle w:val="standard"/>
        <w:rPr/>
      </w:pPr>
      <w:r>
        <w:rPr/>
        <w:t>This ruling addresses the service list, service by electronic mail, prehearing conference (PHC) statements, and sets the date for a PHC.</w:t>
      </w:r>
    </w:p>
    <w:p>
      <w:pPr>
        <w:pStyle w:val="Heading1"/>
        <w:ind w:hanging="0" w:start="0"/>
        <w:rPr/>
      </w:pPr>
      <w:r>
        <w:rPr/>
        <w:t>Temporary and Official Service Lists</w:t>
      </w:r>
    </w:p>
    <w:p>
      <w:pPr>
        <w:pStyle w:val="standard"/>
        <w:rPr/>
      </w:pPr>
      <w:r>
        <w:rPr/>
        <w:t xml:space="preserve">The temporary service list attached to the Order Instituting Rulemaking (OIR) shall be used for service of all documents until the official service list for this proceeding is established at the PHC.  (OIR, Ordering Paragraph 8, page 17.)  Service shall also be performed on James Hendry, Administrative Law Judge (ALJ) Burton W. Mattson, and me, at the Commission.  Copies shall be served on James Hendry, ALJ Mattson, and me, so that they are delivered to our respective offices on the same day they are served, or the same day they are filed in the Docket Office.  </w:t>
      </w:r>
    </w:p>
    <w:p>
      <w:pPr>
        <w:pStyle w:val="standard"/>
        <w:rPr/>
      </w:pPr>
      <w:r>
        <w:rPr/>
        <w:t xml:space="preserve">Each person who wants to become a party to this proceeding is reminded that he or she must appear at the PHC, or subsequent hearing, and complete a Notice of Party/Non-Party Status (appearance) form.  (OIR, Ordering Paragraph 10, page 17.)  A person who does not want to become a party, but wants notice of hearings, rulings, proposed decisions, and decisions, may appear at the PHC and complete the information only (non-party) portion of the appearance form.  Alternatively, a request for information only status may be made in writing to the Process Office.  A person employed by the State of California may appear at the PHC and complete the state service (non-party) portion of the appearance form.  Alternatively, a request for state service status may be made in writing to the Process Office. </w:t>
      </w:r>
    </w:p>
    <w:p>
      <w:pPr>
        <w:pStyle w:val="standard"/>
        <w:rPr/>
      </w:pPr>
      <w:r>
        <w:rPr/>
        <w:t>The Process Office will prepare the service list based on PHC appearances, and written requests.  The service list shall be posted on the Commission’s web page (</w:t>
      </w:r>
      <w:hyperlink r:id="rId2">
        <w:r>
          <w:rPr>
            <w:rStyle w:val="Hyperlink"/>
          </w:rPr>
          <w:t>http://www.cpuc.ca.gov</w:t>
        </w:r>
      </w:hyperlink>
      <w:r>
        <w:rPr/>
        <w:t xml:space="preserve">).  A copy may also be obtained from the Process Office. </w:t>
      </w:r>
    </w:p>
    <w:p>
      <w:pPr>
        <w:pStyle w:val="Heading1"/>
        <w:ind w:hanging="0" w:start="0"/>
        <w:rPr/>
      </w:pPr>
      <w:r>
        <w:rPr/>
        <w:t>Service by Electronic Mail</w:t>
      </w:r>
    </w:p>
    <w:p>
      <w:pPr>
        <w:pStyle w:val="standard"/>
        <w:rPr/>
      </w:pPr>
      <w:r>
        <w:rPr/>
        <w:t xml:space="preserve">Persons with electronic mail capability shall serve a copy of all documents by electronic mail on James Hendry at </w:t>
      </w:r>
      <w:hyperlink r:id="rId3">
        <w:r>
          <w:rPr>
            <w:rStyle w:val="Hyperlink"/>
          </w:rPr>
          <w:t>jeh@cpuc.ca.gov</w:t>
        </w:r>
      </w:hyperlink>
      <w:r>
        <w:rPr/>
        <w:t xml:space="preserve">, and ALJ Mattson at </w:t>
      </w:r>
      <w:hyperlink r:id="rId4">
        <w:r>
          <w:rPr>
            <w:rStyle w:val="Hyperlink"/>
          </w:rPr>
          <w:t>bwm@cpuc.ca.gov</w:t>
        </w:r>
      </w:hyperlink>
      <w:r>
        <w:rPr/>
        <w:t>.  Persons are encouraged to also serve a copy by electronic mail on those persons with electronic mail addresses.</w:t>
      </w:r>
      <w:r>
        <w:rPr>
          <w:rStyle w:val="FootnoteCharacters"/>
          <w:rStyle w:val="FootnoteReference"/>
        </w:rPr>
        <w:footnoteReference w:id="2"/>
      </w:r>
      <w:r>
        <w:rPr/>
        <w:t xml:space="preserve">  Service of documents by electronic mail, however, does not vacate the Commission’s requirement to file and serve paper copies of each document on the Commission and the service list.  Persons who would like electronic mail service (as well as paper service) should provide an electronic mail address on their Notice of Party/Non-Party Status (appearance) form at the PHC, or by letter to the Process Office.</w:t>
      </w:r>
    </w:p>
    <w:p>
      <w:pPr>
        <w:pStyle w:val="BodyText"/>
        <w:ind w:firstLine="720" w:end="0"/>
        <w:rPr/>
      </w:pPr>
      <w:r>
        <w:rPr/>
        <w:t xml:space="preserve">Paper copies of Commission documents (e.g., notices, rulings, proposed decisions) will be filed and served.  To the extent feasible, the document, or a notice of its availability on the Commission’s web page, will also be served by electronic mail.  Any failure to perform service or notice by electronic mail, however, will not vacate the notice, ruling, proposed decision, or other document, as long as a paper copy is filed and served.  </w:t>
      </w:r>
    </w:p>
    <w:p>
      <w:pPr>
        <w:pStyle w:val="Heading1"/>
        <w:ind w:hanging="0" w:start="0"/>
        <w:rPr/>
      </w:pPr>
      <w:r>
        <w:rPr/>
        <w:t>PHC Statements</w:t>
      </w:r>
    </w:p>
    <w:p>
      <w:pPr>
        <w:pStyle w:val="standard"/>
        <w:rPr/>
      </w:pPr>
      <w:r>
        <w:rPr/>
        <w:t xml:space="preserve">Respondents, and any person who intends to appear at the PHC, may file and serve a PHC statement.  Pursuant to Rule 6.2, the statement may address the schedule, issues, and any matter related to the applicability of Article 2.5 of the Rules to this rulemaking.  Further, it should identify and discuss other issues respondents or persons will seek to address at the PHC. </w:t>
      </w:r>
    </w:p>
    <w:p>
      <w:pPr>
        <w:pStyle w:val="BodyText"/>
        <w:ind w:firstLine="720" w:end="0"/>
        <w:rPr/>
      </w:pPr>
      <w:r>
        <w:rPr/>
        <w:t xml:space="preserve">Each PHC statement shall be filed and served by noon on November 16, 2000.  Respondents and persons shall separately serve a copy on James Hendry, ALJ Mattson, and me, so that our respective copies are received by noon on November 16, 2000.  </w:t>
      </w:r>
    </w:p>
    <w:p>
      <w:pPr>
        <w:pStyle w:val="Heading1"/>
        <w:ind w:hanging="0" w:start="0"/>
        <w:rPr/>
      </w:pPr>
      <w:r>
        <w:rPr/>
        <w:t>Prehearing Conference</w:t>
      </w:r>
    </w:p>
    <w:p>
      <w:pPr>
        <w:pStyle w:val="standard"/>
        <w:rPr/>
      </w:pPr>
      <w:r>
        <w:rPr/>
        <w:t>A PHC will be held at 10:00 a.m. on November 17, 2000, in the Commission Courtroom, State Office Building, 505 Van Ness Avenue, San Francisco, California.</w:t>
      </w:r>
      <w:r>
        <w:br w:type="page"/>
      </w:r>
    </w:p>
    <w:p>
      <w:pPr>
        <w:pStyle w:val="standard"/>
        <w:rPr/>
      </w:pPr>
      <w:r>
        <w:rPr>
          <w:b/>
        </w:rPr>
        <w:t>IT IS RULED</w:t>
      </w:r>
      <w:r>
        <w:rPr/>
        <w:t xml:space="preserve"> that:</w:t>
      </w:r>
    </w:p>
    <w:p>
      <w:pPr>
        <w:pStyle w:val="num1"/>
        <w:numPr>
          <w:ilvl w:val="0"/>
          <w:numId w:val="2"/>
        </w:numPr>
        <w:rPr/>
      </w:pPr>
      <w:r>
        <w:rPr/>
        <w:tab/>
        <w:t>Respondents, parties, and persons shall serve documents on the temporary and official service lists, as appropriate, and shall also serve James Hendry, Administrative Law Judge (ALJ) Burton W. Mattson, and me, at the Commission.  Paper copies served on James Hendry, ALJ Mattson, and me, shall be served so that they are delivered to our respective offices on the same day they are served, or the same day they are filed in the Docket Office.</w:t>
      </w:r>
    </w:p>
    <w:p>
      <w:pPr>
        <w:pStyle w:val="num1"/>
        <w:numPr>
          <w:ilvl w:val="0"/>
          <w:numId w:val="2"/>
        </w:numPr>
        <w:rPr/>
      </w:pPr>
      <w:r>
        <w:rPr/>
        <w:tab/>
        <w:t xml:space="preserve">Respondents, parties and persons with electronic mail capability shall serve an electronic copy of all served documents on James Hendry at </w:t>
      </w:r>
      <w:hyperlink r:id="rId5">
        <w:r>
          <w:rPr>
            <w:rStyle w:val="Hyperlink"/>
          </w:rPr>
          <w:t>jeh@cpuc.ca.gov</w:t>
        </w:r>
      </w:hyperlink>
      <w:r>
        <w:rPr/>
        <w:t xml:space="preserve">, and ALJ Mattson at </w:t>
      </w:r>
      <w:hyperlink r:id="rId6">
        <w:r>
          <w:rPr>
            <w:rStyle w:val="Hyperlink"/>
          </w:rPr>
          <w:t>bwm@cpuc.ca.gov</w:t>
        </w:r>
      </w:hyperlink>
      <w:r>
        <w:rPr/>
        <w:t>.  Respondents, parties and persons are encouraged to also serve a copy by electronic mail on the service list.  Service by electronic mail, however, shall not vacate the Commission’s requirement for the filing and service of paper copies.</w:t>
      </w:r>
    </w:p>
    <w:p>
      <w:pPr>
        <w:pStyle w:val="num1"/>
        <w:numPr>
          <w:ilvl w:val="0"/>
          <w:numId w:val="2"/>
        </w:numPr>
        <w:rPr/>
      </w:pPr>
      <w:r>
        <w:rPr/>
        <w:tab/>
        <w:t>Respondents, and any person who intends to appear at the PHC, may file and serve a PHC statement, as described in the body of this ruling.  PHC statements shall be filed and served by noon on November 16, 2000.</w:t>
      </w:r>
    </w:p>
    <w:p>
      <w:pPr>
        <w:pStyle w:val="num1"/>
        <w:numPr>
          <w:ilvl w:val="0"/>
          <w:numId w:val="2"/>
        </w:numPr>
        <w:rPr/>
      </w:pPr>
      <w:r>
        <w:rPr/>
        <w:tab/>
        <w:t>A PHC shall be held at 10:00 a.m. on November 17, 2000, in the Commission Courtroom, State Office Building, 505 Van Ness Avenue, San Francisco, California.</w:t>
      </w:r>
    </w:p>
    <w:p>
      <w:pPr>
        <w:pStyle w:val="num1"/>
        <w:numPr>
          <w:ilvl w:val="0"/>
          <w:numId w:val="2"/>
        </w:numPr>
        <w:rPr/>
      </w:pPr>
      <w:r>
        <w:rPr/>
        <w:tab/>
        <w:t xml:space="preserve">This ruling shall be served on the temporary service list attached to the Order Instituting Rulemaking, plus James Hendry and ALJ Mattson.  </w:t>
      </w:r>
    </w:p>
    <w:p>
      <w:pPr>
        <w:pStyle w:val="standard"/>
        <w:rPr/>
      </w:pPr>
      <w:r>
        <w:rPr/>
        <w:t>Dated November 7, 2000, at San Francisco, California.</w:t>
      </w:r>
    </w:p>
    <w:p>
      <w:pPr>
        <w:pStyle w:val="num1"/>
        <w:numPr>
          <w:ilvl w:val="0"/>
          <w:numId w:val="0"/>
        </w:numPr>
        <w:ind w:hanging="0" w:start="0"/>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jc w:val="center"/>
              <w:rPr/>
            </w:pPr>
            <w:r>
              <w:rPr/>
              <w:t>/s/ LORETTA M. LYNCH</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Loretta M. Lynch</w:t>
            </w:r>
          </w:p>
          <w:p>
            <w:pPr>
              <w:pStyle w:val="Normal"/>
              <w:jc w:val="center"/>
              <w:rPr/>
            </w:pPr>
            <w:r>
              <w:rPr/>
              <w:t>Presiding Officer</w:t>
            </w:r>
          </w:p>
          <w:p>
            <w:pPr>
              <w:pStyle w:val="Normal"/>
              <w:jc w:val="center"/>
              <w:rPr/>
            </w:pPr>
            <w:r>
              <w:rPr/>
              <w:t>Assigned Commissioner</w:t>
            </w:r>
          </w:p>
        </w:tc>
      </w:tr>
    </w:tbl>
    <w:p>
      <w:pPr>
        <w:pStyle w:val="main"/>
        <w:ind w:hanging="2880" w:start="2880" w:end="0"/>
        <w:rPr/>
      </w:pPr>
      <w:r>
        <w:br w:type="page"/>
      </w: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Presiding Officer and Assigned Commissioner’s Ruling Addressing Administrative Matters and Setting a Prehearing Conference on all parties of record in this proceeding or their attorneys of record and on R.94-04-031 and I.94-04-032.</w:t>
      </w:r>
    </w:p>
    <w:p>
      <w:pPr>
        <w:pStyle w:val="standard"/>
        <w:rPr/>
      </w:pPr>
      <w:r>
        <w:rPr/>
        <w:t>Dated November 7, 2000, at San Francisco, California.</w:t>
      </w:r>
    </w:p>
    <w:p>
      <w:pPr>
        <w:pStyle w:val="Normal"/>
        <w:rPr/>
      </w:pPr>
      <w:r>
        <w:rPr/>
      </w:r>
    </w:p>
    <w:p>
      <w:pPr>
        <w:pStyle w:val="Normal"/>
        <w:rPr/>
      </w:pPr>
      <w:r>
        <w:rPr/>
      </w:r>
    </w:p>
    <w:p>
      <w:pPr>
        <w:pStyle w:val="Normal"/>
        <w:rPr/>
      </w:pPr>
      <w:r>
        <w:rPr/>
      </w:r>
    </w:p>
    <w:tbl>
      <w:tblPr>
        <w:tblW w:w="4410" w:type="dxa"/>
        <w:jc w:val="start"/>
        <w:tblInd w:w="4608" w:type="dxa"/>
        <w:tblLayout w:type="fixed"/>
        <w:tblCellMar>
          <w:top w:w="0" w:type="dxa"/>
          <w:start w:w="108" w:type="dxa"/>
          <w:bottom w:w="0" w:type="dxa"/>
          <w:end w:w="108" w:type="dxa"/>
        </w:tblCellMar>
      </w:tblPr>
      <w:tblGrid>
        <w:gridCol w:w="4410"/>
      </w:tblGrid>
      <w:tr>
        <w:trPr/>
        <w:tc>
          <w:tcPr>
            <w:tcW w:w="4410" w:type="dxa"/>
            <w:tcBorders>
              <w:bottom w:val="single" w:sz="6" w:space="0" w:color="000000"/>
            </w:tcBorders>
          </w:tcPr>
          <w:p>
            <w:pPr>
              <w:pStyle w:val="Footer"/>
              <w:tabs>
                <w:tab w:val="clear" w:pos="4320"/>
                <w:tab w:val="clear" w:pos="8640"/>
              </w:tabs>
              <w:rPr/>
            </w:pPr>
            <w:r>
              <w:rPr/>
              <w:t>/s/ ERLINDA A. PULMANO</w:t>
            </w:r>
          </w:p>
        </w:tc>
      </w:tr>
      <w:tr>
        <w:trPr/>
        <w:tc>
          <w:tcPr>
            <w:tcW w:w="4410" w:type="dxa"/>
            <w:tcBorders/>
          </w:tcPr>
          <w:p>
            <w:pPr>
              <w:pStyle w:val="Normal"/>
              <w:jc w:val="center"/>
              <w:rPr/>
            </w:pPr>
            <w:r>
              <w:rPr/>
              <w:t>Erlinda A. Pulmano</w:t>
            </w:r>
          </w:p>
        </w:tc>
      </w:tr>
    </w:tbl>
    <w:p>
      <w:pPr>
        <w:pStyle w:val="Normal"/>
        <w:rPr/>
      </w:pPr>
      <w:r>
        <w:rPr/>
      </w:r>
    </w:p>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pPr>
      <w:r>
        <w:rPr/>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83220</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Service of documents by electronic mail before availability of the official service list should be by use of the electronic mail addresses shown on the temporary service list attached to the OIR.  The official service list will be posted on the Commission’s web page, and electronic mail addresses will be included in Column D of the comma-delimited file.  Parties and persons should confirm that their electronic mail addresses are correctly stated on the Commission’s web page, and provide updates or corrections by letter to the Commission’s Process Office, with a copy served on ALJ Mattson and, if convenient, a copy served on the service list.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R.00-10-002  LYN/BWM/eap</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lvl>
    <w:lvl w:ilvl="1">
      <w:start w:val="1"/>
      <w:pStyle w:val="Heading2"/>
      <w:numFmt w:val="low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decimal"/>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adObjects" w:val=" "/>
    <w:docVar w:name="SelEnd" w:val=" "/>
    <w:docVar w:name="SelStart" w:val="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eastAsia="zh-CN" w:bidi="hi-IN"/>
    </w:rPr>
  </w:style>
  <w:style w:type="paragraph" w:styleId="Heading1">
    <w:name w:val="heading 1"/>
    <w:basedOn w:val="Normal"/>
    <w:next w:val="standard"/>
    <w:qFormat/>
    <w:pPr>
      <w:keepNext w:val="true"/>
      <w:numPr>
        <w:ilvl w:val="0"/>
        <w:numId w:val="1"/>
      </w:numPr>
      <w:tabs>
        <w:tab w:val="clear" w:pos="720"/>
      </w:tabs>
      <w:spacing w:before="120" w:after="12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outlineLvl w:val="1"/>
    </w:pPr>
    <w:rPr>
      <w:rFonts w:ascii="Helvetica;Arial" w:hAnsi="Helvetica;Arial" w:cs="Helvetica;Arial"/>
      <w:b/>
      <w:i/>
    </w:rPr>
  </w:style>
  <w:style w:type="paragraph" w:styleId="Heading3">
    <w:name w:val="heading 3"/>
    <w:basedOn w:val="Normal"/>
    <w:next w:val="sub2"/>
    <w:qFormat/>
    <w:pPr>
      <w:keepNext w:val="true"/>
      <w:numPr>
        <w:ilvl w:val="2"/>
        <w:numId w:val="1"/>
      </w:numPr>
      <w:spacing w:before="120" w:after="12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6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outlineLvl w:val="4"/>
    </w:pPr>
    <w:rPr>
      <w:rFonts w:ascii="Helvetica;Arial" w:hAnsi="Helvetica;Arial" w:cs="Helvetica;Arial"/>
      <w:b/>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1">
    <w:name w:val="WW8Num6z1"/>
    <w:qFormat/>
    <w:rPr>
      <w:b/>
      <w:i w:val="false"/>
    </w:rPr>
  </w:style>
  <w:style w:type="character" w:styleId="WW8Num7z0">
    <w:name w:val="WW8Num7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tabs>
        <w:tab w:val="clear" w:pos="720"/>
        <w:tab w:val="left" w:pos="0" w:leader="none"/>
      </w:tabs>
      <w:spacing w:lineRule="auto" w:line="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BodyTextIndent">
    <w:name w:val="Body Text Indent"/>
    <w:basedOn w:val="Normal"/>
    <w:pPr>
      <w:ind w:hanging="360" w:start="360" w:end="0"/>
    </w:pPr>
    <w:rPr/>
  </w:style>
  <w:style w:type="paragraph" w:styleId="BlockText">
    <w:name w:val="Block Text"/>
    <w:basedOn w:val="Normal"/>
    <w:qFormat/>
    <w:pPr>
      <w:ind w:hanging="0" w:start="720" w:end="720"/>
    </w:pPr>
    <w:rPr/>
  </w:style>
  <w:style w:type="paragraph" w:styleId="BodyTextIndent2">
    <w:name w:val="Body Text Indent 2"/>
    <w:basedOn w:val="Normal"/>
    <w:qFormat/>
    <w:pPr>
      <w:ind w:hanging="0" w:start="1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puc.ca.gov./" TargetMode="External"/><Relationship Id="rId3" Type="http://schemas.openxmlformats.org/officeDocument/2006/relationships/hyperlink" Target="mailto:jeh@cpuc.ca.gov" TargetMode="External"/><Relationship Id="rId4" Type="http://schemas.openxmlformats.org/officeDocument/2006/relationships/hyperlink" Target="mailto:bwm@cpuc.ca.gov" TargetMode="External"/><Relationship Id="rId5" Type="http://schemas.openxmlformats.org/officeDocument/2006/relationships/hyperlink" Target="mailto:jeh@cpuc.ca.gov" TargetMode="External"/><Relationship Id="rId6" Type="http://schemas.openxmlformats.org/officeDocument/2006/relationships/hyperlink" Target="mailto:bwm@cpuc.ca.gov"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2000-11-07T15:09:00Z</dcterms:created>
  <dc:creator>  </dc:creator>
  <dc:description/>
  <dc:language>en-CA</dc:language>
  <cp:lastModifiedBy>Erlinda Pulmano</cp:lastModifiedBy>
  <cp:lastPrinted>2000-11-07T11:31:00Z</cp:lastPrinted>
  <dcterms:modified xsi:type="dcterms:W3CDTF">2000-11-07T21:13:00Z</dcterms:modified>
  <cp:revision>7</cp:revision>
  <dc:subject/>
  <dc:title>BEFORE THE PUBLIC UTILITIES COMMISSION OF THE STATE OF CALIFORNIA</dc:title>
</cp:coreProperties>
</file>