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riefHeading"/>
        <w:rPr/>
      </w:pPr>
      <w:r>
        <w:rPr/>
        <w:t>Before The Public Utilities Commission Of The State Of California</w:t>
      </w:r>
    </w:p>
    <w:p>
      <w:pPr>
        <w:pStyle w:val="BriefHeading"/>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bottom w:val="single" w:sz="6" w:space="0" w:color="000000"/>
              <w:end w:val="single" w:sz="6" w:space="0" w:color="000000"/>
            </w:tcBorders>
          </w:tcPr>
          <w:p>
            <w:pPr>
              <w:pStyle w:val="Caption"/>
              <w:rPr>
                <w:rFonts w:ascii="Times New Roman" w:hAnsi="Times New Roman" w:cs="Times New Roman"/>
              </w:rPr>
            </w:pPr>
            <w:r>
              <w:rPr>
                <w:rFonts w:cs="Times New Roman" w:ascii="Times New Roman" w:hAnsi="Times New Roman"/>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Caption"/>
              <w:rPr>
                <w:rFonts w:ascii="Times New Roman" w:hAnsi="Times New Roman" w:cs="Times New Roman"/>
              </w:rPr>
            </w:pPr>
            <w:r>
              <w:rPr>
                <w:rFonts w:cs="Times New Roman" w:ascii="Times New Roman" w:hAnsi="Times New Roman"/>
              </w:rPr>
            </w:r>
          </w:p>
        </w:tc>
        <w:tc>
          <w:tcPr>
            <w:tcW w:w="4428" w:type="dxa"/>
            <w:tcBorders/>
          </w:tcPr>
          <w:p>
            <w:pPr>
              <w:pStyle w:val="Caption"/>
              <w:snapToGrid w:val="false"/>
              <w:jc w:val="center"/>
              <w:rPr>
                <w:rFonts w:ascii="Times New Roman" w:hAnsi="Times New Roman" w:cs="Times New Roman"/>
              </w:rPr>
            </w:pPr>
            <w:r>
              <w:rPr>
                <w:rFonts w:cs="Times New Roman" w:ascii="Times New Roman" w:hAnsi="Times New Roman"/>
              </w:rPr>
            </w:r>
          </w:p>
          <w:p>
            <w:pPr>
              <w:pStyle w:val="Caption"/>
              <w:jc w:val="center"/>
              <w:rPr>
                <w:rFonts w:ascii="Times New Roman" w:hAnsi="Times New Roman" w:cs="Times New Roman"/>
              </w:rPr>
            </w:pPr>
            <w:r>
              <w:rPr>
                <w:rFonts w:cs="Times New Roman" w:ascii="Times New Roman" w:hAnsi="Times New Roman"/>
              </w:rPr>
            </w:r>
          </w:p>
          <w:p>
            <w:pPr>
              <w:pStyle w:val="Caption"/>
              <w:jc w:val="center"/>
              <w:rPr>
                <w:rFonts w:ascii="Times New Roman" w:hAnsi="Times New Roman" w:cs="Times New Roman"/>
              </w:rPr>
            </w:pPr>
            <w:r>
              <w:rPr>
                <w:rFonts w:cs="Times New Roman" w:ascii="Times New Roman" w:hAnsi="Times New Roman"/>
              </w:rPr>
            </w:r>
          </w:p>
          <w:p>
            <w:pPr>
              <w:pStyle w:val="Caption"/>
              <w:jc w:val="center"/>
              <w:rPr>
                <w:rFonts w:ascii="Times New Roman" w:hAnsi="Times New Roman" w:cs="Times New Roman"/>
              </w:rPr>
            </w:pPr>
            <w:r>
              <w:rPr>
                <w:rFonts w:cs="Times New Roman" w:ascii="Times New Roman" w:hAnsi="Times New Roman"/>
              </w:rPr>
              <w:t>Investigation 99-07-003</w:t>
            </w:r>
          </w:p>
          <w:p>
            <w:pPr>
              <w:pStyle w:val="Caption"/>
              <w:jc w:val="center"/>
              <w:rPr>
                <w:rFonts w:ascii="Times New Roman" w:hAnsi="Times New Roman" w:cs="Times New Roman"/>
              </w:rPr>
            </w:pPr>
            <w:r>
              <w:rPr>
                <w:rFonts w:cs="Times New Roman" w:ascii="Times New Roman" w:hAnsi="Times New Roman"/>
              </w:rPr>
              <w:t>(Filed July 8, 1999)</w:t>
            </w:r>
          </w:p>
          <w:p>
            <w:pPr>
              <w:pStyle w:val="Caption"/>
              <w:jc w:val="center"/>
              <w:rPr>
                <w:rFonts w:ascii="Times New Roman" w:hAnsi="Times New Roman" w:cs="Times New Roman"/>
              </w:rPr>
            </w:pPr>
            <w:r>
              <w:rPr>
                <w:rFonts w:cs="Times New Roman" w:ascii="Times New Roman" w:hAnsi="Times New Roman"/>
              </w:rPr>
            </w:r>
          </w:p>
        </w:tc>
      </w:tr>
    </w:tbl>
    <w:p>
      <w:pPr>
        <w:pStyle w:val="BriefHeading"/>
        <w:jc w:val="start"/>
        <w:rPr/>
      </w:pPr>
      <w:r>
        <w:rPr/>
      </w:r>
    </w:p>
    <w:p>
      <w:pPr>
        <w:pStyle w:val="BriefHeading"/>
        <w:jc w:val="start"/>
        <w:rPr/>
      </w:pPr>
      <w:r>
        <w:rPr/>
      </w:r>
    </w:p>
    <w:p>
      <w:pPr>
        <w:pStyle w:val="BriefHeading"/>
        <w:jc w:val="start"/>
        <w:rPr/>
      </w:pPr>
      <w:r>
        <w:rPr/>
      </w:r>
    </w:p>
    <w:p>
      <w:pPr>
        <w:pStyle w:val="BriefHeading"/>
        <w:jc w:val="start"/>
        <w:rPr/>
      </w:pPr>
      <w:r>
        <w:rPr/>
      </w:r>
    </w:p>
    <w:p>
      <w:pPr>
        <w:pStyle w:val="BriefHeading"/>
        <w:rPr>
          <w:b/>
        </w:rPr>
      </w:pPr>
      <w:r>
        <w:rPr>
          <w:b/>
        </w:rPr>
        <w:t>OPENING BRIEF</w:t>
      </w:r>
    </w:p>
    <w:p>
      <w:pPr>
        <w:pStyle w:val="BriefHeading"/>
        <w:rPr>
          <w:b/>
        </w:rPr>
      </w:pPr>
      <w:r>
        <w:rPr>
          <w:b/>
        </w:rPr>
        <w:t>OF THE OFFICE OF RATEPAYER ADVOCATES</w:t>
      </w:r>
    </w:p>
    <w:p>
      <w:pPr>
        <w:pStyle w:val="Normal"/>
        <w:rPr>
          <w:rStyle w:val="LineNumber"/>
          <w:sz w:val="26"/>
        </w:rPr>
      </w:pPr>
      <w:r>
        <w:rPr>
          <w:b/>
        </w:rPr>
      </w:r>
    </w:p>
    <w:p>
      <w:pPr>
        <w:pStyle w:val="Normal"/>
        <w:rPr>
          <w:rStyle w:val="LineNumber"/>
          <w:sz w:val="26"/>
        </w:rPr>
      </w:pPr>
      <w:r>
        <w:rPr/>
      </w:r>
    </w:p>
    <w:p>
      <w:pPr>
        <w:pStyle w:val="Normal"/>
        <w:rPr>
          <w:rStyle w:val="LineNumber"/>
          <w:sz w:val="26"/>
        </w:rPr>
      </w:pPr>
      <w:r>
        <w:rPr/>
      </w:r>
    </w:p>
    <w:p>
      <w:pPr>
        <w:pStyle w:val="Normal"/>
        <w:rPr>
          <w:rStyle w:val="LineNumber"/>
          <w:sz w:val="26"/>
        </w:rPr>
      </w:pPr>
      <w:r>
        <w:rPr/>
      </w:r>
    </w:p>
    <w:p>
      <w:pPr>
        <w:pStyle w:val="Normal"/>
        <w:ind w:start="4680" w:end="0"/>
        <w:rPr/>
      </w:pPr>
      <w:r>
        <w:rPr>
          <w:rStyle w:val="LineNumber"/>
          <w:sz w:val="26"/>
        </w:rPr>
        <w:t>Patrick Gileau</w:t>
      </w:r>
    </w:p>
    <w:p>
      <w:pPr>
        <w:pStyle w:val="Normal"/>
        <w:ind w:start="4680" w:end="0"/>
        <w:rPr>
          <w:rStyle w:val="LineNumber"/>
          <w:sz w:val="26"/>
        </w:rPr>
      </w:pPr>
      <w:r>
        <w:rPr/>
      </w:r>
    </w:p>
    <w:p>
      <w:pPr>
        <w:pStyle w:val="Normal"/>
        <w:ind w:start="4680" w:end="0"/>
        <w:rPr/>
      </w:pPr>
      <w:r>
        <w:rPr>
          <w:rStyle w:val="LineNumber"/>
          <w:sz w:val="26"/>
        </w:rPr>
        <w:t>Attorney for the Office of Ratepayer Advocates</w:t>
      </w:r>
    </w:p>
    <w:p>
      <w:pPr>
        <w:pStyle w:val="Normal"/>
        <w:ind w:start="4680" w:end="0"/>
        <w:rPr>
          <w:rStyle w:val="LineNumber"/>
          <w:sz w:val="26"/>
        </w:rPr>
      </w:pPr>
      <w:r>
        <w:rPr/>
      </w:r>
    </w:p>
    <w:p>
      <w:pPr>
        <w:pStyle w:val="Normal"/>
        <w:ind w:start="4680" w:end="0"/>
        <w:rPr/>
      </w:pPr>
      <w:r>
        <w:rPr>
          <w:rStyle w:val="LineNumber"/>
          <w:sz w:val="26"/>
        </w:rPr>
        <w:t>California Public Utilities Commission</w:t>
      </w:r>
    </w:p>
    <w:p>
      <w:pPr>
        <w:pStyle w:val="Normal"/>
        <w:ind w:start="4680" w:end="0"/>
        <w:rPr/>
      </w:pPr>
      <w:r>
        <w:rPr>
          <w:rStyle w:val="LineNumber"/>
          <w:sz w:val="26"/>
        </w:rPr>
        <w:t>505 Van Ness Avenue</w:t>
      </w:r>
    </w:p>
    <w:p>
      <w:pPr>
        <w:pStyle w:val="Normal"/>
        <w:ind w:start="4680" w:end="0"/>
        <w:rPr/>
      </w:pPr>
      <w:r>
        <w:rPr>
          <w:rStyle w:val="LineNumber"/>
          <w:sz w:val="26"/>
        </w:rPr>
        <w:t>San Francisco, CA  94102</w:t>
      </w:r>
    </w:p>
    <w:p>
      <w:pPr>
        <w:pStyle w:val="Normal"/>
        <w:ind w:start="4680" w:end="0"/>
        <w:rPr/>
      </w:pPr>
      <w:r>
        <w:rPr>
          <w:rStyle w:val="LineNumber"/>
          <w:sz w:val="26"/>
        </w:rPr>
        <w:t>Telephone:  (415) 703-3080</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tabs>
          <w:tab w:val="clear" w:pos="4320"/>
          <w:tab w:val="clear" w:pos="8640"/>
          <w:tab w:val="right" w:pos="0" w:leader="none"/>
          <w:tab w:val="left" w:pos="4680" w:leader="none"/>
        </w:tabs>
        <w:rPr>
          <w:sz w:val="26"/>
        </w:rPr>
      </w:pPr>
      <w:r>
        <w:rPr>
          <w:rStyle w:val="LineNumber"/>
          <w:sz w:val="26"/>
        </w:rPr>
        <w:t>July 10, 2000</w:t>
        <w:tab/>
        <w:t>Facsimile:  (415) 703-2262</w:t>
      </w:r>
    </w:p>
    <w:p>
      <w:pPr>
        <w:pStyle w:val="Normal"/>
        <w:jc w:val="center"/>
        <w:rPr/>
      </w:pPr>
      <w:r>
        <w:rPr>
          <w:rStyle w:val="LineNumber"/>
          <w:b/>
          <w:sz w:val="26"/>
          <w:u w:val="single"/>
        </w:rPr>
        <w:t>TABLE OF CONTENTS</w:t>
      </w:r>
    </w:p>
    <w:p>
      <w:pPr>
        <w:pStyle w:val="Normal"/>
        <w:ind w:end="-180"/>
        <w:rPr/>
      </w:pPr>
      <w:r>
        <w:rPr>
          <w:rStyle w:val="LineNumber"/>
          <w:sz w:val="26"/>
        </w:rPr>
        <w:tab/>
        <w:tab/>
        <w:tab/>
        <w:tab/>
        <w:tab/>
        <w:tab/>
        <w:tab/>
        <w:tab/>
        <w:tab/>
        <w:tab/>
        <w:tab/>
        <w:tab/>
        <w:t xml:space="preserve">    </w:t>
      </w:r>
      <w:r>
        <w:rPr>
          <w:rStyle w:val="LineNumber"/>
          <w:b/>
          <w:sz w:val="26"/>
          <w:u w:val="single"/>
        </w:rPr>
        <w:t>Page</w:t>
      </w:r>
    </w:p>
    <w:p>
      <w:pPr>
        <w:pStyle w:val="Normal"/>
        <w:ind w:end="-180"/>
        <w:rPr>
          <w:rStyle w:val="LineNumber"/>
          <w:b/>
          <w:sz w:val="26"/>
          <w:u w:val="single"/>
        </w:rPr>
      </w:pPr>
      <w:r>
        <w:rPr/>
      </w:r>
    </w:p>
    <w:p>
      <w:pPr>
        <w:pStyle w:val="Normal"/>
        <w:tabs>
          <w:tab w:val="clear" w:pos="720"/>
          <w:tab w:val="right" w:pos="9360" w:leader="dot"/>
        </w:tabs>
        <w:rPr/>
      </w:pPr>
      <w:r>
        <w:rPr/>
        <w:t xml:space="preserve">TABLE OF AUTHORITIES </w:t>
        <w:tab/>
        <w:t>iv</w:t>
      </w:r>
    </w:p>
    <w:sdt>
      <w:sdtPr>
        <w:docPartObj>
          <w:docPartGallery w:val="Table of Contents"/>
          <w:docPartUnique w:val="true"/>
        </w:docPartObj>
      </w:sdtPr>
      <w:sdtContent>
        <w:p>
          <w:pPr>
            <w:pStyle w:val="TOC1"/>
            <w:tabs>
              <w:tab w:val="left" w:pos="720" w:leader="none"/>
              <w:tab w:val="right" w:pos="9360" w:leader="dot"/>
            </w:tabs>
            <w:rPr/>
          </w:pPr>
          <w:r>
            <w:fldChar w:fldCharType="begin"/>
          </w:r>
          <w:r>
            <w:rPr/>
            <w:instrText xml:space="preserve"> TOC \o "1-5" </w:instrText>
          </w:r>
          <w:r>
            <w:rPr/>
            <w:fldChar w:fldCharType="separate"/>
          </w:r>
          <w:r>
            <w:rPr/>
            <w:t>I.</w:t>
            <w:tab/>
            <w:tab/>
            <w:t>EXECUTIVE SUMMARY</w:t>
            <w:tab/>
          </w:r>
          <w:hyperlink w:anchor="__RefHeading___Toc487862204">
            <w:r>
              <w:rPr>
                <w:rStyle w:val="IndexLink"/>
              </w:rPr>
              <w:t>1</w:t>
            </w:r>
          </w:hyperlink>
        </w:p>
        <w:p>
          <w:pPr>
            <w:pStyle w:val="TOC1"/>
            <w:tabs>
              <w:tab w:val="left" w:pos="720" w:leader="none"/>
              <w:tab w:val="right" w:pos="9360" w:leader="dot"/>
            </w:tabs>
            <w:ind w:hanging="720" w:start="720" w:end="1440"/>
            <w:rPr/>
          </w:pPr>
          <w:r>
            <w:rPr/>
            <w:t>II.</w:t>
            <w:tab/>
            <w:t>THE COMPREHENSIVE SETTLEMENT IMPLEMENTS EACH OF THE COMMISSION’S PROMISING OPTIONS IN A REASONABLE FASHION</w:t>
            <w:tab/>
          </w:r>
          <w:hyperlink w:anchor="__RefHeading___Toc487862205">
            <w:r>
              <w:rPr>
                <w:rStyle w:val="IndexLink"/>
              </w:rPr>
              <w:t>6</w:t>
            </w:r>
          </w:hyperlink>
        </w:p>
        <w:p>
          <w:pPr>
            <w:pStyle w:val="TOC2"/>
            <w:tabs>
              <w:tab w:val="left" w:pos="900" w:leader="none"/>
              <w:tab w:val="left" w:pos="1080" w:leader="none"/>
              <w:tab w:val="right" w:pos="9360" w:leader="dot"/>
            </w:tabs>
            <w:ind w:hanging="0" w:end="1440"/>
            <w:rPr>
              <w:sz w:val="26"/>
            </w:rPr>
          </w:pPr>
          <w:r>
            <w:rPr>
              <w:sz w:val="26"/>
            </w:rPr>
            <w:t>A.</w:t>
            <w:tab/>
            <w:t>Intrastate Transmission</w:t>
            <w:tab/>
          </w:r>
          <w:hyperlink w:anchor="__RefHeading___Toc487862206">
            <w:r>
              <w:rPr>
                <w:rStyle w:val="IndexLink"/>
                <w:sz w:val="26"/>
              </w:rPr>
              <w:t>6</w:t>
            </w:r>
          </w:hyperlink>
        </w:p>
        <w:p>
          <w:pPr>
            <w:pStyle w:val="TOC3"/>
            <w:tabs>
              <w:tab w:val="left" w:pos="1109" w:leader="none"/>
              <w:tab w:val="right" w:pos="9360" w:leader="dot"/>
            </w:tabs>
            <w:rPr>
              <w:sz w:val="26"/>
            </w:rPr>
          </w:pPr>
          <w:r>
            <w:rPr>
              <w:sz w:val="26"/>
            </w:rPr>
            <w:t>1.</w:t>
            <w:tab/>
            <w:t>The Comprehensive Settlement would Implement All Five Promising Options Identified by the Commission for Intrastate Transmission</w:t>
            <w:tab/>
          </w:r>
          <w:hyperlink w:anchor="__RefHeading___Toc487862207">
            <w:r>
              <w:rPr>
                <w:rStyle w:val="IndexLink"/>
                <w:sz w:val="26"/>
              </w:rPr>
              <w:t>6</w:t>
            </w:r>
          </w:hyperlink>
        </w:p>
        <w:p>
          <w:pPr>
            <w:pStyle w:val="TOC3"/>
            <w:tabs>
              <w:tab w:val="left" w:pos="1109" w:leader="none"/>
              <w:tab w:val="right" w:pos="9360" w:leader="dot"/>
            </w:tabs>
            <w:rPr>
              <w:sz w:val="26"/>
            </w:rPr>
          </w:pPr>
          <w:r>
            <w:rPr>
              <w:sz w:val="26"/>
            </w:rPr>
            <w:t>2.</w:t>
            <w:tab/>
            <w:t>The Unbundling Provisions of the Comprehensive Settlement are Consistent with the Commission’s Long-term Goals</w:t>
            <w:tab/>
          </w:r>
          <w:hyperlink w:anchor="__RefHeading___Toc487862208">
            <w:r>
              <w:rPr>
                <w:rStyle w:val="IndexLink"/>
                <w:sz w:val="26"/>
              </w:rPr>
              <w:t>10</w:t>
            </w:r>
          </w:hyperlink>
        </w:p>
        <w:p>
          <w:pPr>
            <w:pStyle w:val="TOC3"/>
            <w:tabs>
              <w:tab w:val="left" w:pos="1109" w:leader="none"/>
              <w:tab w:val="right" w:pos="9360" w:leader="dot"/>
            </w:tabs>
            <w:rPr>
              <w:sz w:val="26"/>
            </w:rPr>
          </w:pPr>
          <w:r>
            <w:rPr>
              <w:sz w:val="26"/>
            </w:rPr>
            <w:t>3.</w:t>
            <w:tab/>
            <w:t>In Addition to Being Consistent with the Commission’s Long Term Goals, the Unbundling Provisions of the Comprehensive Settlement Provide Numerous Other Benefits to the Market in General and Core Customers in Particular</w:t>
            <w:tab/>
          </w:r>
          <w:hyperlink w:anchor="__RefHeading___Toc487862209">
            <w:r>
              <w:rPr>
                <w:rStyle w:val="IndexLink"/>
                <w:sz w:val="26"/>
              </w:rPr>
              <w:t>13</w:t>
            </w:r>
          </w:hyperlink>
        </w:p>
        <w:p>
          <w:pPr>
            <w:pStyle w:val="TOC3"/>
            <w:tabs>
              <w:tab w:val="left" w:pos="1109" w:leader="none"/>
              <w:tab w:val="right" w:pos="9360" w:leader="dot"/>
            </w:tabs>
            <w:rPr/>
          </w:pPr>
          <w:r>
            <w:rPr>
              <w:sz w:val="26"/>
            </w:rPr>
            <w:t>4.</w:t>
            <w:tab/>
            <w:t>The Objections to the Unbundling Provisions of the Settlement Are Unpersuasive</w:t>
            <w:tab/>
          </w:r>
          <w:hyperlink w:anchor="__RefHeading___Toc487862210">
            <w:r>
              <w:rPr>
                <w:rStyle w:val="IndexLink"/>
                <w:sz w:val="26"/>
              </w:rPr>
              <w:t>15</w:t>
            </w:r>
          </w:hyperlink>
        </w:p>
        <w:p>
          <w:pPr>
            <w:pStyle w:val="TOC4"/>
            <w:tabs>
              <w:tab w:val="left" w:pos="1109" w:leader="none"/>
              <w:tab w:val="left" w:pos="1440" w:leader="none"/>
              <w:tab w:val="right" w:pos="9360" w:leader="dot"/>
            </w:tabs>
            <w:spacing w:before="80" w:after="80"/>
            <w:ind w:hanging="270" w:start="1440" w:end="0"/>
            <w:rPr>
              <w:sz w:val="26"/>
              <w:lang w:val="en-CA"/>
            </w:rPr>
          </w:pPr>
          <w:r>
            <w:rPr>
              <w:sz w:val="26"/>
              <w:lang w:val="en-CA"/>
            </w:rPr>
            <w:t>a)</w:t>
            <w:tab/>
            <w:t>There are no Significant Operational Differences between the PG&amp;E and SoCalGas Systems</w:t>
            <w:tab/>
          </w:r>
          <w:hyperlink w:anchor="__RefHeading___Toc487862211">
            <w:r>
              <w:rPr>
                <w:rStyle w:val="IndexLink"/>
                <w:sz w:val="26"/>
                <w:lang w:val="en-CA"/>
              </w:rPr>
              <w:t>16</w:t>
            </w:r>
          </w:hyperlink>
        </w:p>
        <w:p>
          <w:pPr>
            <w:pStyle w:val="TOC4"/>
            <w:tabs>
              <w:tab w:val="left" w:pos="1109" w:leader="none"/>
              <w:tab w:val="left" w:pos="1440" w:leader="none"/>
              <w:tab w:val="right" w:pos="9360" w:leader="dot"/>
            </w:tabs>
            <w:spacing w:before="80" w:after="80"/>
            <w:ind w:hanging="270" w:start="1440" w:end="0"/>
            <w:rPr>
              <w:sz w:val="26"/>
              <w:lang w:val="en-CA"/>
            </w:rPr>
          </w:pPr>
          <w:r>
            <w:rPr>
              <w:sz w:val="26"/>
              <w:lang w:val="en-CA"/>
            </w:rPr>
            <w:t>b)</w:t>
            <w:tab/>
            <w:t>The Fact that Capacity Rights under the Gas Accord are Path Specific While the Comprehensive Settlement Allocates Receipt Point Rights Is Inconsequential in Terms of Achieving Statewide Consistency</w:t>
            <w:tab/>
          </w:r>
          <w:hyperlink w:anchor="__RefHeading___Toc487862212">
            <w:r>
              <w:rPr>
                <w:rStyle w:val="IndexLink"/>
                <w:sz w:val="26"/>
                <w:lang w:val="en-CA"/>
              </w:rPr>
              <w:t>16</w:t>
            </w:r>
          </w:hyperlink>
        </w:p>
        <w:p>
          <w:pPr>
            <w:pStyle w:val="TOC4"/>
            <w:tabs>
              <w:tab w:val="left" w:pos="1109" w:leader="none"/>
              <w:tab w:val="left" w:pos="1440" w:leader="none"/>
              <w:tab w:val="right" w:pos="9360" w:leader="dot"/>
            </w:tabs>
            <w:spacing w:before="80" w:after="80"/>
            <w:ind w:hanging="270" w:start="1440" w:end="0"/>
            <w:rPr>
              <w:sz w:val="26"/>
              <w:lang w:val="en-CA"/>
            </w:rPr>
          </w:pPr>
          <w:r>
            <w:rPr>
              <w:sz w:val="26"/>
              <w:lang w:val="en-CA"/>
            </w:rPr>
            <w:t>c)</w:t>
            <w:tab/>
            <w:t>The Concerns Expressed about Marketers are Unsupported</w:t>
            <w:tab/>
          </w:r>
          <w:hyperlink w:anchor="__RefHeading___Toc487862213">
            <w:r>
              <w:rPr>
                <w:rStyle w:val="IndexLink"/>
                <w:sz w:val="26"/>
                <w:lang w:val="en-CA"/>
              </w:rPr>
              <w:t>17</w:t>
            </w:r>
          </w:hyperlink>
        </w:p>
        <w:p>
          <w:pPr>
            <w:pStyle w:val="TOC4"/>
            <w:tabs>
              <w:tab w:val="left" w:pos="1109" w:leader="none"/>
              <w:tab w:val="left" w:pos="1440" w:leader="none"/>
              <w:tab w:val="right" w:pos="9360" w:leader="dot"/>
            </w:tabs>
            <w:spacing w:before="80" w:after="80"/>
            <w:ind w:hanging="270" w:start="1440" w:end="0"/>
            <w:rPr>
              <w:sz w:val="26"/>
              <w:lang w:val="en-CA"/>
            </w:rPr>
          </w:pPr>
          <w:r>
            <w:rPr>
              <w:sz w:val="26"/>
              <w:lang w:val="en-CA"/>
            </w:rPr>
            <w:t>d)</w:t>
            <w:tab/>
            <w:t>The Complaints Regarding the SFV and MFV Rate Designs for Firm Service Overstate the Costs and Underestimate the Benefits</w:t>
            <w:tab/>
          </w:r>
          <w:hyperlink w:anchor="__RefHeading___Toc487862214">
            <w:r>
              <w:rPr>
                <w:rStyle w:val="IndexLink"/>
                <w:sz w:val="26"/>
                <w:lang w:val="en-CA"/>
              </w:rPr>
              <w:t>19</w:t>
            </w:r>
          </w:hyperlink>
        </w:p>
        <w:p>
          <w:pPr>
            <w:pStyle w:val="TOC4"/>
            <w:tabs>
              <w:tab w:val="left" w:pos="1109" w:leader="none"/>
              <w:tab w:val="left" w:pos="1440" w:leader="none"/>
              <w:tab w:val="right" w:pos="9360" w:leader="dot"/>
            </w:tabs>
            <w:spacing w:before="80" w:after="80"/>
            <w:ind w:hanging="270" w:start="1440" w:end="0"/>
            <w:rPr>
              <w:sz w:val="26"/>
              <w:lang w:val="en-CA"/>
            </w:rPr>
          </w:pPr>
          <w:r>
            <w:rPr>
              <w:sz w:val="26"/>
              <w:lang w:val="en-CA"/>
            </w:rPr>
            <w:t>e)</w:t>
            <w:tab/>
            <w:t>The Comprehensive Settlement Will Not Adversely Impact the Core</w:t>
            <w:tab/>
          </w:r>
          <w:hyperlink w:anchor="__RefHeading___Toc487862215">
            <w:r>
              <w:rPr>
                <w:rStyle w:val="IndexLink"/>
                <w:sz w:val="26"/>
                <w:lang w:val="en-CA"/>
              </w:rPr>
              <w:t>24</w:t>
            </w:r>
          </w:hyperlink>
        </w:p>
        <w:p>
          <w:pPr>
            <w:pStyle w:val="TOC4"/>
            <w:tabs>
              <w:tab w:val="left" w:pos="1109" w:leader="none"/>
              <w:tab w:val="left" w:pos="1440" w:leader="none"/>
              <w:tab w:val="right" w:pos="9360" w:leader="dot"/>
            </w:tabs>
            <w:spacing w:before="80" w:after="80"/>
            <w:ind w:hanging="270" w:start="1440" w:end="0"/>
            <w:rPr>
              <w:sz w:val="26"/>
              <w:lang w:val="en-CA"/>
            </w:rPr>
          </w:pPr>
          <w:r>
            <w:rPr>
              <w:sz w:val="26"/>
              <w:lang w:val="en-CA"/>
            </w:rPr>
            <w:t>f)</w:t>
            <w:tab/>
            <w:t>There is no Market Support for the Auction Method Proposed by Long Beach</w:t>
            <w:tab/>
          </w:r>
          <w:hyperlink w:anchor="__RefHeading___Toc487862216">
            <w:r>
              <w:rPr>
                <w:rStyle w:val="IndexLink"/>
                <w:sz w:val="26"/>
                <w:lang w:val="en-CA"/>
              </w:rPr>
              <w:t>26</w:t>
            </w:r>
          </w:hyperlink>
        </w:p>
        <w:p>
          <w:pPr>
            <w:pStyle w:val="TOC2"/>
            <w:tabs>
              <w:tab w:val="left" w:pos="720" w:leader="none"/>
              <w:tab w:val="left" w:pos="1080" w:leader="none"/>
              <w:tab w:val="right" w:pos="9360" w:leader="dot"/>
            </w:tabs>
            <w:spacing w:before="80" w:after="80"/>
            <w:ind w:hanging="0" w:end="1440"/>
            <w:rPr>
              <w:sz w:val="26"/>
            </w:rPr>
          </w:pPr>
          <w:r>
            <w:rPr>
              <w:sz w:val="26"/>
            </w:rPr>
            <w:t>B.</w:t>
            <w:tab/>
            <w:t>Storage</w:t>
            <w:tab/>
          </w:r>
          <w:hyperlink w:anchor="__RefHeading___Toc487862217">
            <w:r>
              <w:rPr>
                <w:rStyle w:val="IndexLink"/>
                <w:sz w:val="26"/>
              </w:rPr>
              <w:t>27</w:t>
            </w:r>
          </w:hyperlink>
        </w:p>
        <w:p>
          <w:pPr>
            <w:pStyle w:val="TOC3"/>
            <w:tabs>
              <w:tab w:val="left" w:pos="1350" w:leader="none"/>
              <w:tab w:val="right" w:pos="9360" w:leader="dot"/>
            </w:tabs>
            <w:ind w:hanging="299" w:start="1350" w:end="1440"/>
            <w:rPr>
              <w:sz w:val="26"/>
            </w:rPr>
          </w:pPr>
          <w:r>
            <w:rPr>
              <w:sz w:val="26"/>
            </w:rPr>
            <w:t>1. The Comprehensive Settlement Achieves Each of the Commission’s Promising Options for Storage</w:t>
            <w:tab/>
          </w:r>
          <w:hyperlink w:anchor="__RefHeading___Toc487862218">
            <w:r>
              <w:rPr>
                <w:rStyle w:val="IndexLink"/>
                <w:sz w:val="26"/>
              </w:rPr>
              <w:t>27</w:t>
            </w:r>
          </w:hyperlink>
        </w:p>
        <w:p>
          <w:pPr>
            <w:pStyle w:val="TOC3"/>
            <w:tabs>
              <w:tab w:val="left" w:pos="1350" w:leader="none"/>
              <w:tab w:val="right" w:pos="9360" w:leader="dot"/>
            </w:tabs>
            <w:ind w:hanging="299" w:start="1350" w:end="1440"/>
            <w:rPr>
              <w:sz w:val="26"/>
            </w:rPr>
          </w:pPr>
          <w:r>
            <w:rPr>
              <w:sz w:val="26"/>
            </w:rPr>
            <w:t>2. The Storage Provisions of the Comprehensive Settlement Provide Significant Benefits to the Core and will Enhance the Development of a Competitive Storage Market</w:t>
            <w:tab/>
          </w:r>
          <w:hyperlink w:anchor="__RefHeading___Toc487862219">
            <w:r>
              <w:rPr>
                <w:rStyle w:val="IndexLink"/>
                <w:sz w:val="26"/>
              </w:rPr>
              <w:t>31</w:t>
            </w:r>
          </w:hyperlink>
        </w:p>
        <w:p>
          <w:pPr>
            <w:pStyle w:val="TOC3"/>
            <w:ind w:hanging="299" w:start="1350" w:end="1440"/>
            <w:rPr>
              <w:sz w:val="26"/>
            </w:rPr>
          </w:pPr>
          <w:r>
            <w:rPr>
              <w:sz w:val="26"/>
            </w:rPr>
            <w:t>3. The Complaints About the Storage Unbundling Provisions of the Comprehensive Settlement are Misplaced</w:t>
            <w:tab/>
          </w:r>
          <w:hyperlink w:anchor="__RefHeading___Toc487862220">
            <w:r>
              <w:rPr>
                <w:rStyle w:val="IndexLink"/>
                <w:sz w:val="26"/>
              </w:rPr>
              <w:t>33</w:t>
            </w:r>
          </w:hyperlink>
        </w:p>
        <w:p>
          <w:pPr>
            <w:pStyle w:val="TOC2"/>
            <w:tabs>
              <w:tab w:val="left" w:pos="900" w:leader="none"/>
              <w:tab w:val="left" w:pos="1080" w:leader="none"/>
              <w:tab w:val="right" w:pos="9360" w:leader="dot"/>
            </w:tabs>
            <w:ind w:hanging="0" w:end="1440"/>
            <w:rPr>
              <w:sz w:val="26"/>
            </w:rPr>
          </w:pPr>
          <w:r>
            <w:rPr>
              <w:sz w:val="26"/>
            </w:rPr>
            <w:t>C.</w:t>
            <w:tab/>
            <w:t>Interstate Capacity Unbundling the Core Customers</w:t>
            <w:tab/>
          </w:r>
          <w:hyperlink w:anchor="__RefHeading___Toc487862221">
            <w:r>
              <w:rPr>
                <w:rStyle w:val="IndexLink"/>
                <w:sz w:val="26"/>
              </w:rPr>
              <w:t>37</w:t>
            </w:r>
          </w:hyperlink>
        </w:p>
        <w:p>
          <w:pPr>
            <w:pStyle w:val="TOC3"/>
            <w:tabs>
              <w:tab w:val="left" w:pos="1260" w:leader="none"/>
              <w:tab w:val="right" w:pos="9360" w:leader="dot"/>
            </w:tabs>
            <w:ind w:hanging="180" w:start="1260" w:end="1440"/>
            <w:rPr>
              <w:sz w:val="26"/>
            </w:rPr>
          </w:pPr>
          <w:r>
            <w:rPr>
              <w:sz w:val="26"/>
            </w:rPr>
            <w:t>1. Interstate Capacity Unbundling Methodology</w:t>
            <w:tab/>
          </w:r>
          <w:hyperlink w:anchor="__RefHeading___Toc487862222">
            <w:r>
              <w:rPr>
                <w:rStyle w:val="IndexLink"/>
                <w:sz w:val="26"/>
              </w:rPr>
              <w:t>37</w:t>
            </w:r>
          </w:hyperlink>
        </w:p>
        <w:p>
          <w:pPr>
            <w:pStyle w:val="TOC3"/>
            <w:tabs>
              <w:tab w:val="left" w:pos="1260" w:leader="none"/>
              <w:tab w:val="right" w:pos="9360" w:leader="dot"/>
            </w:tabs>
            <w:spacing w:before="0" w:after="0"/>
            <w:ind w:hanging="180" w:start="1260" w:end="1440"/>
            <w:rPr>
              <w:sz w:val="26"/>
            </w:rPr>
          </w:pPr>
          <w:r>
            <w:rPr>
              <w:sz w:val="26"/>
            </w:rPr>
            <w:t xml:space="preserve">2. The Allocation of Stranded Interstate Capacity Costs is </w:t>
          </w:r>
        </w:p>
        <w:p>
          <w:pPr>
            <w:pStyle w:val="TOC3"/>
            <w:tabs>
              <w:tab w:val="left" w:pos="1350" w:leader="none"/>
              <w:tab w:val="right" w:pos="9360" w:leader="dot"/>
            </w:tabs>
            <w:spacing w:before="0" w:after="0"/>
            <w:ind w:hanging="0" w:start="1350" w:end="1440"/>
            <w:rPr>
              <w:sz w:val="26"/>
            </w:rPr>
          </w:pPr>
          <w:r>
            <w:rPr>
              <w:sz w:val="26"/>
            </w:rPr>
            <w:t>Fair to All Market Interests and Consistent with Commission Precedent</w:t>
            <w:tab/>
          </w:r>
          <w:hyperlink w:anchor="__RefHeading___Toc487862223">
            <w:r>
              <w:rPr>
                <w:rStyle w:val="IndexLink"/>
                <w:sz w:val="26"/>
              </w:rPr>
              <w:t>39</w:t>
            </w:r>
          </w:hyperlink>
        </w:p>
        <w:p>
          <w:pPr>
            <w:pStyle w:val="TOC3"/>
            <w:tabs>
              <w:tab w:val="left" w:pos="1350" w:leader="none"/>
              <w:tab w:val="right" w:pos="9360" w:leader="dot"/>
            </w:tabs>
            <w:spacing w:before="120" w:after="120"/>
            <w:ind w:hanging="274" w:start="1354" w:end="1440"/>
            <w:rPr>
              <w:sz w:val="26"/>
            </w:rPr>
          </w:pPr>
          <w:r>
            <w:rPr>
              <w:sz w:val="26"/>
            </w:rPr>
            <w:t>3. The Post-Interim Settlement’s Treatment of the Stranded Cost Issue is Unbalanced and Inconsistent with Commission Precedent</w:t>
            <w:tab/>
          </w:r>
          <w:hyperlink w:anchor="__RefHeading___Toc487862224">
            <w:r>
              <w:rPr>
                <w:rStyle w:val="IndexLink"/>
                <w:sz w:val="26"/>
              </w:rPr>
              <w:t>41</w:t>
            </w:r>
          </w:hyperlink>
        </w:p>
        <w:p>
          <w:pPr>
            <w:pStyle w:val="TOC3"/>
            <w:tabs>
              <w:tab w:val="left" w:pos="1350" w:leader="none"/>
              <w:tab w:val="right" w:pos="9360" w:leader="dot"/>
            </w:tabs>
            <w:ind w:hanging="270" w:start="1350" w:end="1440"/>
            <w:rPr>
              <w:sz w:val="26"/>
            </w:rPr>
          </w:pPr>
          <w:r>
            <w:rPr>
              <w:sz w:val="26"/>
            </w:rPr>
            <w:t>4. The Methodology for Quantifying Revenue from the Brokering of Core Capacity Eliminates any Potential Conflict of Interest</w:t>
            <w:tab/>
          </w:r>
          <w:hyperlink w:anchor="__RefHeading___Toc487862225">
            <w:r>
              <w:rPr>
                <w:rStyle w:val="IndexLink"/>
                <w:sz w:val="26"/>
              </w:rPr>
              <w:t>43</w:t>
            </w:r>
          </w:hyperlink>
        </w:p>
        <w:p>
          <w:pPr>
            <w:pStyle w:val="TOC3"/>
            <w:tabs>
              <w:tab w:val="left" w:pos="1260" w:leader="none"/>
              <w:tab w:val="right" w:pos="9360" w:leader="dot"/>
            </w:tabs>
            <w:spacing w:before="0" w:after="0"/>
            <w:ind w:hanging="180" w:start="1267" w:end="1440"/>
            <w:rPr>
              <w:sz w:val="26"/>
            </w:rPr>
          </w:pPr>
          <w:r>
            <w:rPr>
              <w:sz w:val="26"/>
            </w:rPr>
            <w:t xml:space="preserve">5. The Comprehensive Settlement Retains Highly Valuable </w:t>
          </w:r>
        </w:p>
        <w:p>
          <w:pPr>
            <w:pStyle w:val="TOC3"/>
            <w:tabs>
              <w:tab w:val="left" w:pos="1260" w:leader="none"/>
              <w:tab w:val="right" w:pos="9360" w:leader="dot"/>
            </w:tabs>
            <w:spacing w:before="0" w:after="0"/>
            <w:ind w:firstLine="90" w:start="1267" w:end="1440"/>
            <w:rPr>
              <w:sz w:val="26"/>
            </w:rPr>
          </w:pPr>
          <w:r>
            <w:rPr>
              <w:sz w:val="26"/>
            </w:rPr>
            <w:t>Interstate Capacity for Core Procurement Customers</w:t>
            <w:tab/>
          </w:r>
          <w:hyperlink w:anchor="__RefHeading___Toc487862226">
            <w:r>
              <w:rPr>
                <w:rStyle w:val="IndexLink"/>
                <w:sz w:val="26"/>
              </w:rPr>
              <w:t>43</w:t>
            </w:r>
          </w:hyperlink>
        </w:p>
        <w:p>
          <w:pPr>
            <w:pStyle w:val="TOC2"/>
            <w:tabs>
              <w:tab w:val="left" w:pos="900" w:leader="none"/>
              <w:tab w:val="right" w:pos="9360" w:leader="dot"/>
            </w:tabs>
            <w:spacing w:before="120" w:after="120"/>
            <w:ind w:hanging="0" w:end="1440"/>
            <w:rPr>
              <w:sz w:val="26"/>
            </w:rPr>
          </w:pPr>
          <w:r>
            <w:rPr>
              <w:sz w:val="26"/>
            </w:rPr>
            <w:t>D.   Balancing</w:t>
            <w:tab/>
          </w:r>
          <w:hyperlink w:anchor="__RefHeading___Toc487862227">
            <w:r>
              <w:rPr>
                <w:rStyle w:val="IndexLink"/>
                <w:sz w:val="26"/>
              </w:rPr>
              <w:t>45</w:t>
            </w:r>
          </w:hyperlink>
        </w:p>
        <w:p>
          <w:pPr>
            <w:pStyle w:val="TOC3"/>
            <w:tabs>
              <w:tab w:val="left" w:pos="1260" w:leader="none"/>
              <w:tab w:val="right" w:pos="9360" w:leader="dot"/>
            </w:tabs>
            <w:spacing w:before="0" w:after="0"/>
            <w:ind w:hanging="180" w:start="1267" w:end="1440"/>
            <w:rPr>
              <w:sz w:val="26"/>
            </w:rPr>
          </w:pPr>
          <w:r>
            <w:rPr>
              <w:sz w:val="26"/>
            </w:rPr>
            <w:t xml:space="preserve">1. The Comprehensive Settlement Separates Core and Noncore </w:t>
          </w:r>
        </w:p>
        <w:p>
          <w:pPr>
            <w:pStyle w:val="TOC3"/>
            <w:tabs>
              <w:tab w:val="left" w:pos="1260" w:leader="none"/>
              <w:tab w:val="right" w:pos="9360" w:leader="dot"/>
            </w:tabs>
            <w:spacing w:before="0" w:after="0"/>
            <w:ind w:firstLine="90" w:start="1267" w:end="1440"/>
            <w:rPr>
              <w:sz w:val="26"/>
            </w:rPr>
          </w:pPr>
          <w:r>
            <w:rPr>
              <w:sz w:val="26"/>
            </w:rPr>
            <w:t>Balancing Services As Envisioned in D.99</w:t>
            <w:noBreakHyphen/>
            <w:t>07-015</w:t>
            <w:tab/>
          </w:r>
          <w:hyperlink w:anchor="__RefHeading___Toc487862228">
            <w:r>
              <w:rPr>
                <w:rStyle w:val="IndexLink"/>
                <w:sz w:val="26"/>
              </w:rPr>
              <w:t>45</w:t>
            </w:r>
          </w:hyperlink>
        </w:p>
        <w:p>
          <w:pPr>
            <w:pStyle w:val="TOC3"/>
            <w:tabs>
              <w:tab w:val="left" w:pos="1260" w:leader="none"/>
              <w:tab w:val="right" w:pos="9360" w:leader="dot"/>
            </w:tabs>
            <w:spacing w:before="120" w:after="0"/>
            <w:ind w:hanging="187" w:start="1267" w:end="1440"/>
            <w:rPr>
              <w:sz w:val="26"/>
            </w:rPr>
          </w:pPr>
          <w:r>
            <w:rPr>
              <w:sz w:val="26"/>
            </w:rPr>
            <w:t>2. The Criticisms of the Comprehensive Settlement’s Balancing</w:t>
          </w:r>
        </w:p>
        <w:p>
          <w:pPr>
            <w:pStyle w:val="TOC3"/>
            <w:tabs>
              <w:tab w:val="left" w:pos="1260" w:leader="none"/>
              <w:tab w:val="right" w:pos="9360" w:leader="dot"/>
            </w:tabs>
            <w:spacing w:before="0" w:after="0"/>
            <w:ind w:firstLine="90" w:start="1267" w:end="1440"/>
            <w:rPr>
              <w:sz w:val="26"/>
            </w:rPr>
          </w:pPr>
          <w:r>
            <w:rPr>
              <w:sz w:val="26"/>
            </w:rPr>
            <w:t>Provisions Are Without Merit</w:t>
            <w:tab/>
          </w:r>
          <w:hyperlink w:anchor="__RefHeading___Toc487862229">
            <w:r>
              <w:rPr>
                <w:rStyle w:val="IndexLink"/>
                <w:sz w:val="26"/>
              </w:rPr>
              <w:t>46</w:t>
            </w:r>
          </w:hyperlink>
        </w:p>
        <w:p>
          <w:pPr>
            <w:pStyle w:val="TOC3"/>
            <w:tabs>
              <w:tab w:val="left" w:pos="1350" w:leader="none"/>
              <w:tab w:val="right" w:pos="9360" w:leader="dot"/>
            </w:tabs>
            <w:spacing w:before="120" w:after="120"/>
            <w:ind w:hanging="274" w:start="1354" w:end="1440"/>
            <w:rPr>
              <w:sz w:val="26"/>
            </w:rPr>
          </w:pPr>
          <w:r>
            <w:rPr>
              <w:sz w:val="26"/>
            </w:rPr>
            <w:t>3. The Comprehensive Settlement Contains Reasonable Provisions for Self-Balancing</w:t>
            <w:tab/>
          </w:r>
          <w:hyperlink w:anchor="__RefHeading___Toc487862230">
            <w:r>
              <w:rPr>
                <w:rStyle w:val="IndexLink"/>
                <w:sz w:val="26"/>
              </w:rPr>
              <w:t>49</w:t>
            </w:r>
          </w:hyperlink>
        </w:p>
        <w:p>
          <w:pPr>
            <w:pStyle w:val="TOC2"/>
            <w:tabs>
              <w:tab w:val="left" w:pos="1080" w:leader="none"/>
              <w:tab w:val="right" w:pos="9360" w:leader="dot"/>
            </w:tabs>
            <w:ind w:hanging="0" w:end="1440"/>
            <w:rPr>
              <w:sz w:val="26"/>
            </w:rPr>
          </w:pPr>
          <w:r>
            <w:rPr>
              <w:sz w:val="26"/>
            </w:rPr>
            <w:t>E.</w:t>
            <w:tab/>
            <w:t>Hub Services</w:t>
            <w:tab/>
          </w:r>
          <w:hyperlink w:anchor="__RefHeading___Toc487862231">
            <w:r>
              <w:rPr>
                <w:rStyle w:val="IndexLink"/>
                <w:sz w:val="26"/>
              </w:rPr>
              <w:t>50</w:t>
            </w:r>
          </w:hyperlink>
        </w:p>
        <w:p>
          <w:pPr>
            <w:pStyle w:val="TOC2"/>
            <w:tabs>
              <w:tab w:val="left" w:pos="1080" w:leader="none"/>
              <w:tab w:val="right" w:pos="9360" w:leader="dot"/>
            </w:tabs>
            <w:ind w:hanging="0" w:end="1440"/>
            <w:rPr>
              <w:sz w:val="26"/>
            </w:rPr>
          </w:pPr>
          <w:r>
            <w:rPr>
              <w:sz w:val="26"/>
            </w:rPr>
            <w:t>F.</w:t>
            <w:tab/>
            <w:t>Retail Issues</w:t>
            <w:tab/>
          </w:r>
          <w:hyperlink w:anchor="__RefHeading___Toc487862232">
            <w:r>
              <w:rPr>
                <w:rStyle w:val="IndexLink"/>
                <w:sz w:val="26"/>
              </w:rPr>
              <w:t>51</w:t>
            </w:r>
          </w:hyperlink>
        </w:p>
        <w:p>
          <w:pPr>
            <w:pStyle w:val="TOC3"/>
            <w:tabs>
              <w:tab w:val="left" w:pos="1350" w:leader="none"/>
              <w:tab w:val="right" w:pos="9360" w:leader="dot"/>
            </w:tabs>
            <w:ind w:hanging="270" w:start="1350" w:end="1440"/>
            <w:rPr>
              <w:sz w:val="26"/>
            </w:rPr>
          </w:pPr>
          <w:r>
            <w:rPr>
              <w:sz w:val="26"/>
            </w:rPr>
            <w:t>1. Thresholds for Participation in the Core Transportation  Aggregation Program are Eliminated</w:t>
            <w:tab/>
          </w:r>
          <w:hyperlink w:anchor="__RefHeading___Toc487862233">
            <w:r>
              <w:rPr>
                <w:rStyle w:val="IndexLink"/>
                <w:sz w:val="26"/>
              </w:rPr>
              <w:t>52</w:t>
            </w:r>
          </w:hyperlink>
        </w:p>
        <w:p>
          <w:pPr>
            <w:pStyle w:val="TOC3"/>
            <w:tabs>
              <w:tab w:val="left" w:pos="1260" w:leader="none"/>
              <w:tab w:val="right" w:pos="9360" w:leader="dot"/>
            </w:tabs>
            <w:ind w:hanging="180" w:start="1260" w:end="1440"/>
            <w:rPr>
              <w:sz w:val="26"/>
            </w:rPr>
          </w:pPr>
          <w:r>
            <w:rPr>
              <w:sz w:val="26"/>
            </w:rPr>
            <w:t>2. Core Subscription Service is Eliminated</w:t>
            <w:tab/>
          </w:r>
          <w:hyperlink w:anchor="__RefHeading___Toc487862234">
            <w:r>
              <w:rPr>
                <w:rStyle w:val="IndexLink"/>
                <w:sz w:val="26"/>
              </w:rPr>
              <w:t>53</w:t>
            </w:r>
          </w:hyperlink>
        </w:p>
        <w:p>
          <w:pPr>
            <w:pStyle w:val="TOC3"/>
            <w:tabs>
              <w:tab w:val="left" w:pos="1350" w:leader="none"/>
              <w:tab w:val="right" w:pos="9360" w:leader="dot"/>
            </w:tabs>
            <w:ind w:hanging="270" w:start="1350" w:end="1440"/>
            <w:rPr>
              <w:sz w:val="26"/>
            </w:rPr>
          </w:pPr>
          <w:r>
            <w:rPr>
              <w:sz w:val="26"/>
            </w:rPr>
            <w:t>3. A Re-examination of the Utility’s Role in Core Procurement is Deferred</w:t>
            <w:tab/>
          </w:r>
          <w:hyperlink w:anchor="__RefHeading___Toc487862235">
            <w:r>
              <w:rPr>
                <w:rStyle w:val="IndexLink"/>
                <w:sz w:val="26"/>
              </w:rPr>
              <w:t>53</w:t>
            </w:r>
          </w:hyperlink>
        </w:p>
        <w:p>
          <w:pPr>
            <w:pStyle w:val="TOC3"/>
            <w:tabs>
              <w:tab w:val="left" w:pos="1350" w:leader="none"/>
              <w:tab w:val="right" w:pos="9360" w:leader="dot"/>
            </w:tabs>
            <w:ind w:hanging="360" w:start="1440" w:end="1440"/>
            <w:rPr>
              <w:sz w:val="26"/>
            </w:rPr>
          </w:pPr>
          <w:r>
            <w:rPr>
              <w:sz w:val="26"/>
            </w:rPr>
            <w:t>4. The Comprehensive Settlement Improves Access to Information</w:t>
            <w:tab/>
          </w:r>
          <w:hyperlink w:anchor="__RefHeading___Toc487862236">
            <w:r>
              <w:rPr>
                <w:rStyle w:val="IndexLink"/>
                <w:sz w:val="26"/>
              </w:rPr>
              <w:t>54</w:t>
            </w:r>
          </w:hyperlink>
        </w:p>
        <w:p>
          <w:pPr>
            <w:pStyle w:val="TOC3"/>
            <w:tabs>
              <w:tab w:val="left" w:pos="1350" w:leader="none"/>
              <w:tab w:val="right" w:pos="9360" w:leader="dot"/>
            </w:tabs>
            <w:ind w:hanging="270" w:start="1350" w:end="1440"/>
            <w:rPr>
              <w:sz w:val="26"/>
            </w:rPr>
          </w:pPr>
          <w:r>
            <w:rPr>
              <w:sz w:val="26"/>
            </w:rPr>
            <w:t>5. The Comprehensive Settlement Includes a Pilot Meter Ownership Program</w:t>
            <w:tab/>
          </w:r>
          <w:hyperlink w:anchor="__RefHeading___Toc487862237">
            <w:r>
              <w:rPr>
                <w:rStyle w:val="IndexLink"/>
                <w:sz w:val="26"/>
              </w:rPr>
              <w:t>54</w:t>
            </w:r>
          </w:hyperlink>
        </w:p>
        <w:p>
          <w:pPr>
            <w:pStyle w:val="TOC3"/>
            <w:tabs>
              <w:tab w:val="left" w:pos="1260" w:leader="none"/>
              <w:tab w:val="right" w:pos="9360" w:leader="dot"/>
            </w:tabs>
            <w:spacing w:before="0" w:after="0"/>
            <w:ind w:hanging="187" w:start="1267" w:end="1440"/>
            <w:rPr>
              <w:sz w:val="26"/>
            </w:rPr>
          </w:pPr>
          <w:r>
            <w:rPr>
              <w:sz w:val="26"/>
            </w:rPr>
            <w:t xml:space="preserve">6. The Comprehensive Settlement Provides Billing Options </w:t>
          </w:r>
        </w:p>
        <w:p>
          <w:pPr>
            <w:pStyle w:val="TOC3"/>
            <w:tabs>
              <w:tab w:val="left" w:pos="1350" w:leader="none"/>
              <w:tab w:val="right" w:pos="9360" w:leader="dot"/>
            </w:tabs>
            <w:ind w:hanging="0" w:start="1350" w:end="1440"/>
            <w:rPr>
              <w:sz w:val="26"/>
            </w:rPr>
          </w:pPr>
          <w:r>
            <w:rPr>
              <w:sz w:val="26"/>
            </w:rPr>
            <w:t>Comparable to Those Available in the Electric Industry</w:t>
            <w:tab/>
          </w:r>
          <w:hyperlink w:anchor="__RefHeading___Toc487862238">
            <w:r>
              <w:rPr>
                <w:rStyle w:val="IndexLink"/>
                <w:sz w:val="26"/>
              </w:rPr>
              <w:t>55</w:t>
            </w:r>
          </w:hyperlink>
        </w:p>
        <w:p>
          <w:pPr>
            <w:pStyle w:val="TOC1"/>
            <w:tabs>
              <w:tab w:val="left" w:pos="720" w:leader="none"/>
              <w:tab w:val="right" w:pos="9360" w:leader="dot"/>
            </w:tabs>
            <w:ind w:hanging="720" w:start="720" w:end="1440"/>
            <w:rPr/>
          </w:pPr>
          <w:r>
            <w:rPr/>
            <w:t>III.</w:t>
            <w:tab/>
            <w:t>THE NUMEROUS BENEFITS OF THE COMPREHENSIVE SETTLEMENT FAR OUTWEIGH THE COSTS.  THE SETTLEMENT HAS BROAD MARKET SUPPORT, IS IN THE PUBLIC INTEREST AND SHOULD BE ADOPTED WITHOUT CHANGE</w:t>
            <w:tab/>
          </w:r>
          <w:hyperlink w:anchor="__RefHeading___Toc487862239">
            <w:r>
              <w:rPr>
                <w:rStyle w:val="IndexLink"/>
              </w:rPr>
              <w:t>56</w:t>
            </w:r>
          </w:hyperlink>
        </w:p>
        <w:p>
          <w:pPr>
            <w:pStyle w:val="TOC1"/>
            <w:tabs>
              <w:tab w:val="left" w:pos="720" w:leader="none"/>
              <w:tab w:val="right" w:pos="9360" w:leader="dot"/>
            </w:tabs>
            <w:ind w:hanging="720" w:start="720" w:end="1440"/>
            <w:rPr/>
          </w:pPr>
          <w:r>
            <w:rPr/>
            <w:t>IV.</w:t>
            <w:tab/>
            <w:t>THE POST-INTERIM SETTLEMENT DOES LITTLE MORE THAN PRESERVE THE STATUS QUO AND SHOULD BE REJECTED</w:t>
            <w:tab/>
          </w:r>
          <w:hyperlink w:anchor="__RefHeading___Toc487862240">
            <w:r>
              <w:rPr>
                <w:rStyle w:val="IndexLink"/>
              </w:rPr>
              <w:t>63</w:t>
            </w:r>
          </w:hyperlink>
        </w:p>
        <w:p>
          <w:pPr>
            <w:pStyle w:val="TOC1"/>
            <w:tabs>
              <w:tab w:val="left" w:pos="720" w:leader="none"/>
              <w:tab w:val="right" w:pos="9360" w:leader="dot"/>
            </w:tabs>
            <w:rPr/>
          </w:pPr>
          <w:r>
            <w:rPr/>
            <w:t>V.</w:t>
            <w:tab/>
            <w:t>CONCLUSION</w:t>
            <w:tab/>
          </w:r>
          <w:hyperlink w:anchor="__RefHeading___Toc487862241">
            <w:r>
              <w:rPr>
                <w:rStyle w:val="IndexLink"/>
              </w:rPr>
              <w:t>66</w:t>
            </w:r>
          </w:hyperlink>
          <w:r>
            <w:rPr>
              <w:rStyle w:val="IndexLink"/>
            </w:rPr>
            <w:fldChar w:fldCharType="end"/>
          </w:r>
        </w:p>
      </w:sdtContent>
    </w:sdt>
    <w:p>
      <w:pPr>
        <w:pStyle w:val="Normal"/>
        <w:rPr>
          <w:rStyle w:val="LineNumber"/>
          <w:b/>
          <w:caps/>
          <w:sz w:val="26"/>
          <w:lang w:val="en-CA"/>
        </w:rPr>
      </w:pPr>
      <w:r>
        <w:rPr/>
      </w:r>
    </w:p>
    <w:p>
      <w:pPr>
        <w:pStyle w:val="Normal"/>
        <w:rPr/>
      </w:pPr>
      <w:r>
        <w:rPr>
          <w:rStyle w:val="LineNumber"/>
          <w:sz w:val="26"/>
        </w:rPr>
        <w:t>CERTIFICATE OF SERVICE</w:t>
      </w:r>
      <w:r>
        <w:br w:type="page"/>
      </w:r>
    </w:p>
    <w:p>
      <w:pPr>
        <w:pStyle w:val="Normal"/>
        <w:jc w:val="center"/>
        <w:rPr/>
      </w:pPr>
      <w:r>
        <w:rPr>
          <w:rStyle w:val="LineNumber"/>
          <w:b/>
          <w:sz w:val="26"/>
          <w:u w:val="single"/>
        </w:rPr>
        <w:t>TABLE OF AUTHORITIES</w:t>
      </w:r>
    </w:p>
    <w:p>
      <w:pPr>
        <w:pStyle w:val="Normal"/>
        <w:rPr>
          <w:rStyle w:val="LineNumber"/>
          <w:b/>
          <w:sz w:val="26"/>
          <w:u w:val="single"/>
        </w:rPr>
      </w:pPr>
      <w:r>
        <w:rPr/>
      </w:r>
    </w:p>
    <w:p>
      <w:pPr>
        <w:pStyle w:val="Normal"/>
        <w:rPr/>
      </w:pPr>
      <w:r>
        <w:rPr>
          <w:b/>
          <w:sz w:val="26"/>
        </w:rPr>
        <w:tab/>
        <w:tab/>
        <w:tab/>
        <w:tab/>
        <w:tab/>
        <w:tab/>
        <w:tab/>
        <w:tab/>
        <w:tab/>
        <w:tab/>
        <w:tab/>
        <w:t xml:space="preserve">  </w:t>
      </w:r>
      <w:r>
        <w:rPr>
          <w:b/>
          <w:sz w:val="26"/>
          <w:u w:val="single"/>
        </w:rPr>
        <w:t>Page</w:t>
      </w:r>
    </w:p>
    <w:p>
      <w:pPr>
        <w:pStyle w:val="Normal"/>
        <w:rPr>
          <w:b/>
          <w:sz w:val="28"/>
          <w:u w:val="single"/>
        </w:rPr>
      </w:pPr>
      <w:r>
        <w:rPr>
          <w:b/>
          <w:sz w:val="28"/>
          <w:u w:val="single"/>
        </w:rPr>
      </w:r>
    </w:p>
    <w:p>
      <w:pPr>
        <w:pStyle w:val="Normal"/>
        <w:rPr>
          <w:b/>
          <w:sz w:val="26"/>
          <w:u w:val="single"/>
        </w:rPr>
      </w:pPr>
      <w:r>
        <w:rPr>
          <w:b/>
          <w:sz w:val="26"/>
          <w:u w:val="single"/>
        </w:rPr>
        <w:t>CPUC Decisions</w:t>
      </w:r>
    </w:p>
    <w:p>
      <w:pPr>
        <w:pStyle w:val="Normal"/>
        <w:rPr>
          <w:b/>
          <w:sz w:val="26"/>
          <w:u w:val="single"/>
        </w:rPr>
      </w:pPr>
      <w:r>
        <w:rPr>
          <w:b/>
          <w:sz w:val="26"/>
          <w:u w:val="single"/>
        </w:rPr>
      </w:r>
    </w:p>
    <w:p>
      <w:pPr>
        <w:pStyle w:val="Normal"/>
        <w:rPr>
          <w:sz w:val="26"/>
          <w:u w:val="single"/>
        </w:rPr>
      </w:pPr>
      <w:r>
        <w:rPr>
          <w:sz w:val="26"/>
          <w:u w:val="single"/>
        </w:rPr>
        <w:t>Re New Regulatory Framework for Gas Utilities</w:t>
      </w:r>
    </w:p>
    <w:p>
      <w:pPr>
        <w:pStyle w:val="Normal"/>
        <w:tabs>
          <w:tab w:val="clear" w:pos="720"/>
          <w:tab w:val="right" w:pos="8640" w:leader="dot"/>
        </w:tabs>
        <w:rPr>
          <w:sz w:val="26"/>
        </w:rPr>
      </w:pPr>
      <w:r>
        <w:rPr>
          <w:sz w:val="26"/>
        </w:rPr>
        <w:t xml:space="preserve">  </w:t>
      </w:r>
      <w:r>
        <w:rPr>
          <w:sz w:val="26"/>
        </w:rPr>
        <w:t>D. 86-12-010, 22 CPUC 2d 491</w:t>
        <w:tab/>
        <w:t xml:space="preserve"> 4</w:t>
      </w:r>
    </w:p>
    <w:p>
      <w:pPr>
        <w:pStyle w:val="Normal"/>
        <w:tabs>
          <w:tab w:val="clear" w:pos="720"/>
          <w:tab w:val="right" w:pos="8640" w:leader="dot"/>
        </w:tabs>
        <w:rPr>
          <w:sz w:val="26"/>
        </w:rPr>
      </w:pPr>
      <w:r>
        <w:rPr>
          <w:sz w:val="26"/>
        </w:rPr>
      </w:r>
    </w:p>
    <w:p>
      <w:pPr>
        <w:pStyle w:val="Normal"/>
        <w:rPr>
          <w:sz w:val="26"/>
          <w:u w:val="single"/>
        </w:rPr>
      </w:pPr>
      <w:r>
        <w:rPr>
          <w:sz w:val="26"/>
          <w:u w:val="single"/>
        </w:rPr>
        <w:t>Re Rate Design for Unbundled Gas Utility Services</w:t>
      </w:r>
    </w:p>
    <w:p>
      <w:pPr>
        <w:pStyle w:val="Normal"/>
        <w:tabs>
          <w:tab w:val="clear" w:pos="720"/>
          <w:tab w:val="right" w:pos="8640" w:leader="dot"/>
        </w:tabs>
        <w:rPr>
          <w:sz w:val="26"/>
        </w:rPr>
      </w:pPr>
      <w:r>
        <w:rPr>
          <w:sz w:val="26"/>
        </w:rPr>
        <w:t xml:space="preserve">  </w:t>
      </w:r>
      <w:r>
        <w:rPr>
          <w:sz w:val="26"/>
        </w:rPr>
        <w:t>D.87-12-039, 26 CPUC 2d 213</w:t>
        <w:tab/>
        <w:t xml:space="preserve"> 23</w:t>
      </w:r>
    </w:p>
    <w:p>
      <w:pPr>
        <w:pStyle w:val="Normal"/>
        <w:tabs>
          <w:tab w:val="clear" w:pos="720"/>
          <w:tab w:val="right" w:pos="8640" w:leader="dot"/>
        </w:tabs>
        <w:rPr>
          <w:sz w:val="26"/>
        </w:rPr>
      </w:pPr>
      <w:r>
        <w:rPr>
          <w:sz w:val="26"/>
        </w:rPr>
      </w:r>
    </w:p>
    <w:p>
      <w:pPr>
        <w:pStyle w:val="Normal"/>
        <w:rPr>
          <w:sz w:val="26"/>
          <w:u w:val="single"/>
        </w:rPr>
      </w:pPr>
      <w:r>
        <w:rPr>
          <w:sz w:val="26"/>
          <w:u w:val="single"/>
        </w:rPr>
        <w:t>Re New Regulatory Framework for Gas Utilities</w:t>
      </w:r>
    </w:p>
    <w:p>
      <w:pPr>
        <w:pStyle w:val="Normal"/>
        <w:tabs>
          <w:tab w:val="clear" w:pos="720"/>
          <w:tab w:val="right" w:pos="8640" w:leader="dot"/>
        </w:tabs>
        <w:rPr>
          <w:sz w:val="26"/>
        </w:rPr>
      </w:pPr>
      <w:r>
        <w:rPr>
          <w:sz w:val="26"/>
        </w:rPr>
        <w:t xml:space="preserve">  </w:t>
      </w:r>
      <w:r>
        <w:rPr>
          <w:sz w:val="26"/>
        </w:rPr>
        <w:t>D.91-02-040, 39 CPUC 2d 360</w:t>
        <w:tab/>
        <w:t xml:space="preserve"> 4</w:t>
      </w:r>
    </w:p>
    <w:p>
      <w:pPr>
        <w:pStyle w:val="Normal"/>
        <w:tabs>
          <w:tab w:val="clear" w:pos="720"/>
          <w:tab w:val="right" w:pos="8640" w:leader="dot"/>
        </w:tabs>
        <w:rPr>
          <w:sz w:val="26"/>
        </w:rPr>
      </w:pPr>
      <w:r>
        <w:rPr>
          <w:sz w:val="26"/>
        </w:rPr>
      </w:r>
    </w:p>
    <w:p>
      <w:pPr>
        <w:pStyle w:val="Normal"/>
        <w:rPr>
          <w:sz w:val="26"/>
          <w:u w:val="single"/>
        </w:rPr>
      </w:pPr>
      <w:r>
        <w:rPr>
          <w:sz w:val="26"/>
          <w:u w:val="single"/>
        </w:rPr>
        <w:t>Re Natural Gas Procurement and Reliability Issues</w:t>
      </w:r>
    </w:p>
    <w:p>
      <w:pPr>
        <w:pStyle w:val="Normal"/>
        <w:tabs>
          <w:tab w:val="clear" w:pos="720"/>
          <w:tab w:val="right" w:pos="8640" w:leader="dot"/>
        </w:tabs>
        <w:rPr>
          <w:sz w:val="26"/>
        </w:rPr>
      </w:pPr>
      <w:r>
        <w:rPr>
          <w:sz w:val="26"/>
        </w:rPr>
        <w:t xml:space="preserve">  </w:t>
      </w:r>
      <w:r>
        <w:rPr>
          <w:sz w:val="26"/>
        </w:rPr>
        <w:t>D.91-11-025, 41 CPUC 2d 668</w:t>
        <w:tab/>
        <w:t xml:space="preserve"> 4,19,62</w:t>
      </w:r>
    </w:p>
    <w:p>
      <w:pPr>
        <w:pStyle w:val="Normal"/>
        <w:tabs>
          <w:tab w:val="clear" w:pos="720"/>
          <w:tab w:val="right" w:pos="8640" w:leader="dot"/>
        </w:tabs>
        <w:rPr>
          <w:sz w:val="26"/>
        </w:rPr>
      </w:pPr>
      <w:r>
        <w:rPr>
          <w:sz w:val="26"/>
        </w:rPr>
      </w:r>
    </w:p>
    <w:p>
      <w:pPr>
        <w:pStyle w:val="Normal"/>
        <w:rPr>
          <w:sz w:val="26"/>
          <w:u w:val="single"/>
        </w:rPr>
      </w:pPr>
      <w:r>
        <w:rPr>
          <w:sz w:val="26"/>
          <w:u w:val="single"/>
        </w:rPr>
        <w:t>Re Natural Gas Procurement and System</w:t>
      </w:r>
    </w:p>
    <w:p>
      <w:pPr>
        <w:pStyle w:val="Normal"/>
        <w:tabs>
          <w:tab w:val="clear" w:pos="720"/>
          <w:tab w:val="right" w:pos="8640" w:leader="dot"/>
        </w:tabs>
        <w:rPr/>
      </w:pPr>
      <w:r>
        <w:rPr>
          <w:sz w:val="26"/>
        </w:rPr>
        <w:t xml:space="preserve">  </w:t>
      </w:r>
      <w:r>
        <w:rPr>
          <w:sz w:val="26"/>
          <w:u w:val="single"/>
        </w:rPr>
        <w:t>Reliability Issues</w:t>
      </w:r>
    </w:p>
    <w:p>
      <w:pPr>
        <w:pStyle w:val="Normal"/>
        <w:tabs>
          <w:tab w:val="clear" w:pos="720"/>
          <w:tab w:val="right" w:pos="8640" w:leader="dot"/>
        </w:tabs>
        <w:rPr>
          <w:sz w:val="26"/>
        </w:rPr>
      </w:pPr>
      <w:r>
        <w:rPr>
          <w:sz w:val="26"/>
        </w:rPr>
        <w:t xml:space="preserve">  </w:t>
      </w:r>
      <w:r>
        <w:rPr>
          <w:sz w:val="26"/>
        </w:rPr>
        <w:t>D.93-02-013, 48 CPUC 2d 107</w:t>
        <w:tab/>
        <w:t xml:space="preserve"> 4,27</w:t>
      </w:r>
    </w:p>
    <w:p>
      <w:pPr>
        <w:pStyle w:val="Normal"/>
        <w:tabs>
          <w:tab w:val="clear" w:pos="720"/>
          <w:tab w:val="right" w:pos="8640" w:leader="dot"/>
        </w:tabs>
        <w:rPr>
          <w:sz w:val="26"/>
          <w:u w:val="single"/>
        </w:rPr>
      </w:pPr>
      <w:r>
        <w:rPr>
          <w:sz w:val="26"/>
          <w:u w:val="single"/>
        </w:rPr>
      </w:r>
    </w:p>
    <w:p>
      <w:pPr>
        <w:pStyle w:val="Normal"/>
        <w:tabs>
          <w:tab w:val="clear" w:pos="720"/>
          <w:tab w:val="right" w:pos="8640" w:leader="dot"/>
        </w:tabs>
        <w:rPr>
          <w:sz w:val="26"/>
          <w:u w:val="single"/>
        </w:rPr>
      </w:pPr>
      <w:r>
        <w:rPr>
          <w:sz w:val="26"/>
          <w:u w:val="single"/>
        </w:rPr>
        <w:t xml:space="preserve">Re Southern California Gas Co./San Diego Gas &amp; </w:t>
      </w:r>
    </w:p>
    <w:p>
      <w:pPr>
        <w:pStyle w:val="Normal"/>
        <w:tabs>
          <w:tab w:val="clear" w:pos="720"/>
          <w:tab w:val="right" w:pos="8640" w:leader="dot"/>
        </w:tabs>
        <w:rPr/>
      </w:pPr>
      <w:r>
        <w:rPr>
          <w:sz w:val="26"/>
        </w:rPr>
        <w:t xml:space="preserve">  </w:t>
      </w:r>
      <w:r>
        <w:rPr>
          <w:sz w:val="26"/>
          <w:u w:val="single"/>
        </w:rPr>
        <w:t>Electric Co</w:t>
      </w:r>
      <w:r>
        <w:rPr>
          <w:sz w:val="26"/>
        </w:rPr>
        <w:t>.</w:t>
      </w:r>
    </w:p>
    <w:p>
      <w:pPr>
        <w:pStyle w:val="Normal"/>
        <w:tabs>
          <w:tab w:val="clear" w:pos="720"/>
          <w:tab w:val="right" w:pos="8640" w:leader="dot"/>
        </w:tabs>
        <w:rPr>
          <w:sz w:val="26"/>
        </w:rPr>
      </w:pPr>
      <w:r>
        <w:rPr>
          <w:sz w:val="26"/>
        </w:rPr>
        <w:t xml:space="preserve">  </w:t>
      </w:r>
      <w:r>
        <w:rPr>
          <w:sz w:val="26"/>
        </w:rPr>
        <w:t>D.97-04-082, 72 CPUC 2d 151</w:t>
        <w:tab/>
        <w:t xml:space="preserve"> 39,40</w:t>
      </w:r>
    </w:p>
    <w:p>
      <w:pPr>
        <w:pStyle w:val="Normal"/>
        <w:tabs>
          <w:tab w:val="clear" w:pos="720"/>
          <w:tab w:val="right" w:pos="8640" w:leader="dot"/>
        </w:tabs>
        <w:rPr>
          <w:sz w:val="26"/>
        </w:rPr>
      </w:pPr>
      <w:r>
        <w:rPr>
          <w:sz w:val="26"/>
        </w:rPr>
      </w:r>
    </w:p>
    <w:p>
      <w:pPr>
        <w:pStyle w:val="Normal"/>
        <w:tabs>
          <w:tab w:val="clear" w:pos="720"/>
          <w:tab w:val="right" w:pos="8640" w:leader="dot"/>
        </w:tabs>
        <w:rPr/>
      </w:pPr>
      <w:r>
        <w:rPr>
          <w:sz w:val="26"/>
          <w:u w:val="single"/>
        </w:rPr>
        <w:t>Re Pacific Gas &amp; Electric Co</w:t>
      </w:r>
      <w:r>
        <w:rPr>
          <w:sz w:val="26"/>
        </w:rPr>
        <w:t>.,</w:t>
      </w:r>
    </w:p>
    <w:p>
      <w:pPr>
        <w:pStyle w:val="Normal"/>
        <w:tabs>
          <w:tab w:val="clear" w:pos="720"/>
          <w:tab w:val="right" w:pos="8640" w:leader="dot"/>
        </w:tabs>
        <w:rPr>
          <w:sz w:val="26"/>
        </w:rPr>
      </w:pPr>
      <w:r>
        <w:rPr>
          <w:sz w:val="26"/>
        </w:rPr>
        <w:t xml:space="preserve">  </w:t>
      </w:r>
      <w:r>
        <w:rPr>
          <w:sz w:val="26"/>
        </w:rPr>
        <w:t>D.97-08-055, 73 CPUC 2d 829</w:t>
        <w:tab/>
        <w:t xml:space="preserve"> 39,40,48</w:t>
      </w:r>
    </w:p>
    <w:p>
      <w:pPr>
        <w:pStyle w:val="Normal"/>
        <w:tabs>
          <w:tab w:val="clear" w:pos="720"/>
          <w:tab w:val="right" w:pos="8640" w:leader="dot"/>
        </w:tabs>
        <w:rPr>
          <w:sz w:val="26"/>
        </w:rPr>
      </w:pPr>
      <w:r>
        <w:rPr>
          <w:sz w:val="26"/>
        </w:rPr>
      </w:r>
    </w:p>
    <w:p>
      <w:pPr>
        <w:pStyle w:val="Normal"/>
        <w:tabs>
          <w:tab w:val="clear" w:pos="720"/>
          <w:tab w:val="right" w:pos="8640" w:leader="dot"/>
        </w:tabs>
        <w:rPr/>
      </w:pPr>
      <w:r>
        <w:rPr>
          <w:sz w:val="26"/>
          <w:u w:val="single"/>
        </w:rPr>
        <w:t>Re Pacific Gas &amp; Electric Co</w:t>
      </w:r>
      <w:r>
        <w:rPr>
          <w:sz w:val="26"/>
        </w:rPr>
        <w:t xml:space="preserve">., </w:t>
      </w:r>
    </w:p>
    <w:p>
      <w:pPr>
        <w:pStyle w:val="Normal"/>
        <w:tabs>
          <w:tab w:val="clear" w:pos="720"/>
          <w:tab w:val="right" w:pos="8640" w:leader="dot"/>
        </w:tabs>
        <w:rPr>
          <w:sz w:val="26"/>
        </w:rPr>
      </w:pPr>
      <w:r>
        <w:rPr>
          <w:sz w:val="26"/>
        </w:rPr>
        <w:t xml:space="preserve">  </w:t>
      </w:r>
      <w:r>
        <w:rPr>
          <w:sz w:val="26"/>
        </w:rPr>
        <w:t xml:space="preserve">D.97-12-032 ___CPUC 2d ___ </w:t>
        <w:tab/>
        <w:t xml:space="preserve"> 39</w:t>
      </w:r>
    </w:p>
    <w:p>
      <w:pPr>
        <w:pStyle w:val="Normal"/>
        <w:tabs>
          <w:tab w:val="clear" w:pos="720"/>
          <w:tab w:val="right" w:pos="8640" w:leader="dot"/>
        </w:tabs>
        <w:rPr>
          <w:sz w:val="26"/>
        </w:rPr>
      </w:pPr>
      <w:r>
        <w:rPr>
          <w:sz w:val="26"/>
        </w:rPr>
      </w:r>
    </w:p>
    <w:p>
      <w:pPr>
        <w:pStyle w:val="Normal"/>
        <w:tabs>
          <w:tab w:val="clear" w:pos="720"/>
          <w:tab w:val="right" w:pos="8640" w:leader="dot"/>
        </w:tabs>
        <w:rPr>
          <w:sz w:val="26"/>
        </w:rPr>
      </w:pPr>
      <w:r>
        <w:rPr>
          <w:sz w:val="26"/>
        </w:rPr>
        <w:t xml:space="preserve">D.98-08-030 ___CPUC 2d___ </w:t>
        <w:tab/>
        <w:t xml:space="preserve"> 10</w:t>
      </w:r>
    </w:p>
    <w:p>
      <w:pPr>
        <w:pStyle w:val="Normal"/>
        <w:tabs>
          <w:tab w:val="clear" w:pos="720"/>
          <w:tab w:val="right" w:pos="8640" w:leader="dot"/>
        </w:tabs>
        <w:rPr>
          <w:sz w:val="26"/>
        </w:rPr>
      </w:pPr>
      <w:r>
        <w:rPr>
          <w:sz w:val="26"/>
        </w:rPr>
        <w:t xml:space="preserve">D.98-12-071 ___CPUC 2d___ </w:t>
        <w:tab/>
        <w:t xml:space="preserve"> 40</w:t>
      </w:r>
    </w:p>
    <w:p>
      <w:pPr>
        <w:pStyle w:val="Normal"/>
        <w:tabs>
          <w:tab w:val="clear" w:pos="720"/>
          <w:tab w:val="right" w:pos="8640" w:leader="dot"/>
        </w:tabs>
        <w:rPr>
          <w:sz w:val="26"/>
        </w:rPr>
      </w:pPr>
      <w:r>
        <w:rPr>
          <w:sz w:val="26"/>
        </w:rPr>
        <w:t xml:space="preserve">D.99-07-015 ___CPUC 2d___ </w:t>
        <w:tab/>
        <w:t xml:space="preserve"> passim</w:t>
      </w:r>
    </w:p>
    <w:p>
      <w:pPr>
        <w:pStyle w:val="Normal"/>
        <w:tabs>
          <w:tab w:val="clear" w:pos="720"/>
          <w:tab w:val="right" w:pos="8640" w:leader="dot"/>
        </w:tabs>
        <w:rPr>
          <w:sz w:val="26"/>
        </w:rPr>
      </w:pPr>
      <w:r>
        <w:rPr>
          <w:sz w:val="26"/>
        </w:rPr>
        <w:t xml:space="preserve">D.00-04-060 ___CPUC 2d___ </w:t>
        <w:tab/>
        <w:t xml:space="preserve"> 20,49</w:t>
      </w:r>
    </w:p>
    <w:p>
      <w:pPr>
        <w:pStyle w:val="Normal"/>
        <w:tabs>
          <w:tab w:val="clear" w:pos="720"/>
          <w:tab w:val="right" w:pos="8640" w:leader="dot"/>
        </w:tabs>
        <w:rPr>
          <w:sz w:val="26"/>
        </w:rPr>
      </w:pPr>
      <w:r>
        <w:rPr>
          <w:sz w:val="26"/>
        </w:rPr>
        <w:t xml:space="preserve">D.00-05-045 ___CPUC 2d___ </w:t>
        <w:tab/>
        <w:t xml:space="preserve"> 10</w:t>
      </w:r>
    </w:p>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Normal"/>
        <w:rPr>
          <w:rStyle w:val="LineNumber"/>
          <w:sz w:val="26"/>
        </w:rPr>
      </w:pPr>
      <w:r>
        <w:rPr>
          <w:sz w:val="26"/>
        </w:rPr>
      </w:r>
    </w:p>
    <w:p>
      <w:pPr>
        <w:pStyle w:val="BriefHeading"/>
        <w:rPr/>
      </w:pPr>
      <w:r>
        <w:rPr/>
        <w:t>Before The Public Utilities Commission Of The State Of California</w:t>
      </w:r>
    </w:p>
    <w:p>
      <w:pPr>
        <w:pStyle w:val="Normal"/>
        <w:rPr/>
      </w:pPr>
      <w:r>
        <w:rPr/>
      </w:r>
      <w:bookmarkStart w:id="0" w:name="FaxNo"/>
      <w:bookmarkStart w:id="1" w:name="FaxNo"/>
      <w:bookmarkEnd w:id="1"/>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432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bottom w:val="single" w:sz="6" w:space="0" w:color="000000"/>
              <w:end w:val="single" w:sz="6" w:space="0" w:color="000000"/>
            </w:tcBorders>
          </w:tcPr>
          <w:p>
            <w:pPr>
              <w:pStyle w:val="Caption"/>
              <w:rPr>
                <w:rFonts w:ascii="Times New Roman" w:hAnsi="Times New Roman" w:cs="Times New Roman"/>
              </w:rPr>
            </w:pPr>
            <w:r>
              <w:rPr>
                <w:rFonts w:cs="Times New Roman" w:ascii="Times New Roman" w:hAnsi="Times New Roman"/>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Caption"/>
              <w:rPr>
                <w:rFonts w:ascii="Times New Roman" w:hAnsi="Times New Roman" w:cs="Times New Roman"/>
              </w:rPr>
            </w:pPr>
            <w:r>
              <w:rPr>
                <w:rFonts w:cs="Times New Roman" w:ascii="Times New Roman" w:hAnsi="Times New Roman"/>
              </w:rPr>
            </w:r>
          </w:p>
        </w:tc>
        <w:tc>
          <w:tcPr>
            <w:tcW w:w="4428" w:type="dxa"/>
            <w:tcBorders/>
          </w:tcPr>
          <w:p>
            <w:pPr>
              <w:pStyle w:val="Caption"/>
              <w:snapToGrid w:val="false"/>
              <w:jc w:val="center"/>
              <w:rPr>
                <w:rFonts w:ascii="Times New Roman" w:hAnsi="Times New Roman" w:cs="Times New Roman"/>
              </w:rPr>
            </w:pPr>
            <w:r>
              <w:rPr>
                <w:rFonts w:cs="Times New Roman" w:ascii="Times New Roman" w:hAnsi="Times New Roman"/>
              </w:rPr>
            </w:r>
          </w:p>
          <w:p>
            <w:pPr>
              <w:pStyle w:val="Caption"/>
              <w:jc w:val="center"/>
              <w:rPr>
                <w:rFonts w:ascii="Times New Roman" w:hAnsi="Times New Roman" w:cs="Times New Roman"/>
              </w:rPr>
            </w:pPr>
            <w:r>
              <w:rPr>
                <w:rFonts w:cs="Times New Roman" w:ascii="Times New Roman" w:hAnsi="Times New Roman"/>
              </w:rPr>
            </w:r>
          </w:p>
          <w:p>
            <w:pPr>
              <w:pStyle w:val="Caption"/>
              <w:jc w:val="center"/>
              <w:rPr>
                <w:rFonts w:ascii="Times New Roman" w:hAnsi="Times New Roman" w:cs="Times New Roman"/>
              </w:rPr>
            </w:pPr>
            <w:r>
              <w:rPr>
                <w:rFonts w:cs="Times New Roman" w:ascii="Times New Roman" w:hAnsi="Times New Roman"/>
              </w:rPr>
            </w:r>
          </w:p>
          <w:p>
            <w:pPr>
              <w:pStyle w:val="Caption"/>
              <w:jc w:val="center"/>
              <w:rPr>
                <w:rFonts w:ascii="Times New Roman" w:hAnsi="Times New Roman" w:cs="Times New Roman"/>
              </w:rPr>
            </w:pPr>
            <w:r>
              <w:rPr>
                <w:rFonts w:cs="Times New Roman" w:ascii="Times New Roman" w:hAnsi="Times New Roman"/>
              </w:rPr>
            </w:r>
          </w:p>
          <w:p>
            <w:pPr>
              <w:pStyle w:val="Caption"/>
              <w:jc w:val="center"/>
              <w:rPr>
                <w:rFonts w:ascii="Times New Roman" w:hAnsi="Times New Roman" w:cs="Times New Roman"/>
              </w:rPr>
            </w:pPr>
            <w:r>
              <w:rPr>
                <w:rFonts w:cs="Times New Roman" w:ascii="Times New Roman" w:hAnsi="Times New Roman"/>
              </w:rPr>
              <w:t>Investigation 99-07-003</w:t>
            </w:r>
          </w:p>
          <w:p>
            <w:pPr>
              <w:pStyle w:val="Caption"/>
              <w:jc w:val="center"/>
              <w:rPr>
                <w:rFonts w:ascii="Times New Roman" w:hAnsi="Times New Roman" w:cs="Times New Roman"/>
              </w:rPr>
            </w:pPr>
            <w:r>
              <w:rPr>
                <w:rFonts w:cs="Times New Roman" w:ascii="Times New Roman" w:hAnsi="Times New Roman"/>
              </w:rPr>
            </w:r>
          </w:p>
        </w:tc>
      </w:tr>
    </w:tbl>
    <w:p>
      <w:pPr>
        <w:pStyle w:val="BriefHeading"/>
        <w:jc w:val="start"/>
        <w:rPr/>
      </w:pPr>
      <w:r>
        <w:rPr/>
      </w:r>
    </w:p>
    <w:p>
      <w:pPr>
        <w:pStyle w:val="BriefHeading"/>
        <w:jc w:val="start"/>
        <w:rPr/>
      </w:pPr>
      <w:r>
        <w:rPr/>
      </w:r>
    </w:p>
    <w:p>
      <w:pPr>
        <w:pStyle w:val="BriefTitle"/>
        <w:rPr/>
      </w:pPr>
      <w:r>
        <w:rPr/>
        <w:t xml:space="preserve">OPENING BRIEF </w:t>
      </w:r>
    </w:p>
    <w:p>
      <w:pPr>
        <w:pStyle w:val="BriefTitle"/>
        <w:rPr/>
      </w:pPr>
      <w:r>
        <w:rPr/>
        <w:t>OF THE OFFICE OF RATEPAYER ADVOCATES</w:t>
      </w:r>
    </w:p>
    <w:p>
      <w:pPr>
        <w:pStyle w:val="BriefTitle"/>
        <w:rPr/>
      </w:pPr>
      <w:r>
        <w:rPr/>
      </w:r>
    </w:p>
    <w:p>
      <w:pPr>
        <w:pStyle w:val="Heading1"/>
        <w:numPr>
          <w:ilvl w:val="0"/>
          <w:numId w:val="2"/>
        </w:numPr>
        <w:spacing w:lineRule="auto" w:line="360" w:before="0" w:after="0"/>
        <w:rPr>
          <w:rFonts w:ascii="Times New Roman" w:hAnsi="Times New Roman" w:cs="Times New Roman"/>
          <w:sz w:val="26"/>
        </w:rPr>
      </w:pPr>
      <w:bookmarkStart w:id="2" w:name="__RefHeading___Toc487862204"/>
      <w:bookmarkEnd w:id="2"/>
      <w:r>
        <w:rPr>
          <w:rFonts w:cs="Times New Roman" w:ascii="Times New Roman" w:hAnsi="Times New Roman"/>
          <w:sz w:val="26"/>
        </w:rPr>
        <w:t>EXECUTIVE SUMMARY</w:t>
      </w:r>
    </w:p>
    <w:p>
      <w:pPr>
        <w:pStyle w:val="BodyTextIndent2"/>
        <w:spacing w:before="120" w:after="0"/>
        <w:rPr>
          <w:sz w:val="26"/>
        </w:rPr>
      </w:pPr>
      <w:r>
        <w:rPr>
          <w:sz w:val="26"/>
        </w:rPr>
        <w:t>In this proceeding, the Commission is faced with a fundamental choice regarding the structure of the natural gas market in southern California.  The Office of Ratepayer Advocates (ORA) and over thirty other parties representing all segments of the natural gas industry are sponsoring the “Comprehensive Settlement”.  This settlement would implement each of the twenty-seven “promising options” identified by the Commission in its natural gas restructuring proceeding.  (R.98</w:t>
        <w:noBreakHyphen/>
        <w:t>01-011.)  The settlement is the result of several months of extensive negotiations.  Among other things, the Comprehensive Settlement would unbundle backbone transmission and storage costs on an embedded cost basis with the utility placed at risk for the assets.  A system of firm, tradable transmission and storage rights would also be established.  Core customers would be provided greater opportunity to purchase gas supplies from someone other than the LDC as a result of the unbundling of core interstate capacity costs in conjunction with the unbundling intrastate capacity and storage costs.  The Comprehensive Settlement will implement a regulatory structure for SoCalGas which is consistent with the gas transportation structure recently adopted by the Commission for PG&amp;E.  All of this would be accomplished without any significant cost shifts between customer classes, although core customers would receive a net rate decrease.</w:t>
      </w:r>
    </w:p>
    <w:p>
      <w:pPr>
        <w:pStyle w:val="BodyTextIndent2"/>
        <w:rPr>
          <w:sz w:val="26"/>
        </w:rPr>
      </w:pPr>
      <w:r>
        <w:rPr>
          <w:sz w:val="26"/>
        </w:rPr>
        <w:t>A more detailed description of the Comprehensive Settlement is set forth below.</w:t>
      </w:r>
    </w:p>
    <w:p>
      <w:pPr>
        <w:pStyle w:val="Normal"/>
        <w:ind w:firstLine="720" w:end="0"/>
        <w:rPr>
          <w:sz w:val="26"/>
          <w:u w:val="single"/>
        </w:rPr>
      </w:pPr>
      <w:r>
        <w:rPr>
          <w:sz w:val="26"/>
          <w:u w:val="single"/>
        </w:rPr>
        <w:t>Intrastate Transmission</w:t>
      </w:r>
    </w:p>
    <w:p>
      <w:pPr>
        <w:pStyle w:val="BodyTextIndent2"/>
        <w:spacing w:before="120" w:after="0"/>
        <w:rPr>
          <w:sz w:val="26"/>
        </w:rPr>
      </w:pPr>
      <w:r>
        <w:rPr>
          <w:sz w:val="26"/>
        </w:rPr>
        <w:t>Southern California Gas Company’s (SoCalGas) backbone intrastate transmission system would be unbundled and a system of firm tradable rights would be established including a secondary market for those rights.  The backbone system would be unbundled on an embedded cost basis and SoCalGas would be placed at risk for the assets.  A new receipt point at Hector Road would also be established.</w:t>
      </w:r>
    </w:p>
    <w:p>
      <w:pPr>
        <w:pStyle w:val="Normal"/>
        <w:ind w:firstLine="720" w:end="0"/>
        <w:rPr>
          <w:sz w:val="26"/>
          <w:u w:val="single"/>
        </w:rPr>
      </w:pPr>
      <w:r>
        <w:rPr>
          <w:sz w:val="26"/>
          <w:u w:val="single"/>
        </w:rPr>
        <w:t>Storage</w:t>
      </w:r>
    </w:p>
    <w:p>
      <w:pPr>
        <w:pStyle w:val="BodyTextIndent"/>
        <w:spacing w:lineRule="auto" w:line="360" w:before="120" w:after="0"/>
        <w:ind w:firstLine="720" w:start="0" w:end="0"/>
        <w:rPr>
          <w:sz w:val="26"/>
        </w:rPr>
      </w:pPr>
      <w:r>
        <w:rPr>
          <w:sz w:val="26"/>
        </w:rPr>
        <w:t>A system of firm tradable storage rights would be established together with a secondary market for the trading of those rights.  As with backbone transmission, storage costs would be unbundled on the basis of embedded cost with SoCalGas placed at risk for recovery of the costs.</w:t>
      </w:r>
    </w:p>
    <w:p>
      <w:pPr>
        <w:pStyle w:val="Normal"/>
        <w:ind w:firstLine="720" w:end="0"/>
        <w:rPr>
          <w:sz w:val="26"/>
          <w:u w:val="single"/>
        </w:rPr>
      </w:pPr>
      <w:r>
        <w:rPr>
          <w:sz w:val="26"/>
          <w:u w:val="single"/>
        </w:rPr>
        <w:t>Balancing</w:t>
      </w:r>
    </w:p>
    <w:p>
      <w:pPr>
        <w:pStyle w:val="BodyTextIndent"/>
        <w:spacing w:lineRule="auto" w:line="360" w:before="120" w:after="0"/>
        <w:ind w:firstLine="720" w:start="0" w:end="0"/>
        <w:rPr>
          <w:sz w:val="26"/>
        </w:rPr>
      </w:pPr>
      <w:r>
        <w:rPr>
          <w:sz w:val="26"/>
        </w:rPr>
        <w:t>Core and noncore classes would be balanced separately thereby eliminating any potential for cross-subsidization.  A self-balancing option for noncore and core transport customers is provided together with a system for anonymous imbalance trading.</w:t>
      </w:r>
    </w:p>
    <w:p>
      <w:pPr>
        <w:pStyle w:val="BodyTextIndent"/>
        <w:spacing w:lineRule="auto" w:line="360"/>
        <w:rPr>
          <w:sz w:val="26"/>
          <w:u w:val="single"/>
        </w:rPr>
      </w:pPr>
      <w:r>
        <w:rPr>
          <w:sz w:val="26"/>
          <w:u w:val="single"/>
        </w:rPr>
        <w:t>Hub Services</w:t>
      </w:r>
    </w:p>
    <w:p>
      <w:pPr>
        <w:pStyle w:val="BodyTextIndent"/>
        <w:spacing w:lineRule="auto" w:line="360"/>
        <w:ind w:firstLine="720" w:start="0" w:end="0"/>
        <w:rPr>
          <w:sz w:val="26"/>
        </w:rPr>
      </w:pPr>
      <w:r>
        <w:rPr>
          <w:sz w:val="26"/>
        </w:rPr>
        <w:t>The Gas Acquisition Department would continue providing hub services using core assets with any revenues flowing to the Gas Cost Incentive Mechanism (GCIM).  The Gas Operations Department would also be authorized to provide hub services with available noncore assets.</w:t>
      </w:r>
      <w:r>
        <w:br w:type="page"/>
      </w:r>
    </w:p>
    <w:p>
      <w:pPr>
        <w:pStyle w:val="BodyTextIndent"/>
        <w:spacing w:lineRule="auto" w:line="360"/>
        <w:rPr>
          <w:sz w:val="26"/>
          <w:u w:val="single"/>
        </w:rPr>
      </w:pPr>
      <w:r>
        <w:rPr>
          <w:sz w:val="26"/>
          <w:u w:val="single"/>
        </w:rPr>
        <w:t>Core Procurement</w:t>
      </w:r>
    </w:p>
    <w:p>
      <w:pPr>
        <w:pStyle w:val="BodyTextIndent"/>
        <w:spacing w:lineRule="auto" w:line="360"/>
        <w:ind w:firstLine="720" w:start="0" w:end="0"/>
        <w:rPr>
          <w:sz w:val="26"/>
        </w:rPr>
      </w:pPr>
      <w:r>
        <w:rPr>
          <w:sz w:val="26"/>
        </w:rPr>
        <w:t>The interstate capacity costs formerly allocated to core transport agents (CTAs) would be unbundled.  Any stranded costs associated with this capacity would initially be allocated to core and noncore customers.  After January 1, 2003, the core will no longer be responsible for any interstate transition costs associated with noncore capacity.  On that date, the core will assume full responsibility for any stranded costs resulting from the unbundling of core interstate capacity.  The Comprehensive Settlement provides for an equitable allocation of any stranded costs among different elements of the core class.</w:t>
      </w:r>
    </w:p>
    <w:p>
      <w:pPr>
        <w:pStyle w:val="BodyTextIndent"/>
        <w:spacing w:lineRule="auto" w:line="360"/>
        <w:ind w:firstLine="720" w:start="0" w:end="0"/>
        <w:rPr>
          <w:sz w:val="26"/>
        </w:rPr>
      </w:pPr>
      <w:r>
        <w:rPr>
          <w:sz w:val="26"/>
        </w:rPr>
        <w:t>The storage costs for customers served by CTAs would also be unbundled and any unutilized storage would become part of the overall unbundled storage program for which SoCalGas is at risk.  By reducing the storage and interstate capacity costs currently allocated to CTAs, the settlement is designed to encourage and enhance the viability of the CTA program.</w:t>
      </w:r>
    </w:p>
    <w:p>
      <w:pPr>
        <w:pStyle w:val="BodyTextIndent"/>
        <w:spacing w:lineRule="auto" w:line="360"/>
        <w:ind w:firstLine="720" w:start="0" w:end="0"/>
        <w:rPr>
          <w:sz w:val="26"/>
        </w:rPr>
      </w:pPr>
      <w:r>
        <w:rPr>
          <w:sz w:val="26"/>
        </w:rPr>
        <w:t>Other changes in the core procurement area include elimination of the core subscription service currently offered noncore customers and an increase in the core brokerage fee, a cost which is avoided by customers taking service from a CTA.</w:t>
      </w:r>
    </w:p>
    <w:p>
      <w:pPr>
        <w:pStyle w:val="BodyTextIndent"/>
        <w:spacing w:lineRule="auto" w:line="360"/>
        <w:rPr>
          <w:sz w:val="26"/>
          <w:u w:val="single"/>
        </w:rPr>
      </w:pPr>
      <w:r>
        <w:rPr>
          <w:sz w:val="26"/>
          <w:u w:val="single"/>
        </w:rPr>
        <w:t>Revenue Cycle Services</w:t>
      </w:r>
    </w:p>
    <w:p>
      <w:pPr>
        <w:pStyle w:val="BodyTextIndent"/>
        <w:spacing w:lineRule="auto" w:line="360"/>
        <w:ind w:firstLine="720" w:start="0" w:end="0"/>
        <w:rPr>
          <w:sz w:val="26"/>
        </w:rPr>
      </w:pPr>
      <w:r>
        <w:rPr>
          <w:sz w:val="26"/>
        </w:rPr>
        <w:t>A pilot program will be implemented giving customers access to competitive metering technologies and billing options comparable to those available in the electric industry will also be instituted.</w:t>
      </w:r>
    </w:p>
    <w:p>
      <w:pPr>
        <w:pStyle w:val="BodyTextIndent"/>
        <w:spacing w:lineRule="auto" w:line="360"/>
        <w:ind w:firstLine="720" w:start="0" w:end="0"/>
        <w:rPr>
          <w:sz w:val="26"/>
        </w:rPr>
      </w:pPr>
      <w:r>
        <w:rPr>
          <w:sz w:val="26"/>
        </w:rPr>
        <w:t>The changes outlined above will provide SoCalGas and San Diego Gas &amp; Electric Company (SDG&amp;E) customers, both core and noncore, with numerous new service choices and the opportunity to reduce costs by avoiding services that are not required.  At the same time, the Comprehensive Settlement avoids any significant cost allocation impact on any one customer class and, in fact, results in a rate reduction for core customers.</w:t>
      </w:r>
    </w:p>
    <w:p>
      <w:pPr>
        <w:pStyle w:val="BodyTextIndent"/>
        <w:spacing w:lineRule="auto" w:line="360"/>
        <w:ind w:firstLine="720" w:start="0" w:end="0"/>
        <w:rPr>
          <w:sz w:val="26"/>
        </w:rPr>
      </w:pPr>
      <w:r>
        <w:rPr>
          <w:sz w:val="26"/>
        </w:rPr>
        <w:t>The unbundling of intrastate capacity as set forth in the Comprehensive Settlement furthers the Commission’s goal of increasing customer choices through the creation of a new city-gate market.  Under this new structure, customers or marketers will have the option of purchasing gas in the producing basins, at the California border or at the city-gate.  This new city-gate market together with new options for storage services, balancing, hub services and revenue cycle services will encourage competition and innovation in the California natural gas market and, based on the experience in northern California under the Gas Accord structure, should also produce substantial savings.</w:t>
      </w:r>
    </w:p>
    <w:p>
      <w:pPr>
        <w:pStyle w:val="BodyTextIndent"/>
        <w:spacing w:lineRule="auto" w:line="360"/>
        <w:ind w:firstLine="720" w:start="0" w:end="0"/>
        <w:rPr/>
      </w:pPr>
      <w:r>
        <w:rPr>
          <w:sz w:val="26"/>
        </w:rPr>
        <w:t>This Commission has been pursuing a goal of increasing both customer choice and competition within the California natural gas market for well over a decade.  In 1986, the Commission elected to unbundle transportation and commodity costs (</w:t>
      </w:r>
      <w:r>
        <w:rPr>
          <w:sz w:val="26"/>
          <w:u w:val="single"/>
        </w:rPr>
        <w:t>Re New Regulatory Framework for Gas Utilities</w:t>
      </w:r>
      <w:r>
        <w:rPr>
          <w:sz w:val="26"/>
        </w:rPr>
        <w:t>, D.86-12-010, 22 CPUC 2d 491).  In early 1991 it authorized a core transportation program which, for the first time, enabled core customers to purchase natural gas from someone other than the utility (</w:t>
      </w:r>
      <w:r>
        <w:rPr>
          <w:sz w:val="26"/>
          <w:u w:val="single"/>
        </w:rPr>
        <w:t>Re New Regulatory Framework for Gas Utilities</w:t>
      </w:r>
      <w:r>
        <w:rPr>
          <w:sz w:val="26"/>
        </w:rPr>
        <w:t>, D.91-02-040, 39 CPUC 2d 360).  Later in 1991 it unbundled interstate capacity costs for noncore customers (</w:t>
      </w:r>
      <w:r>
        <w:rPr>
          <w:sz w:val="26"/>
          <w:u w:val="single"/>
        </w:rPr>
        <w:t>Re Natural Gas Procurement and Reliability Issues</w:t>
      </w:r>
      <w:r>
        <w:rPr>
          <w:sz w:val="26"/>
        </w:rPr>
        <w:t>, D.91-11-025, 41 CPUC 2d 668).  In 1993, it began the process of unbundling storage costs for noncore customers (</w:t>
      </w:r>
      <w:r>
        <w:rPr>
          <w:sz w:val="26"/>
          <w:u w:val="single"/>
        </w:rPr>
        <w:t>Re Natural Gas Procurement and System Reliability Issues</w:t>
      </w:r>
      <w:r>
        <w:rPr>
          <w:sz w:val="26"/>
        </w:rPr>
        <w:t>, D.93-02-013 48 CPUC 2d 107).  Finally, in 1997 the Commission approved the Pacific Gas and Electric Company (PG&amp;E) Gas Accord which unbundled PG&amp;E’s backbone transmission and created a new city-gate market in northern California.  (</w:t>
      </w:r>
      <w:r>
        <w:rPr>
          <w:sz w:val="26"/>
          <w:u w:val="single"/>
        </w:rPr>
        <w:t>Re Pacific Gas and Electric Co.</w:t>
      </w:r>
      <w:r>
        <w:rPr>
          <w:sz w:val="26"/>
        </w:rPr>
        <w:t>, D.97-08-055, 23 CPUC 2d 808.)The Comprehensive Settlement is the next logical step in unbundling the service offerings of SoCalGas.  This will bring statewide consistency to the intrastate gas transportation system with significant benefits to customers, producers, electric generators and marketers doing business in both northern and southern California.</w:t>
      </w:r>
    </w:p>
    <w:p>
      <w:pPr>
        <w:pStyle w:val="BodyTextIndent"/>
        <w:spacing w:lineRule="auto" w:line="360"/>
        <w:ind w:firstLine="720" w:start="0" w:end="0"/>
        <w:rPr>
          <w:sz w:val="26"/>
        </w:rPr>
      </w:pPr>
      <w:r>
        <w:rPr>
          <w:sz w:val="26"/>
        </w:rPr>
        <w:t xml:space="preserve">In short, the provisions of the Comprehensive Settlement are reasonable, in the public interest and should be adopted without change.  </w:t>
      </w:r>
    </w:p>
    <w:p>
      <w:pPr>
        <w:pStyle w:val="BodyTextIndent2"/>
        <w:rPr>
          <w:sz w:val="26"/>
        </w:rPr>
      </w:pPr>
      <w:r>
        <w:rPr>
          <w:sz w:val="26"/>
        </w:rPr>
        <w:t xml:space="preserve">TURN, Aglet and SCGC, the sponsors of the “Post-Interim Settlement”, present a radically different view of the future of California’s natural gas industry.  Under the terms of the Post-Interim Settlement, there would be some minor modifications to eliminate problems associated with SoCalGas’ current “windowing” procedures.  However, the backbone transmission system would remain bundled with the distribution system at a tariffed rate and customers would have no access to a city-gate market.  According to TURN, Aglet and SCGC, there are four basic problems with the Comprehensive Settlement.  First, they argue that there is nothing fundamentally wrong with the current system and, hence, there is no need to “fix it” by further unbundling.  They also argue that the rate design under the Comprehensive Settlement is unfair to low load factor customers like the core and certain electric generation (EG) customers because it would increase their costs.  They also claim that the transaction costs associated with adding another layer of complexity to the system through further unbundling outweigh the benefits.  In a related argument, they claim that the proposed revisions to the current system will inure only to the benefit of marketers and at customer expense.  None of these arguments are sustainable. </w:t>
      </w:r>
    </w:p>
    <w:p>
      <w:pPr>
        <w:pStyle w:val="BodyTextIndent2"/>
        <w:rPr>
          <w:sz w:val="26"/>
        </w:rPr>
      </w:pPr>
      <w:r>
        <w:rPr>
          <w:sz w:val="26"/>
        </w:rPr>
        <w:t>While these parties argue that there is no reason to fix the current system, the more relevant point is that unbundling on the PG&amp;E system has been in place for over two years and there is very little evidence of opposition to the additional choices and flexibility provided customers and marketers as a result of the Gas Accord.  Indeed, the record evidence demonstrates substantial savings associated with the ability to purchase gas at the city gate.  These parties’ complaints about potentially higher costs from the demand charge rate design embedded in the Comprehensive Settlement are also misplaced because they exaggerate the potential costs while ignoring the benefits associated with numerous tools now made available for managing different load profiles.  The argument that only marketers will benefit from further unbundling is also misplaced.  The simple fact is that virtually all customers obtaining gas from someone other than the utility rely on marketers to obtain not only their gas supplies but the interstate capacity needed to move gas into the SoCalGas system.  Unbundling the intrastate backbone system simply provides them with another tool to use in providing this service.  While there may be incremental transaction costs associated with an additional layer of unbundling they are no different than the transaction costs associated with the earlier unbundling of both commodity costs and interstate capacity costs.</w:t>
      </w:r>
    </w:p>
    <w:p>
      <w:pPr>
        <w:pStyle w:val="BodyTextIndent2"/>
        <w:rPr>
          <w:sz w:val="26"/>
        </w:rPr>
      </w:pPr>
      <w:r>
        <w:rPr>
          <w:sz w:val="26"/>
        </w:rPr>
        <w:t>The reminder of this brief is divided into three main sections.  The first section addresses the individual components of the Comprehensive Settlement and responds to the criticisms which have been leveled against it.  The next section provides an overview of the costs and benefits of the Comprehensive Settlement.  The final section contains a critique of the Post-Interim Settlement.  The conclusion from this analysis is that the Comprehensive Settlement is reasonable, in the public interest, and should be adopted without change.  The Post-Interim Settlement, on the other hand, merely preserves the status quo, lacks broad market support, and should be rejected.</w:t>
      </w:r>
    </w:p>
    <w:p>
      <w:pPr>
        <w:pStyle w:val="Heading1"/>
        <w:numPr>
          <w:ilvl w:val="0"/>
          <w:numId w:val="2"/>
        </w:numPr>
        <w:rPr>
          <w:rFonts w:ascii="Times New Roman" w:hAnsi="Times New Roman" w:cs="Times New Roman"/>
          <w:sz w:val="26"/>
        </w:rPr>
      </w:pPr>
      <w:bookmarkStart w:id="3" w:name="__RefHeading___Toc487862205"/>
      <w:bookmarkEnd w:id="3"/>
      <w:r>
        <w:rPr>
          <w:rFonts w:cs="Times New Roman" w:ascii="Times New Roman" w:hAnsi="Times New Roman"/>
          <w:sz w:val="26"/>
        </w:rPr>
        <w:t>THE COMPREHENSIVE SETTLEMENT IMPLEMENTS EACH OF THE COMMISSION’S PROMISING OPTIONS IN A REASONABLE FASHION</w:t>
      </w:r>
    </w:p>
    <w:p>
      <w:pPr>
        <w:pStyle w:val="Heading2"/>
        <w:numPr>
          <w:ilvl w:val="1"/>
          <w:numId w:val="2"/>
        </w:numPr>
        <w:rPr>
          <w:rFonts w:ascii="Times New Roman" w:hAnsi="Times New Roman" w:cs="Times New Roman"/>
        </w:rPr>
      </w:pPr>
      <w:bookmarkStart w:id="4" w:name="__RefHeading___Toc487862206"/>
      <w:r>
        <w:rPr>
          <w:rFonts w:cs="Times New Roman" w:ascii="Times New Roman" w:hAnsi="Times New Roman"/>
        </w:rPr>
        <w:t>Intrastate Transmission</w:t>
      </w:r>
      <w:bookmarkEnd w:id="4"/>
      <w:r>
        <w:rPr>
          <w:rFonts w:cs="Times New Roman" w:ascii="Times New Roman" w:hAnsi="Times New Roman"/>
        </w:rPr>
        <w:t xml:space="preserve"> </w:t>
      </w:r>
    </w:p>
    <w:p>
      <w:pPr>
        <w:pStyle w:val="Heading3"/>
        <w:numPr>
          <w:ilvl w:val="2"/>
          <w:numId w:val="2"/>
        </w:numPr>
        <w:rPr>
          <w:rFonts w:ascii="Times New Roman" w:hAnsi="Times New Roman" w:cs="Times New Roman"/>
        </w:rPr>
      </w:pPr>
      <w:bookmarkStart w:id="5" w:name="__RefHeading___Toc487862207"/>
      <w:bookmarkEnd w:id="5"/>
      <w:r>
        <w:rPr>
          <w:rFonts w:cs="Times New Roman" w:ascii="Times New Roman" w:hAnsi="Times New Roman"/>
        </w:rPr>
        <w:t>The Comprehensive Settlement would Implement All Five Promising Options Identified by the Commission for Intrastate Transmission</w:t>
      </w:r>
    </w:p>
    <w:p>
      <w:pPr>
        <w:pStyle w:val="BodyTextIndent3"/>
        <w:rPr/>
      </w:pPr>
      <w:r>
        <w:rPr/>
        <w:t>In D.99-07-015, the Commission identified five promising options for restructuring intrastate transmission service: (1) the creation of firm, tradable intrastate transmission rights; (2) the establishment of a secondary market for intrastate transmission; (3) putting the utility at risk for the capacity;(4) establishing Hector Road as a receipt point on the SoCalGas system; and (5) developing clear procedures for allocating capacity.  The Comprehensive Settlement accomplishes each of these objectives and, in so doing, provides ratepayers with significant benefits.  The manner in which the Comprehensive Settlement achieves each of these objectives is addressed below.</w:t>
      </w:r>
    </w:p>
    <w:p>
      <w:pPr>
        <w:pStyle w:val="Normal"/>
        <w:spacing w:lineRule="auto" w:line="360"/>
        <w:ind w:firstLine="720" w:end="0"/>
        <w:rPr>
          <w:sz w:val="26"/>
        </w:rPr>
      </w:pPr>
      <w:r>
        <w:rPr>
          <w:sz w:val="26"/>
        </w:rPr>
        <w:t>The provisions of the Comprehensive Settlement relating to the unbundling of SoCalGas’ backbone transmission system and the creation of a system of firm tradable rights are set forth in Section II.1 of Exhibit 1.  The first step in the process is the unbundling of the embedded costs of the transmission system.  Under the terms of the settlement, a total of $138 million in embedded transmission costs is removed from the bundled base margin.  This includes the depreciation, return and taxes associated with the transmission system as well as operation and maintenance (O&amp;M) costs and an allocation of administrative and general (A&amp;G) costs.  The transmission system is next divided into local and backbone transmission components with $73.7 million allocated to the backbone and $64.3 million allocated to local transmission.  The local transmission component is allocated to all customers classes on the basis of cold year throughput (the currently approved allocation factor) and remains a part of the bundled rate.  (ORA/Pocta, Ex. 4, p. 9.)</w:t>
      </w:r>
    </w:p>
    <w:p>
      <w:pPr>
        <w:pStyle w:val="Normal"/>
        <w:spacing w:lineRule="auto" w:line="360"/>
        <w:rPr/>
      </w:pPr>
      <w:r>
        <w:rPr>
          <w:sz w:val="26"/>
        </w:rPr>
        <w:tab/>
        <w:t>A rate is then developed for the backbone transmission system using a load factor of 79% which is slightly higher than the adopted throughput in the most recent BCAP, D.00-04-060.  The rates were designed using both a straight fixed variable (SFV) rate design, in which all backbone transmission costs are recovered through a demand charge, and a modified fixed variable (MFV) rate design in which 50% of the costs are recovered through a demand charge and 50% are recovered through a volumetric charge based on actual usage.  (</w:t>
      </w:r>
      <w:r>
        <w:rPr>
          <w:sz w:val="26"/>
          <w:u w:val="single"/>
        </w:rPr>
        <w:t>Id</w:t>
      </w:r>
      <w:r>
        <w:rPr>
          <w:sz w:val="26"/>
        </w:rPr>
        <w:t>.)  The MFV rate design includes a small premium to account for the higher risk associated with the volumetric component of the rate design.  (SoCalGas/Lorenz, Ex. 2, p. 14.)  These rates remain fixed over the term of the settlement except for escalation pursuant to the PBR formula (</w:t>
      </w:r>
      <w:r>
        <w:rPr>
          <w:sz w:val="26"/>
          <w:u w:val="single"/>
        </w:rPr>
        <w:t>Id.</w:t>
      </w:r>
      <w:r>
        <w:rPr>
          <w:sz w:val="26"/>
        </w:rPr>
        <w:t>, p. 10).  SoCalGas is at risk for cost recovery throughout the term of the settlement.  (Ex. 1, p. 23.)</w:t>
      </w:r>
    </w:p>
    <w:p>
      <w:pPr>
        <w:pStyle w:val="Normal"/>
        <w:spacing w:lineRule="auto" w:line="360"/>
        <w:rPr>
          <w:sz w:val="26"/>
        </w:rPr>
      </w:pPr>
      <w:r>
        <w:rPr>
          <w:sz w:val="26"/>
        </w:rPr>
        <w:tab/>
        <w:t>The unbundled backbone transmission capacity is allocated to the various receipt points based on the physical capacity of each receipt point.  SoCalGas has 3,500 MMcf/d of firm backbone capacity.  Under the Comprehensive Settlement, this capacity is allocated between the various receipt points in the following fashion:</w:t>
      </w:r>
    </w:p>
    <w:p>
      <w:pPr>
        <w:pStyle w:val="Normal"/>
        <w:rPr>
          <w:sz w:val="26"/>
        </w:rPr>
      </w:pPr>
      <w:r>
        <w:rPr>
          <w:sz w:val="26"/>
        </w:rPr>
      </w:r>
    </w:p>
    <w:tbl>
      <w:tblPr>
        <w:tblW w:w="7650" w:type="dxa"/>
        <w:jc w:val="start"/>
        <w:tblInd w:w="828" w:type="dxa"/>
        <w:tblLayout w:type="fixed"/>
        <w:tblCellMar>
          <w:top w:w="0" w:type="dxa"/>
          <w:start w:w="108" w:type="dxa"/>
          <w:bottom w:w="0" w:type="dxa"/>
          <w:end w:w="108" w:type="dxa"/>
        </w:tblCellMar>
      </w:tblPr>
      <w:tblGrid>
        <w:gridCol w:w="2364"/>
        <w:gridCol w:w="3192"/>
        <w:gridCol w:w="2094"/>
      </w:tblGrid>
      <w:tr>
        <w:trPr/>
        <w:tc>
          <w:tcPr>
            <w:tcW w:w="23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6"/>
              </w:rPr>
            </w:pPr>
            <w:r>
              <w:rPr>
                <w:sz w:val="26"/>
              </w:rPr>
            </w:r>
          </w:p>
          <w:p>
            <w:pPr>
              <w:pStyle w:val="Normal"/>
              <w:spacing w:lineRule="auto" w:line="360"/>
              <w:rPr>
                <w:sz w:val="26"/>
              </w:rPr>
            </w:pPr>
            <w:r>
              <w:rPr>
                <w:sz w:val="26"/>
              </w:rPr>
              <w:t>Receipt Point</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6"/>
              </w:rPr>
            </w:pPr>
            <w:r>
              <w:rPr>
                <w:sz w:val="26"/>
              </w:rPr>
            </w:r>
          </w:p>
          <w:p>
            <w:pPr>
              <w:pStyle w:val="Normal"/>
              <w:spacing w:lineRule="auto" w:line="360"/>
              <w:rPr>
                <w:sz w:val="26"/>
              </w:rPr>
            </w:pPr>
            <w:r>
              <w:rPr>
                <w:sz w:val="26"/>
              </w:rPr>
              <w:t>Interconnecting Pipeline</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MMcf/d</w:t>
            </w:r>
          </w:p>
          <w:p>
            <w:pPr>
              <w:pStyle w:val="Normal"/>
              <w:spacing w:lineRule="auto" w:line="360"/>
              <w:rPr>
                <w:sz w:val="26"/>
              </w:rPr>
            </w:pPr>
            <w:r>
              <w:rPr>
                <w:sz w:val="26"/>
              </w:rPr>
              <w:t>Firm Capacity</w:t>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Blythe</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El Paso</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 xml:space="preserve">1210 </w:t>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Topock</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El Paso</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 xml:space="preserve">540 </w:t>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North Needles</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Transwestern</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 xml:space="preserve">750 </w:t>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Wheeler Ridge</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PG&amp;E, Oxy, Kern-Mojave</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680</w:t>
            </w:r>
            <w:r>
              <w:rPr>
                <w:rStyle w:val="FootnoteCharacters"/>
                <w:rStyle w:val="FootnoteReference"/>
                <w:sz w:val="28"/>
              </w:rPr>
              <w:footnoteReference w:id="2"/>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Hector Road</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Mojave</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50</w:t>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California Line 85</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Various Calif. Producers</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150</w:t>
            </w:r>
            <w:r>
              <w:rPr>
                <w:rStyle w:val="FootnoteCharacters"/>
                <w:rStyle w:val="FootnoteReference"/>
                <w:sz w:val="28"/>
              </w:rPr>
              <w:footnoteReference w:id="3"/>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North Coastal</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Various Calif. Producers</w:t>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sz w:val="26"/>
              </w:rPr>
              <w:t>120</w:t>
            </w:r>
            <w:r>
              <w:rPr>
                <w:b/>
                <w:position w:val="6"/>
                <w:sz w:val="16"/>
                <w:u w:val="single"/>
              </w:rPr>
              <w:t>2</w:t>
            </w:r>
          </w:p>
        </w:tc>
      </w:tr>
      <w:tr>
        <w:trPr/>
        <w:tc>
          <w:tcPr>
            <w:tcW w:w="236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6"/>
              </w:rPr>
            </w:pPr>
            <w:r>
              <w:rPr>
                <w:b/>
                <w:sz w:val="26"/>
              </w:rPr>
              <w:t>Total</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sz w:val="26"/>
              </w:rPr>
            </w:pPr>
            <w:r>
              <w:rPr>
                <w:sz w:val="26"/>
              </w:rPr>
            </w:r>
          </w:p>
        </w:tc>
        <w:tc>
          <w:tcPr>
            <w:tcW w:w="2094" w:type="dxa"/>
            <w:tcBorders>
              <w:top w:val="single" w:sz="4" w:space="0" w:color="000000"/>
              <w:start w:val="single" w:sz="4" w:space="0" w:color="000000"/>
              <w:bottom w:val="single" w:sz="4" w:space="0" w:color="000000"/>
              <w:end w:val="single" w:sz="4" w:space="0" w:color="000000"/>
            </w:tcBorders>
          </w:tcPr>
          <w:p>
            <w:pPr>
              <w:pStyle w:val="Normal"/>
              <w:spacing w:lineRule="auto" w:line="360"/>
              <w:rPr>
                <w:b/>
                <w:sz w:val="26"/>
              </w:rPr>
            </w:pPr>
            <w:r>
              <w:rPr>
                <w:b/>
                <w:sz w:val="26"/>
              </w:rPr>
              <w:t>3,500</w:t>
            </w:r>
          </w:p>
        </w:tc>
      </w:tr>
    </w:tbl>
    <w:p>
      <w:pPr>
        <w:pStyle w:val="BodyText2"/>
        <w:rPr/>
      </w:pPr>
      <w:r>
        <w:rPr/>
      </w:r>
    </w:p>
    <w:p>
      <w:pPr>
        <w:pStyle w:val="BodyText2"/>
        <w:ind w:firstLine="720" w:end="0"/>
        <w:rPr/>
      </w:pPr>
      <w:r>
        <w:rPr/>
        <w:t xml:space="preserve">As can be noted from the Table, the Comprehensive Settlement includes Hector Road as a firm receipt point, one of the promising options identified in D.99-07-015.  (SoCalGas/Lorenz, Ex. 2, p. 9.)  </w:t>
      </w:r>
    </w:p>
    <w:p>
      <w:pPr>
        <w:pStyle w:val="BodyText2"/>
        <w:ind w:firstLine="720" w:end="0"/>
        <w:rPr/>
      </w:pPr>
      <w:r>
        <w:rPr/>
        <w:t>SoCalGas’ Gas Acquisition Department, CTAs, wholesale customers, and California gas producers have first access to this unbundled capacity.  The remainder is then made available to the market through a three-stage open season process.</w:t>
      </w:r>
    </w:p>
    <w:p>
      <w:pPr>
        <w:pStyle w:val="Normal"/>
        <w:spacing w:lineRule="auto" w:line="360"/>
        <w:ind w:firstLine="720" w:end="0"/>
        <w:rPr/>
      </w:pPr>
      <w:r>
        <w:rPr>
          <w:sz w:val="26"/>
        </w:rPr>
        <w:t>The core receives a reservation of intrastate capacity in the amount of 1000 MMcf/d in recognition of the existing long-term interstate capacity reservation on behalf of the core.  (</w:t>
      </w:r>
      <w:r>
        <w:rPr>
          <w:sz w:val="26"/>
          <w:u w:val="single"/>
        </w:rPr>
        <w:t>Id</w:t>
      </w:r>
      <w:r>
        <w:rPr>
          <w:sz w:val="26"/>
        </w:rPr>
        <w:t xml:space="preserve">., p. 12.)  This amount, which is slightly lower than the 1044 MMcf/d interstate reservation adopted in the recent BCAP, assumes a core transportation penetration level of up to 10% and includes approximately 70 MMcf/d of intrastate capacity needed to transport California supplies.  (ORA/Pocta, Ex. 4, p. 10.)  The core reservation is broken down in the following fashion: 300 MMcf/d at North Needles, 290 MMcf/d at Topock, 340 MMcf/d at Blythe, and 70 MMcf/d on North Coastal.  (Ex. 1, p. 12.)  </w:t>
      </w:r>
    </w:p>
    <w:p>
      <w:pPr>
        <w:pStyle w:val="Normal"/>
        <w:spacing w:lineRule="auto" w:line="360"/>
        <w:ind w:firstLine="720" w:end="0"/>
        <w:rPr/>
      </w:pPr>
      <w:r>
        <w:rPr>
          <w:sz w:val="26"/>
        </w:rPr>
        <w:t>Wholesale customers have three options to obtain capacity.  They can reserve intrastate capacity to match their firm upstream commitments or they can take a reservation at North Needles, Topock and Blythe in proportion to SoCalGas’ Gas Acquisition Department’s reservation at these receipt points.  Both of these options are available in advance of the open season. Their final option is to participate in the open season.  (SoCalGas/Lorenz, Ex. 2, p. 12.)</w:t>
      </w:r>
      <w:r>
        <w:rPr>
          <w:rStyle w:val="FootnoteCharacters"/>
          <w:rStyle w:val="FootnoteReference"/>
          <w:sz w:val="28"/>
        </w:rPr>
        <w:footnoteReference w:id="4"/>
      </w:r>
      <w:r>
        <w:rPr>
          <w:sz w:val="26"/>
        </w:rPr>
        <w:t xml:space="preserve"> </w:t>
      </w:r>
    </w:p>
    <w:p>
      <w:pPr>
        <w:pStyle w:val="Normal"/>
        <w:spacing w:lineRule="auto" w:line="360"/>
        <w:ind w:firstLine="720" w:end="0"/>
        <w:rPr>
          <w:sz w:val="26"/>
        </w:rPr>
      </w:pPr>
      <w:r>
        <w:rPr>
          <w:sz w:val="26"/>
        </w:rPr>
        <w:t>CTAs have two options for obtaining capacity.  Prior to the open season, they can reserve capacity at Topock, North Needles and Blythe in proportion to the Gas Acquisition Department’s reservation.  They also have the option of participating in the open seasons.</w:t>
      </w:r>
    </w:p>
    <w:p>
      <w:pPr>
        <w:pStyle w:val="Normal"/>
        <w:spacing w:lineRule="auto" w:line="360"/>
        <w:ind w:firstLine="720" w:end="0"/>
        <w:rPr>
          <w:sz w:val="26"/>
        </w:rPr>
      </w:pPr>
      <w:r>
        <w:rPr>
          <w:sz w:val="26"/>
        </w:rPr>
        <w:t>The settlement also has special pre-open season reservation provisions for California gas producers and a few noncore customers with existing long-term contracts which identify specific receipt points.</w:t>
      </w:r>
    </w:p>
    <w:p>
      <w:pPr>
        <w:pStyle w:val="BodyText"/>
        <w:rPr>
          <w:rFonts w:ascii="Times New Roman" w:hAnsi="Times New Roman" w:cs="Times New Roman"/>
        </w:rPr>
      </w:pPr>
      <w:r>
        <w:rPr>
          <w:rFonts w:cs="Times New Roman" w:ascii="Times New Roman" w:hAnsi="Times New Roman"/>
        </w:rPr>
        <w:t xml:space="preserve">Following the pre-open season reservations, the remaining firm capacity is made available through a three-step open season process.  In the first two stages, only end-use customers may participate.  For both stages, the capacity available at each receipt point is limited to 50% of the remaining capacity.  (Ex. 1, p. 15.)  In the third stage, any creditworthy party can participate.  </w:t>
      </w:r>
    </w:p>
    <w:p>
      <w:pPr>
        <w:pStyle w:val="BodyText"/>
        <w:rPr/>
      </w:pPr>
      <w:r>
        <w:rPr>
          <w:rFonts w:cs="Times New Roman" w:ascii="Times New Roman" w:hAnsi="Times New Roman"/>
        </w:rPr>
        <w:t>Capacity in the open season is awarded based upon the length of the bid with longest term being the length being the full term of the settlement.  The settlement prohibits any party from obtaining more than 40% of the capacity at any receipt point during the initial open season.  (</w:t>
      </w:r>
      <w:r>
        <w:rPr>
          <w:rFonts w:cs="Times New Roman" w:ascii="Times New Roman" w:hAnsi="Times New Roman"/>
          <w:u w:val="single"/>
        </w:rPr>
        <w:t>Id</w:t>
      </w:r>
      <w:r>
        <w:rPr>
          <w:rFonts w:cs="Times New Roman" w:ascii="Times New Roman" w:hAnsi="Times New Roman"/>
        </w:rPr>
        <w:t>., p. 19.)  The settlement also requires SoCalGas to hold an open season annually after the initial open season.</w:t>
      </w:r>
    </w:p>
    <w:p>
      <w:pPr>
        <w:pStyle w:val="BodyText"/>
        <w:rPr/>
      </w:pPr>
      <w:r>
        <w:rPr>
          <w:rFonts w:cs="Times New Roman" w:ascii="Times New Roman" w:hAnsi="Times New Roman"/>
        </w:rPr>
        <w:t>Finally, the settlement creates a secondary market through the provisions permitting the assignment of capacity to any creditworthy person.  (</w:t>
      </w:r>
      <w:r>
        <w:rPr>
          <w:rFonts w:cs="Times New Roman" w:ascii="Times New Roman" w:hAnsi="Times New Roman"/>
          <w:u w:val="single"/>
        </w:rPr>
        <w:t>Id</w:t>
      </w:r>
      <w:r>
        <w:rPr>
          <w:rFonts w:cs="Times New Roman" w:ascii="Times New Roman" w:hAnsi="Times New Roman"/>
        </w:rPr>
        <w:t>., p. 20.)  The settlement also provides for the creation of an electronic trading system.  (</w:t>
      </w:r>
      <w:r>
        <w:rPr>
          <w:rFonts w:cs="Times New Roman" w:ascii="Times New Roman" w:hAnsi="Times New Roman"/>
          <w:u w:val="single"/>
        </w:rPr>
        <w:t>Id</w:t>
      </w:r>
      <w:r>
        <w:rPr>
          <w:rFonts w:cs="Times New Roman" w:ascii="Times New Roman" w:hAnsi="Times New Roman"/>
        </w:rPr>
        <w:t>., p. 68.)</w:t>
      </w:r>
    </w:p>
    <w:p>
      <w:pPr>
        <w:pStyle w:val="BodyText"/>
        <w:rPr>
          <w:rFonts w:ascii="Times New Roman" w:hAnsi="Times New Roman" w:cs="Times New Roman"/>
        </w:rPr>
      </w:pPr>
      <w:r>
        <w:rPr>
          <w:rFonts w:cs="Times New Roman" w:ascii="Times New Roman" w:hAnsi="Times New Roman"/>
        </w:rPr>
        <w:t>As summarized above, the Comprehensive Settlement would implements each of the Commission’s most promising options relating to intrastate capacity.  As noted below, these provisions are consistent with the Commission’s long term policy goals and provide core and noncore customers with substantial benefits.</w:t>
      </w:r>
    </w:p>
    <w:p>
      <w:pPr>
        <w:pStyle w:val="Heading3"/>
        <w:numPr>
          <w:ilvl w:val="2"/>
          <w:numId w:val="2"/>
        </w:numPr>
        <w:rPr>
          <w:rFonts w:ascii="Times New Roman" w:hAnsi="Times New Roman" w:cs="Times New Roman"/>
        </w:rPr>
      </w:pPr>
      <w:bookmarkStart w:id="6" w:name="__RefHeading___Toc487862208"/>
      <w:bookmarkEnd w:id="6"/>
      <w:r>
        <w:rPr>
          <w:rFonts w:cs="Times New Roman" w:ascii="Times New Roman" w:hAnsi="Times New Roman"/>
        </w:rPr>
        <w:t>The Unbundling Provisions of the Comprehensive Settlement are Consistent with the Commission’s Long-term Goals</w:t>
      </w:r>
    </w:p>
    <w:p>
      <w:pPr>
        <w:pStyle w:val="BodyText"/>
        <w:rPr>
          <w:rFonts w:ascii="Times New Roman" w:hAnsi="Times New Roman" w:cs="Times New Roman"/>
        </w:rPr>
      </w:pPr>
      <w:r>
        <w:rPr>
          <w:rFonts w:cs="Times New Roman" w:ascii="Times New Roman" w:hAnsi="Times New Roman"/>
        </w:rPr>
        <w:t>The Commission first stated its policy goals for the California natural gas industry in D.98-08-030.  It reiterated them in both D.99-07-015, the decision identifying the promising options addressed by the Comprehensive Settlement, and D.00-05-049, the decision approving the Comprehensive Settlement for PG&amp;E system addressing the promising options.  The goals are:</w:t>
      </w:r>
    </w:p>
    <w:p>
      <w:pPr>
        <w:pStyle w:val="Normal"/>
        <w:numPr>
          <w:ilvl w:val="0"/>
          <w:numId w:val="7"/>
        </w:numPr>
        <w:ind w:hanging="360" w:start="1080" w:end="1440"/>
        <w:rPr>
          <w:sz w:val="26"/>
        </w:rPr>
      </w:pPr>
      <w:r>
        <w:rPr>
          <w:sz w:val="26"/>
        </w:rPr>
        <w:t>To complement and enhance the benefits of electric restructuring.</w:t>
      </w:r>
    </w:p>
    <w:p>
      <w:pPr>
        <w:pStyle w:val="Normal"/>
        <w:numPr>
          <w:ilvl w:val="0"/>
          <w:numId w:val="7"/>
        </w:numPr>
        <w:ind w:hanging="360" w:start="1080" w:end="1440"/>
        <w:rPr>
          <w:sz w:val="26"/>
        </w:rPr>
      </w:pPr>
      <w:r>
        <w:rPr>
          <w:sz w:val="26"/>
        </w:rPr>
        <w:t>To eliminate inappropriate cross-subsidies.</w:t>
      </w:r>
    </w:p>
    <w:p>
      <w:pPr>
        <w:pStyle w:val="Normal"/>
        <w:numPr>
          <w:ilvl w:val="0"/>
          <w:numId w:val="7"/>
        </w:numPr>
        <w:ind w:hanging="360" w:start="1080" w:end="1440"/>
        <w:rPr>
          <w:sz w:val="26"/>
        </w:rPr>
      </w:pPr>
      <w:r>
        <w:rPr>
          <w:sz w:val="26"/>
        </w:rPr>
        <w:t>To guard against unnecessary barriers to the entry of competitors into various aspects of the natural gas market.</w:t>
      </w:r>
    </w:p>
    <w:p>
      <w:pPr>
        <w:pStyle w:val="Normal"/>
        <w:numPr>
          <w:ilvl w:val="0"/>
          <w:numId w:val="7"/>
        </w:numPr>
        <w:ind w:hanging="360" w:start="1080" w:end="1440"/>
        <w:rPr>
          <w:sz w:val="26"/>
        </w:rPr>
      </w:pPr>
      <w:r>
        <w:rPr>
          <w:sz w:val="26"/>
        </w:rPr>
        <w:t>To mitigate competitive abuses that may occur because one firm exerts inordinate control over the functioning of the marketplace.</w:t>
      </w:r>
    </w:p>
    <w:p>
      <w:pPr>
        <w:pStyle w:val="Normal"/>
        <w:numPr>
          <w:ilvl w:val="0"/>
          <w:numId w:val="7"/>
        </w:numPr>
        <w:ind w:hanging="360" w:start="1080" w:end="1440"/>
        <w:rPr>
          <w:sz w:val="26"/>
        </w:rPr>
      </w:pPr>
      <w:r>
        <w:rPr>
          <w:sz w:val="26"/>
        </w:rPr>
        <w:t>To enhance competition by providing separate rates for each major component of utility service and allowing customers to choose to have other firms substitute their services and charges where appropriate.</w:t>
      </w:r>
    </w:p>
    <w:p>
      <w:pPr>
        <w:pStyle w:val="Normal"/>
        <w:numPr>
          <w:ilvl w:val="0"/>
          <w:numId w:val="7"/>
        </w:numPr>
        <w:ind w:hanging="360" w:start="1080" w:end="1440"/>
        <w:rPr>
          <w:sz w:val="26"/>
        </w:rPr>
      </w:pPr>
      <w:r>
        <w:rPr>
          <w:sz w:val="26"/>
        </w:rPr>
        <w:t>To ensure that the rates customers pay for utility services reflect the cost of those services.</w:t>
      </w:r>
    </w:p>
    <w:p>
      <w:pPr>
        <w:pStyle w:val="Normal"/>
        <w:numPr>
          <w:ilvl w:val="0"/>
          <w:numId w:val="7"/>
        </w:numPr>
        <w:ind w:hanging="360" w:start="1080" w:end="1440"/>
        <w:rPr>
          <w:sz w:val="26"/>
        </w:rPr>
      </w:pPr>
      <w:r>
        <w:rPr>
          <w:sz w:val="26"/>
        </w:rPr>
        <w:t>To preserve the low-costs currently enjoyed by California natural gas customers.</w:t>
      </w:r>
    </w:p>
    <w:p>
      <w:pPr>
        <w:pStyle w:val="Normal"/>
        <w:numPr>
          <w:ilvl w:val="0"/>
          <w:numId w:val="7"/>
        </w:numPr>
        <w:ind w:hanging="360" w:start="1080" w:end="1440"/>
        <w:rPr>
          <w:sz w:val="26"/>
        </w:rPr>
      </w:pPr>
      <w:r>
        <w:rPr>
          <w:sz w:val="26"/>
        </w:rPr>
        <w:t>To provide adequate consumer protection.</w:t>
      </w:r>
    </w:p>
    <w:p>
      <w:pPr>
        <w:pStyle w:val="Normal"/>
        <w:numPr>
          <w:ilvl w:val="0"/>
          <w:numId w:val="7"/>
        </w:numPr>
        <w:ind w:hanging="360" w:start="1080" w:end="1440"/>
        <w:rPr>
          <w:sz w:val="26"/>
        </w:rPr>
      </w:pPr>
      <w:r>
        <w:rPr>
          <w:sz w:val="26"/>
        </w:rPr>
        <w:t>To ensure that the natural gas service is safe and reliable.  (D.00</w:t>
        <w:noBreakHyphen/>
        <w:t>05-045, p. 5.)</w:t>
      </w:r>
    </w:p>
    <w:p>
      <w:pPr>
        <w:pStyle w:val="BodyTextIndent"/>
        <w:rPr>
          <w:sz w:val="26"/>
        </w:rPr>
      </w:pPr>
      <w:r>
        <w:rPr>
          <w:sz w:val="26"/>
        </w:rPr>
      </w:r>
    </w:p>
    <w:p>
      <w:pPr>
        <w:pStyle w:val="BodyText"/>
        <w:rPr>
          <w:rFonts w:ascii="Times New Roman" w:hAnsi="Times New Roman" w:cs="Times New Roman"/>
        </w:rPr>
      </w:pPr>
      <w:r>
        <w:rPr>
          <w:rFonts w:cs="Times New Roman" w:ascii="Times New Roman" w:hAnsi="Times New Roman"/>
        </w:rPr>
        <w:t>The intrastate capacity provisions of the settlement are directly responsive to several of the Commission’s goals.  First, they are designed to enhance competition by unbundling intrastate capacity and giving customers the choice of providing their own services or allowing a marketer to provide the service for them.  Based on the experience under the Gas Accord, the unbundling of SoCalGas’ intrastate transmission system should enhance competition through the creation of a city-gate market.  As noted by Indicated Electric Generator (IEG) witness Beach, the city-gate competition which has developed in northern California under the Gas Accord has directly benefited end use customers through city-gate prices that are actually lower than price of purchasing the gas at the border and shipping it at the as-available transportation rate.  (IEG/Beach, Ex. 5, p. 5.)  As further noted by Enron Witness Dasovich:</w:t>
      </w:r>
    </w:p>
    <w:p>
      <w:pPr>
        <w:pStyle w:val="Quotation"/>
        <w:rPr>
          <w:rFonts w:ascii="Times New Roman" w:hAnsi="Times New Roman" w:cs="Times New Roman"/>
        </w:rPr>
      </w:pPr>
      <w:r>
        <w:rPr>
          <w:rFonts w:cs="Times New Roman" w:ascii="Times New Roman" w:hAnsi="Times New Roman"/>
        </w:rPr>
        <w:t xml:space="preserve">The vast majority of customers (who are supporters of the Comprehensive Settlement) want more choices.  They want the option of managing their own capacity rights and arranging for their own gas supplies.  Customers are also aware of and want the option to contract with another party to manage some or all of their gas requirements.  These are choices and options that every other business in every other competitive market benefits from every day.  Customers benefit from these additional choices by having marketers compete aggressively to offer them lower prices and better services, and by retaining the option to “do it themselves” if they desire.  (Enron/Dasovich, Ex. 15, p. 6.) </w:t>
      </w:r>
    </w:p>
    <w:p>
      <w:pPr>
        <w:pStyle w:val="BodyText"/>
        <w:rPr>
          <w:rFonts w:ascii="Times New Roman" w:hAnsi="Times New Roman" w:cs="Times New Roman"/>
        </w:rPr>
      </w:pPr>
      <w:r>
        <w:rPr>
          <w:rFonts w:cs="Times New Roman" w:ascii="Times New Roman" w:hAnsi="Times New Roman"/>
        </w:rPr>
        <w:t>In short, the unbundling provisions of the Comprehensive Settlement further the Commission’s long-term goal of fostering additional customer choice and gas-on-gas competition.</w:t>
      </w:r>
    </w:p>
    <w:p>
      <w:pPr>
        <w:pStyle w:val="BodyText"/>
        <w:rPr/>
      </w:pPr>
      <w:r>
        <w:rPr>
          <w:rFonts w:cs="Times New Roman" w:ascii="Times New Roman" w:hAnsi="Times New Roman"/>
        </w:rPr>
        <w:t>The unbundling provisions of the settlement are responsive to the Commission’s goal of complementing and enhancing the benefits of electric restructuring.  First, the settlement will directly lower the rates for EG customers by approximately $3 million.  (IEG/Beach, Ex. 5, p. 2.)  Second, the unbundling will permit electric customers to further lower their costs by tailoring their purchase of gas services to best meet their needs.  (</w:t>
      </w:r>
      <w:r>
        <w:rPr>
          <w:rFonts w:cs="Times New Roman" w:ascii="Times New Roman" w:hAnsi="Times New Roman"/>
          <w:u w:val="single"/>
        </w:rPr>
        <w:t>Id</w:t>
      </w:r>
      <w:r>
        <w:rPr>
          <w:rFonts w:cs="Times New Roman" w:ascii="Times New Roman" w:hAnsi="Times New Roman"/>
        </w:rPr>
        <w:t>., p. 6.)  Mr. Beach’s testimony is supported by SoCalGas witness Lorenz who notes that since the system load peaks in the winter while the EG load peaks in the summer, EG’s should be able to obtain capacity in the secondary market at favorable rates.  (SoCalGas/Lorenz, Ex. 2, p. 11.)  Third, to the extent electric generators in SoCalGas’ territory are able to lower their costs it is likely to lower the bids into the PX and, in the aggregate, produce lower market-clearing prices.  (IEG/Beach, Ex. 5, p. 8.)  He estimates that if only 50% of the savings experienced under the Gas Accord are realized, costs to electric generators will decrease by $12 million annually.  (IEG/Beach, Tr. Vol. 4, p. 377.)</w:t>
      </w:r>
    </w:p>
    <w:p>
      <w:pPr>
        <w:pStyle w:val="BodyText"/>
        <w:rPr>
          <w:rFonts w:ascii="Times New Roman" w:hAnsi="Times New Roman" w:cs="Times New Roman"/>
        </w:rPr>
      </w:pPr>
      <w:r>
        <w:rPr>
          <w:rFonts w:cs="Times New Roman" w:ascii="Times New Roman" w:hAnsi="Times New Roman"/>
        </w:rPr>
        <w:t>The provision of the settlement placing SoCalGas at risk for backbone capacity is directly responsive to the Commission’s goal of eliminating cross-subsidies.  Since the current 75/25 balancing account treatment for backbone capacity will be eliminated, the settlement avoids the potential for ratepayer subsidies resulting from discounted transportation service.  (SoCalGas/Lorenz, Ex. 2, p. 11.)  This provision will give SoCalGas an incentive to efficiently operate its backbone transportation system.</w:t>
      </w:r>
    </w:p>
    <w:p>
      <w:pPr>
        <w:pStyle w:val="BodyText"/>
        <w:rPr>
          <w:rFonts w:ascii="Times New Roman" w:hAnsi="Times New Roman" w:cs="Times New Roman"/>
        </w:rPr>
      </w:pPr>
      <w:r>
        <w:rPr>
          <w:rFonts w:cs="Times New Roman" w:ascii="Times New Roman" w:hAnsi="Times New Roman"/>
        </w:rPr>
        <w:t xml:space="preserve">The 40% cap on capacity ownership at any given receipt point during the initial open season is responsive to the goal of mitigating competitive abuses.  This provision is an improvement over the Gas Accord which had no such limitation. </w:t>
      </w:r>
    </w:p>
    <w:p>
      <w:pPr>
        <w:pStyle w:val="BodyText"/>
        <w:rPr>
          <w:rFonts w:ascii="Times New Roman" w:hAnsi="Times New Roman" w:cs="Times New Roman"/>
        </w:rPr>
      </w:pPr>
      <w:r>
        <w:rPr>
          <w:rFonts w:cs="Times New Roman" w:ascii="Times New Roman" w:hAnsi="Times New Roman"/>
        </w:rPr>
        <w:t>Finally, unbundling on an embedded cost basis is consistent with the goal of insuring that the rates customers pay for service reflect the cost of those services.  As the Commission noted in its decision approving the Gas Accord:</w:t>
      </w:r>
    </w:p>
    <w:p>
      <w:pPr>
        <w:pStyle w:val="Quotation"/>
        <w:rPr/>
      </w:pPr>
      <w:r>
        <w:rPr>
          <w:rFonts w:cs="Times New Roman" w:ascii="Times New Roman" w:hAnsi="Times New Roman"/>
        </w:rPr>
        <w:t xml:space="preserve">With unbundling comes a logical reliance on embedded costs in calculating rates.  Direct comparison between marginal cost and embedded cost methods has not been the focus of this proceeding, but </w:t>
      </w:r>
      <w:r>
        <w:rPr>
          <w:rFonts w:cs="Times New Roman" w:ascii="Times New Roman" w:hAnsi="Times New Roman"/>
          <w:u w:val="single"/>
        </w:rPr>
        <w:t>in general the matching of rates and facilities is enhanced by embedded cost ratemaking</w:t>
      </w:r>
      <w:r>
        <w:rPr>
          <w:rFonts w:cs="Times New Roman" w:ascii="Times New Roman" w:hAnsi="Times New Roman"/>
        </w:rPr>
        <w:t>.  Marginal costs (after adjustment for embedded cost revenue requirement) can be used to allocate costs fairly among customer classes, but the resulting rates can be very sensitive to initial marginal cost decision choices.  (</w:t>
      </w:r>
      <w:r>
        <w:rPr>
          <w:rFonts w:cs="Times New Roman" w:ascii="Times New Roman" w:hAnsi="Times New Roman"/>
          <w:u w:val="single"/>
        </w:rPr>
        <w:t>Re Pacific Gas and Electric Co.</w:t>
      </w:r>
      <w:r>
        <w:rPr>
          <w:rFonts w:cs="Times New Roman" w:ascii="Times New Roman" w:hAnsi="Times New Roman"/>
        </w:rPr>
        <w:t>, D.97</w:t>
        <w:noBreakHyphen/>
        <w:t>08</w:t>
        <w:noBreakHyphen/>
        <w:t>055, p. 19, 73 CPUC 2d 808 (emphasis added).)</w:t>
      </w:r>
    </w:p>
    <w:p>
      <w:pPr>
        <w:pStyle w:val="BodyText"/>
        <w:ind w:hanging="0" w:end="0"/>
        <w:rPr>
          <w:rFonts w:ascii="Times New Roman" w:hAnsi="Times New Roman" w:cs="Times New Roman"/>
        </w:rPr>
      </w:pPr>
      <w:r>
        <w:rPr>
          <w:rFonts w:cs="Times New Roman" w:ascii="Times New Roman" w:hAnsi="Times New Roman"/>
        </w:rPr>
        <w:t>Setting the rates for transmission and storage on an embedded cost basis insures that the rates customers pay through the open seasons reflect the cost of service.</w:t>
      </w:r>
    </w:p>
    <w:p>
      <w:pPr>
        <w:pStyle w:val="Heading3"/>
        <w:numPr>
          <w:ilvl w:val="2"/>
          <w:numId w:val="2"/>
        </w:numPr>
        <w:rPr>
          <w:rFonts w:ascii="Times New Roman" w:hAnsi="Times New Roman" w:cs="Times New Roman"/>
        </w:rPr>
      </w:pPr>
      <w:bookmarkStart w:id="7" w:name="__RefHeading___Toc487862209"/>
      <w:bookmarkEnd w:id="7"/>
      <w:r>
        <w:rPr>
          <w:rFonts w:cs="Times New Roman" w:ascii="Times New Roman" w:hAnsi="Times New Roman"/>
        </w:rPr>
        <w:t>In Addition to Being Consistent with the Commission’s Long Term Goals, the Unbundling Provisions of the Comprehensive Settlement Provide Numerous Other Benefits to the Market in General and Core Customers in Particular</w:t>
      </w:r>
    </w:p>
    <w:p>
      <w:pPr>
        <w:pStyle w:val="BodyText"/>
        <w:ind w:end="-180"/>
        <w:rPr>
          <w:rFonts w:ascii="Times New Roman" w:hAnsi="Times New Roman" w:cs="Times New Roman"/>
        </w:rPr>
      </w:pPr>
      <w:r>
        <w:rPr>
          <w:rFonts w:cs="Times New Roman" w:ascii="Times New Roman" w:hAnsi="Times New Roman"/>
        </w:rPr>
        <w:t>Additional general benefits of the unbundling provisions of the settlement are that it will produce rate stability, statewide consistency and a simplification of cost allocation proceedings.  One of the attractive features of the settlement from the perspective of customers is that it will result in rate stability for the term of the settlement since the rates are fixed subject only to an annual escalation factor based upon the PBR formula.  As noted, by IEG witness Beach, the current uncertainty associated with SoCalGas’ future rates make it difficult for electric generators to make long-term business plans.  Consequently, they particularly value the provisions of the settlement which improve the stability and certainty of SoCalGas’ transportation charges.  (IEG/Beach Ex. 5, pp. 3-4.)  The fact that rates will be essentially fixed for the term of the settlement will also simplify future cost allocation proceedings and preserve scarce resources.</w:t>
      </w:r>
    </w:p>
    <w:p>
      <w:pPr>
        <w:pStyle w:val="Normal"/>
        <w:spacing w:lineRule="auto" w:line="360"/>
        <w:ind w:firstLine="720" w:end="0"/>
        <w:rPr>
          <w:sz w:val="26"/>
        </w:rPr>
      </w:pPr>
      <w:r>
        <w:rPr>
          <w:sz w:val="26"/>
        </w:rPr>
        <w:t>One of the promising options identified in D.99-07-015 was achieving statewide consistency.  The Comprehensive Settlement accomplishes this objective by creating an unbundled transmission system very comparable to the one currently in effect on the PG&amp;E system.  This is a significant benefit to the many customers, producers, generators and gas and electric marketers doing business in both northern and southern California.  Consistency between the PG&amp;E and SoCalGas system will permit these entities to develop a single set of planning criteria and procedures for determining how much gas to schedule and what capacity to obtain in each of the available markets.  (Enron/Dasovich, Ex. 15, p. 3.)</w:t>
      </w:r>
    </w:p>
    <w:p>
      <w:pPr>
        <w:pStyle w:val="BodyText"/>
        <w:rPr>
          <w:rFonts w:ascii="Times New Roman" w:hAnsi="Times New Roman" w:cs="Times New Roman"/>
        </w:rPr>
      </w:pPr>
      <w:r>
        <w:rPr>
          <w:rFonts w:cs="Times New Roman" w:ascii="Times New Roman" w:hAnsi="Times New Roman"/>
        </w:rPr>
        <w:t>The unbundling provisions of the settlement also contain substantial benefits for core customers including the following: (1) the methodology for unbundling avoids any cost shift to the core; (2) the core has flexibility to avoid future stranded backbone costs by reducing its reservation as the CTA program grows; (3) the core receives a favorable allocation of valuable Topock capacity; and (4) the 50/50 MFV rate design provides the Gas Acquisition Department with considerable flexibility in meeting core requirements.  Each of these benefits is addressed below.</w:t>
      </w:r>
    </w:p>
    <w:p>
      <w:pPr>
        <w:pStyle w:val="Normal"/>
        <w:spacing w:lineRule="auto" w:line="360"/>
        <w:ind w:firstLine="720" w:end="0"/>
        <w:rPr>
          <w:sz w:val="26"/>
        </w:rPr>
      </w:pPr>
      <w:r>
        <w:rPr>
          <w:sz w:val="26"/>
        </w:rPr>
        <w:t>As noted earlier, a total of $138 million in embedded transmission-related costs are unbundled under the settlement.  From the core’s perspective the unbundling of this amount is fair and equitable and insures that there is no significant cost shift to the core from unbundling transmission (and storage) capacity.  If the unbundling issue were litigated rather than settled it is likely that noncore interests, marketers and SoCalGas would all argue for a lower amount since it would benefit each of their interests.  Unbundling a lower amount would result in a lower allocation to the backbone system and a lower backbone transmission rate.  This lower rate would be attractive to both marketers and noncore customers.  It would also be attractive to SoCalGas since the lower allocation would reduce its risk.  (ORA/Pocta, Ex. 4, p. 12.)  The settlement provisions are fair to the core and protect it from the risk of litigation.</w:t>
      </w:r>
    </w:p>
    <w:p>
      <w:pPr>
        <w:pStyle w:val="Normal"/>
        <w:spacing w:lineRule="auto" w:line="360"/>
        <w:ind w:firstLine="720" w:end="0"/>
        <w:rPr>
          <w:b/>
          <w:sz w:val="26"/>
        </w:rPr>
      </w:pPr>
      <w:r>
        <w:rPr>
          <w:sz w:val="26"/>
        </w:rPr>
        <w:t>The settlement also provides the core with the flexibility to avoid future stranded backbone costs.  As the CTA program grows, the load served by SoCalGas will decrease.  Under the terms of the Settlement, the Gas Acquisition Department can modify its backbone capacity reservation on an annual basis to account for increased throughput in core transportation.  (ORA/Pocta, Ex. 4, p. 11; Ex. 1, p. 12.)  By reducing its reservation, the amount available in the annual open season will be increased with SoCalGas at risk for recovery of the costs.</w:t>
      </w:r>
    </w:p>
    <w:p>
      <w:pPr>
        <w:pStyle w:val="BodyTextIndent"/>
        <w:spacing w:lineRule="auto" w:line="360"/>
        <w:ind w:firstLine="720" w:start="0" w:end="0"/>
        <w:rPr>
          <w:sz w:val="26"/>
        </w:rPr>
      </w:pPr>
      <w:r>
        <w:rPr>
          <w:sz w:val="26"/>
        </w:rPr>
        <w:t>Another significant benefit for the core is the reservation of 290 MMcf/d of capacity at the Topock receipt point.  It is this receipt point that receives gas from the San Juan Basin.  In recent years, San Juan gas has been less expensive than the Permian Basin alternative.  The 290 MMcf/d reservation is 90 MMcf/d more than the core would have received under a pro rata allocation.  Based on recent data, this represents an annual savings to the core of approximately $3 million.  (ORA/Pocta, Ex. 4, p. 11.)</w:t>
      </w:r>
    </w:p>
    <w:p>
      <w:pPr>
        <w:pStyle w:val="Normal"/>
        <w:spacing w:lineRule="auto" w:line="360"/>
        <w:ind w:firstLine="720" w:end="0"/>
        <w:rPr>
          <w:sz w:val="26"/>
        </w:rPr>
      </w:pPr>
      <w:r>
        <w:rPr>
          <w:sz w:val="26"/>
        </w:rPr>
        <w:t xml:space="preserve">Finally, the core benefits from the additional flexibility provided by the optional SFV and MFV rate designs.  The ability to use an MFV rate design insures that core customers do not pay excessive backbone charges in any year that is warmer than a cold year.  The Settlement allows Gas Acquisition to utilize any combination of SFV and MFV rate design for each receipt point.  This flexibility will allow the most optimal rate design to be elected by Gas Acquisition.  This will assure that core customers pay the lowest possible price for their intrastate capacity.  It also provides the core with a better opportunity to lower costs by brokering the capacity in the secondary market when it is not needed, for example during the summer when electric load is peaking.  </w:t>
      </w:r>
    </w:p>
    <w:p>
      <w:pPr>
        <w:pStyle w:val="Heading3"/>
        <w:numPr>
          <w:ilvl w:val="2"/>
          <w:numId w:val="2"/>
        </w:numPr>
        <w:rPr>
          <w:rFonts w:ascii="Times New Roman" w:hAnsi="Times New Roman" w:cs="Times New Roman"/>
        </w:rPr>
      </w:pPr>
      <w:bookmarkStart w:id="8" w:name="__RefHeading___Toc487862210"/>
      <w:bookmarkEnd w:id="8"/>
      <w:r>
        <w:rPr>
          <w:rFonts w:cs="Times New Roman" w:ascii="Times New Roman" w:hAnsi="Times New Roman"/>
        </w:rPr>
        <w:t>The Objections to the Unbundling Provisions of the Settlement Are Unpersuasive</w:t>
      </w:r>
    </w:p>
    <w:p>
      <w:pPr>
        <w:pStyle w:val="Normal"/>
        <w:spacing w:lineRule="auto" w:line="360"/>
        <w:ind w:firstLine="720" w:end="0"/>
        <w:rPr>
          <w:sz w:val="26"/>
        </w:rPr>
      </w:pPr>
      <w:r>
        <w:rPr>
          <w:sz w:val="26"/>
        </w:rPr>
        <w:t>The proponents of the Post-Interim Settlement raise several objections to the transmission unbundling provisions of the Comprehensive Settlement.  They claim: (1) that the Gas Accord model is not appropriate for the SoCalGas system because the configuration of its system is different from the PG&amp;E system; (2) the Comprehensive Settlement fails to achieve statewide consistency because capacity rights under the Gas Accord are path specific while the capacity rights under the Comprehensive Settlement are based on receipt points; (3) the unbundling creates additional transaction costs for customers and will only benefit marketers; (4) the demand charge rate design will only increase customer costs, particularly for low load factor customers like the core and electric generators; and (5) the demand charge rate design and open season restrictions threaten electric reliability.  The City of Long Beach objects to the open season process and instead recommends an auction for allocating capacity.  As will be demonstrated below, none of these arguments are persuasive.</w:t>
      </w:r>
    </w:p>
    <w:p>
      <w:pPr>
        <w:pStyle w:val="Heading4"/>
        <w:numPr>
          <w:ilvl w:val="3"/>
          <w:numId w:val="2"/>
        </w:numPr>
        <w:rPr>
          <w:rFonts w:ascii="Times New Roman" w:hAnsi="Times New Roman" w:cs="Times New Roman"/>
          <w:b/>
          <w:i w:val="false"/>
          <w:i w:val="false"/>
        </w:rPr>
      </w:pPr>
      <w:bookmarkStart w:id="9" w:name="__RefHeading___Toc487862211"/>
      <w:bookmarkEnd w:id="9"/>
      <w:r>
        <w:rPr>
          <w:rFonts w:cs="Times New Roman" w:ascii="Times New Roman" w:hAnsi="Times New Roman"/>
          <w:b/>
          <w:i w:val="false"/>
        </w:rPr>
        <w:t>There are no Significant Operational Differences between the PG&amp;E and SoCalGas Systems</w:t>
      </w:r>
    </w:p>
    <w:p>
      <w:pPr>
        <w:pStyle w:val="BodyText"/>
        <w:rPr>
          <w:rFonts w:ascii="Times New Roman" w:hAnsi="Times New Roman" w:cs="Times New Roman"/>
        </w:rPr>
      </w:pPr>
      <w:r>
        <w:rPr>
          <w:rFonts w:cs="Times New Roman" w:ascii="Times New Roman" w:hAnsi="Times New Roman"/>
        </w:rPr>
        <w:t xml:space="preserve">In her rebuttal testimony, Ms. Yap claims that the Comprehensive Settlement improperly classifies local transmission facilities as backbone for purposes of unbundling SoCalGas’ transmission facilities.  According to her, only the eastern portion of SoCalGas’ system resembles the backbone portion of PG&amp;E’s system which was unbundled under the Gas Accord.  (TURN/Aglet/SCGC, Ex. 102, p. 13.)  Mr. Florio makes a similar argument in his direct testimony.  (TURN/Aglet/SCGC, Ex. 101, p. 8.)  </w:t>
      </w:r>
    </w:p>
    <w:p>
      <w:pPr>
        <w:pStyle w:val="BodyText"/>
        <w:rPr>
          <w:rFonts w:ascii="Times New Roman" w:hAnsi="Times New Roman" w:cs="Times New Roman"/>
        </w:rPr>
      </w:pPr>
      <w:r>
        <w:rPr>
          <w:rFonts w:cs="Times New Roman" w:ascii="Times New Roman" w:hAnsi="Times New Roman"/>
        </w:rPr>
        <w:t>The argument that the unbundling provisions of the Comprehensive Settlement should be rejected because the SoCalGas system is unlike the PG&amp;E system is little more than a red herring.  Both the PG&amp;E and SoCalGas backbone transmission systems serve the same function and can be unbundled in a similar manner.  The SoCalGas backbone system, which is being unbundled, includes mainlines in the eastern portion of SoCalGas’ territory and the lines running south from Wheeler Ridge to the L.A. Basin.  These transmission lines can be viewed as spokes serving hubs of networked local transmission facilities in the L.A. Basin.  This is no different than the PG&amp;E backbone system.  The two systems differ only in the length and number of spokes (SoCalGas’ are shorter and more numerous).  Since they serve the same purpose, operationally there is just as strong a basis for unbundling the SoCalGas system.  (IEG/Beach, Ex. 18, p. 3.)</w:t>
      </w:r>
    </w:p>
    <w:p>
      <w:pPr>
        <w:pStyle w:val="Heading4"/>
        <w:numPr>
          <w:ilvl w:val="3"/>
          <w:numId w:val="2"/>
        </w:numPr>
        <w:rPr>
          <w:rFonts w:ascii="Times New Roman" w:hAnsi="Times New Roman" w:cs="Times New Roman"/>
          <w:b/>
          <w:i w:val="false"/>
          <w:i w:val="false"/>
        </w:rPr>
      </w:pPr>
      <w:bookmarkStart w:id="10" w:name="__RefHeading___Toc487862212"/>
      <w:bookmarkEnd w:id="10"/>
      <w:r>
        <w:rPr>
          <w:rFonts w:cs="Times New Roman" w:ascii="Times New Roman" w:hAnsi="Times New Roman"/>
          <w:b/>
          <w:i w:val="false"/>
        </w:rPr>
        <w:t>The Fact that Capacity Rights under the Gas Accord are Path Specific While the Comprehensive Settlement Allocates Receipt Point Rights Is Inconsequential in Terms of Achieving Statewide Consistency</w:t>
      </w:r>
    </w:p>
    <w:p>
      <w:pPr>
        <w:pStyle w:val="Normal"/>
        <w:spacing w:lineRule="auto" w:line="360"/>
        <w:ind w:firstLine="720" w:end="0"/>
        <w:rPr/>
      </w:pPr>
      <w:r>
        <w:rPr>
          <w:sz w:val="26"/>
        </w:rPr>
        <w:t xml:space="preserve">Ms. Yap claims that the Comprehensive Settlement fails to achieve statewide consistency because capacity rights under the Gas Accord are path specific while capacity rights on the SoCalGas are based upon specific receipt points.  (TURN/Aglet/SCGC, Ex. 102, p. 14.)  While Ms. Yap correctly points out a difference between the Gas Accord and the Comprehensive Settlement, the more salient point is that, like the Gas Accord, the Comprehensive Settlement would create a city-gate market with the ability to move gas to the city-gate on a </w:t>
      </w:r>
      <w:r>
        <w:rPr>
          <w:sz w:val="26"/>
          <w:u w:val="single"/>
        </w:rPr>
        <w:t>firm</w:t>
      </w:r>
      <w:r>
        <w:rPr>
          <w:sz w:val="26"/>
        </w:rPr>
        <w:t xml:space="preserve"> basis.  The Comprehensive Settlement creates firm, tradable backbone capacity rights consistent with the Gas Accord and the Commission’s most promising options.</w:t>
      </w:r>
    </w:p>
    <w:p>
      <w:pPr>
        <w:pStyle w:val="Normal"/>
        <w:spacing w:lineRule="auto" w:line="360"/>
        <w:ind w:firstLine="720" w:end="0"/>
        <w:rPr>
          <w:sz w:val="26"/>
        </w:rPr>
      </w:pPr>
      <w:r>
        <w:rPr>
          <w:sz w:val="26"/>
        </w:rPr>
        <w:t>As under the Gas Accord, customers and marketers will have the option of purchasing gas in the basins, at the border or at the city-gate.  In short, the differences between the Gas Accord and the Comprehensive Settlement represent a distinction without a difference in terms of achieving statewide consistency with respect to transporting gas supplies from the producing basins to the city-gate on a firm basis.</w:t>
      </w:r>
    </w:p>
    <w:p>
      <w:pPr>
        <w:pStyle w:val="Heading4"/>
        <w:numPr>
          <w:ilvl w:val="3"/>
          <w:numId w:val="2"/>
        </w:numPr>
        <w:rPr>
          <w:rFonts w:ascii="Times New Roman" w:hAnsi="Times New Roman" w:cs="Times New Roman"/>
          <w:b/>
          <w:i w:val="false"/>
          <w:i w:val="false"/>
        </w:rPr>
      </w:pPr>
      <w:bookmarkStart w:id="11" w:name="__RefHeading___Toc487862213"/>
      <w:bookmarkEnd w:id="11"/>
      <w:r>
        <w:rPr>
          <w:rFonts w:cs="Times New Roman" w:ascii="Times New Roman" w:hAnsi="Times New Roman"/>
          <w:b/>
          <w:i w:val="false"/>
        </w:rPr>
        <w:t>The Concerns Expressed about Marketers are Unsupported</w:t>
      </w:r>
    </w:p>
    <w:p>
      <w:pPr>
        <w:pStyle w:val="Normal"/>
        <w:spacing w:lineRule="auto" w:line="360"/>
        <w:ind w:firstLine="720" w:end="0"/>
        <w:rPr>
          <w:sz w:val="26"/>
        </w:rPr>
      </w:pPr>
      <w:r>
        <w:rPr>
          <w:sz w:val="26"/>
        </w:rPr>
        <w:t>TURN, Aglet and SCGC go to considerable lengths to challenge the Comprehensive Settlement on the basis that it is little more than a get rich quick scheme for marketers with little or no benefits for customers.  They claim that additional unbundling will increase transaction costs, forcing customers into the arms of marketers, that unbundling may transfer large quantities of receipt point capacity to marketers and that the 40% cap on market concentration may be ineffective in preventing the exercise of market power.  (TURN/Aglet/SCGC, Ex. 102, pp. 15-18.)  They offer little in the way of support for their claims other than anecdotal evidence from Phase I indicating that the municipalities of Palo Alto and/or Redding experienced an increase in transaction costs in the wake of the unbundling that resulted from the Gas Accord.  (Yap, Tr. Vol. 2, p. 212.)</w:t>
      </w:r>
    </w:p>
    <w:p>
      <w:pPr>
        <w:pStyle w:val="Normal"/>
        <w:spacing w:lineRule="auto" w:line="360"/>
        <w:ind w:firstLine="720" w:end="0"/>
        <w:rPr>
          <w:sz w:val="26"/>
        </w:rPr>
      </w:pPr>
      <w:r>
        <w:rPr>
          <w:sz w:val="26"/>
        </w:rPr>
        <w:t>In effect, these parties are asking the Commission to bring a halt to over ten years of movement toward unbundling gas services to both increase customer choice and provide marketers additional opportunities to service customers.  The movement toward increasing customer choice has included the unbundling of transportation and commodity costs, the unbundling of interstate capacity and storage costs and the institution of a core transportation program.  Each of these unbundling steps entailed transaction costs and each of these steps provided marketers with an opportunity to provide a service formerly provided by the utility.  Where is the evidence that customers failed to benefit from these unbundling efforts?  Where is the evidence that customers on the PG&amp;E system have been saddled with increased overall costs as a result of the Gas Accord?  Where is the evidence that customers on the PG&amp;E system are demanding a return to bundled intrastate transportation service in which their only options are to purchase gas in the basins or at the border?  Should the Commission reverse a decade of movement toward unbundling and return to a “one size fits all” vertically integrated monopoly structure?  ORA thinks not.</w:t>
      </w:r>
    </w:p>
    <w:p>
      <w:pPr>
        <w:pStyle w:val="Normal"/>
        <w:spacing w:lineRule="auto" w:line="360"/>
        <w:ind w:firstLine="720" w:end="0"/>
        <w:rPr>
          <w:sz w:val="26"/>
        </w:rPr>
      </w:pPr>
      <w:r>
        <w:rPr>
          <w:sz w:val="26"/>
        </w:rPr>
        <w:t>The only compelling evidence in this proceeding suggests that, rather than being harmed, customers on the PG&amp;E system have actually benefited from the unbundling of intrastate transportation costs under the Gas Accord through the development of a robust city-gate market in which the costs at the city-gate are actually lower than the alternative of purchasing gas at the border and paying to transport it to the city-gate.  (IEG/Beach, Ex. 5, pp. 4-5.)  Rather than harming customers, the unbundling of SoCalGas’ intrastate transmission system can be expected to provide the same type of benefits.</w:t>
      </w:r>
    </w:p>
    <w:p>
      <w:pPr>
        <w:pStyle w:val="Normal"/>
        <w:spacing w:lineRule="auto" w:line="360"/>
        <w:ind w:firstLine="720" w:end="0"/>
        <w:rPr>
          <w:sz w:val="26"/>
        </w:rPr>
      </w:pPr>
      <w:r>
        <w:rPr>
          <w:sz w:val="26"/>
        </w:rPr>
        <w:t>The complaint that the 40% cap on market concentration may be ineffective in preventing market abuses is another example of the “glass is half empty” perspective.  There were no caps on market concentration under the Gas Accord.  Consequently, the 40% cap is a definite improvement.  If there was evidence of current market power concentration under the Gas Accord, there might be reason for concern.  However, no such evidenced has been adduced to date.  Furthermore, every new step in the direction of unbundling monopoly services and providing others with the opportunity to provide the service carries an element of risk.  The Commission recognized this simple fact almost a decade ago when it unbundled interstate capacity costs for the noncore:</w:t>
      </w:r>
    </w:p>
    <w:p>
      <w:pPr>
        <w:pStyle w:val="Quotation"/>
        <w:ind w:end="1080"/>
        <w:rPr/>
      </w:pPr>
      <w:r>
        <w:rPr>
          <w:rFonts w:cs="Times New Roman" w:ascii="Times New Roman" w:hAnsi="Times New Roman"/>
        </w:rPr>
        <w:t xml:space="preserve">Like any new venture, the program we adopt today presents some risk.  In the next few years we will be attentive to whether the program is fulfilling the Commission goals.  Indications that the program is not working would include </w:t>
      </w:r>
      <w:r>
        <w:rPr>
          <w:rFonts w:cs="Times New Roman" w:ascii="Times New Roman" w:hAnsi="Times New Roman"/>
          <w:u w:val="single"/>
        </w:rPr>
        <w:t>concentrated holdings of interstate capacity</w:t>
      </w:r>
      <w:r>
        <w:rPr>
          <w:rFonts w:cs="Times New Roman" w:ascii="Times New Roman" w:hAnsi="Times New Roman"/>
        </w:rPr>
        <w:t>, high levels of stranded costs, frequent curtailments, relatively high gas prices, and high percentages of customers who opt for core subscription services.  If we observe these signs of trouble, we will not hesitate to reconsider the rules adopted today.  (</w:t>
      </w:r>
      <w:r>
        <w:rPr>
          <w:rFonts w:cs="Times New Roman" w:ascii="Times New Roman" w:hAnsi="Times New Roman"/>
          <w:u w:val="single"/>
        </w:rPr>
        <w:t>Re Natural Gas Procurement and Reliability Issues</w:t>
      </w:r>
      <w:r>
        <w:rPr>
          <w:rFonts w:cs="Times New Roman" w:ascii="Times New Roman" w:hAnsi="Times New Roman"/>
        </w:rPr>
        <w:t xml:space="preserve"> (D.91</w:t>
        <w:noBreakHyphen/>
        <w:t>11</w:t>
        <w:noBreakHyphen/>
        <w:t>025) 41 CPUC2d 668, 703 (emphasis added).)</w:t>
      </w:r>
    </w:p>
    <w:p>
      <w:pPr>
        <w:pStyle w:val="BodyText2"/>
        <w:rPr/>
      </w:pPr>
      <w:r>
        <w:rPr/>
        <w:t>Today the vast majority of noncore customers obtain interstate capacity and gas supplies through marketers.  The “signs of trouble” identified by the Commission in 1991 have simply never materialized.  As in the case of unbundling interstate capacity costs, if the concerns expressed by the proponents of the Post-Interim Settlement begin to materialize, the Commission can always revisit the unbundling issue.  However, the experience under the Gas Accord should give the Commission some assurance that these fears are unlikely to materialize.</w:t>
      </w:r>
    </w:p>
    <w:p>
      <w:pPr>
        <w:pStyle w:val="Heading4"/>
        <w:numPr>
          <w:ilvl w:val="3"/>
          <w:numId w:val="2"/>
        </w:numPr>
        <w:rPr>
          <w:rFonts w:ascii="Times New Roman" w:hAnsi="Times New Roman" w:cs="Times New Roman"/>
          <w:b/>
          <w:i w:val="false"/>
          <w:i w:val="false"/>
        </w:rPr>
      </w:pPr>
      <w:bookmarkStart w:id="12" w:name="__RefHeading___Toc487862214"/>
      <w:bookmarkEnd w:id="12"/>
      <w:r>
        <w:rPr>
          <w:rFonts w:cs="Times New Roman" w:ascii="Times New Roman" w:hAnsi="Times New Roman"/>
          <w:b/>
          <w:i w:val="false"/>
        </w:rPr>
        <w:t>The Complaints Regarding the SFV and MFV Rate Designs for Firm Service Overstate the Costs and Underestimate the Benefits</w:t>
      </w:r>
    </w:p>
    <w:p>
      <w:pPr>
        <w:pStyle w:val="BodyText"/>
        <w:rPr>
          <w:rFonts w:ascii="Times New Roman" w:hAnsi="Times New Roman" w:cs="Times New Roman"/>
        </w:rPr>
      </w:pPr>
      <w:r>
        <w:rPr>
          <w:rFonts w:cs="Times New Roman" w:ascii="Times New Roman" w:hAnsi="Times New Roman"/>
        </w:rPr>
        <w:t>Ms. Yap’s direct and rebuttal testimony raises several concerns regarding the optional SFV and MFV rates designs for firm capacity: (1) the demand charge component of the SFV and MFV rate designs shift risk from shareholders to customers allowing SoCalGas to earn more than its authorized return; (2) the SFV and MFV will increase unit costs for low load factor electric generators thereby placing them in a “price squeeze” which threatens electric reliability; (3) the Comprehensive Settlement will harm core customers by dramatically reducing flexibility and by imposing new costs.  (TURN/Aglet/SCGC, Ex. 101, pp. 13-21, Ex. 102, pp. 18-28.)  As shown below, each of these claims is without merit.</w:t>
      </w:r>
    </w:p>
    <w:p>
      <w:pPr>
        <w:pStyle w:val="BodyText"/>
        <w:rPr/>
      </w:pPr>
      <w:r>
        <w:rPr>
          <w:rFonts w:cs="Times New Roman" w:ascii="Times New Roman" w:hAnsi="Times New Roman"/>
        </w:rPr>
        <w:t xml:space="preserve">Ms. Yap’s claim that the demand charges embodied in the SFV and MFV rate design shift costs from shareholders to ratepayers is true only when viewed from the perspective of an all volumetric rate with no balancing account protection.  That, however, is not the current structure which would be replaced by the Comprehensive Settlement.  Currently, noncore throughput is subject to 75/25 balancing account protection with shareholders at risk for only 25% of the revenue.  (D.00-04-060, p. 7.)  Core throughput is subject to 100% balancing account protection.  The Comprehensive Settlement puts SoCalGas 100% at risk for </w:t>
      </w:r>
      <w:r>
        <w:rPr>
          <w:rFonts w:cs="Times New Roman" w:ascii="Times New Roman" w:hAnsi="Times New Roman"/>
          <w:u w:val="single"/>
        </w:rPr>
        <w:t>all</w:t>
      </w:r>
      <w:r>
        <w:rPr>
          <w:rFonts w:cs="Times New Roman" w:ascii="Times New Roman" w:hAnsi="Times New Roman"/>
        </w:rPr>
        <w:t xml:space="preserve"> backbone throughput, both core and noncore.  Consequently, the Comprehensive Settlement substantially increases the current level of shareholder risk.  Ms. Yap posits minimal shareholder risk and, indeed, an opportunity for increased earnings if core, wholesale and EG customers subscribe for 75% of their peak requirements at the SFV rate design.  While her arithmetic may be accurate, there is no evidentiary support for the assumption that these customers will subscribe for anywhere near this amount capacity at the SFV rate design.  From the core’s perspective, the much more likely scenario is that it will opt to take some capacity under an MFV rate design because of the additional flexibility it provides.  (ORA/Pocta, Ex. 4, pp. 10</w:t>
        <w:noBreakHyphen/>
        <w:t xml:space="preserve">11.)  Under the MFV scenario, shareholders would be at risk for 50% of core throughput whereas today there is 100% balancing account protection.  The assumption that wholesale customers and EGs will subscribe for 75% of the peak requirements under an SFV rate design is simply not plausible.  Long Beach holds no firm interstate capacity (Long Beach, Premo, Ex. 201, p. 3) while the firm interstate capacity holdings of three largest SCGC members, LADWP, Glendale and Pasadena, only amount to anywhere from 34% to 38% of their peak requirements.  (Ex. 25.)  Given this, why would they subscribe to firm intrastate capacity equal to 75% of their peak requirements?  While it is true that the core is subscribing to 1,000 MMcf/d of firm intrastate capacity, this is because it is allocated firm interstate capacity to meet its </w:t>
      </w:r>
      <w:r>
        <w:rPr>
          <w:rFonts w:cs="Times New Roman" w:ascii="Times New Roman" w:hAnsi="Times New Roman"/>
          <w:u w:val="single"/>
        </w:rPr>
        <w:t>cold year</w:t>
      </w:r>
      <w:r>
        <w:rPr>
          <w:rFonts w:cs="Times New Roman" w:ascii="Times New Roman" w:hAnsi="Times New Roman"/>
        </w:rPr>
        <w:t xml:space="preserve"> requirements and will utilize at least 90% of this capacity each year to meet their average year gas requirements.  (Additionally, the core will utilize an MFV rate design for a portion of its intrastate capacity reservation which reduces its fixed charges.)  The peak requirements of the core are about 3,200 MMcf/d</w:t>
      </w:r>
      <w:r>
        <w:rPr>
          <w:rStyle w:val="FootnoteCharacters"/>
          <w:rStyle w:val="FootnoteReference"/>
          <w:rFonts w:cs="Times New Roman" w:ascii="Times New Roman" w:hAnsi="Times New Roman"/>
        </w:rPr>
        <w:footnoteReference w:id="5"/>
      </w:r>
      <w:r>
        <w:rPr>
          <w:rFonts w:cs="Times New Roman" w:ascii="Times New Roman" w:hAnsi="Times New Roman"/>
        </w:rPr>
        <w:t xml:space="preserve"> and are met by combination of firm interstate/intrastate capacity rights and firm withdrawal capacities.  Thus, the core subscribes to firm intrastate capacity equal to only about one-third of their peak requirements.  All customers, including wholesale and EG, will need to determine the most optional, cost-effective method of meeting their individual peak requirements.</w:t>
      </w:r>
    </w:p>
    <w:p>
      <w:pPr>
        <w:pStyle w:val="BodyText2"/>
        <w:rPr/>
      </w:pPr>
      <w:r>
        <w:rPr/>
        <w:tab/>
        <w:t xml:space="preserve">Ms. Yap also claims that the MFV and SFV rate designs could result in a significant increase in the average transportation rate for low load factor EGs compared to the current all volumetric rate with an increase of up to 20% in </w:t>
      </w:r>
      <w:r>
        <w:rPr>
          <w:u w:val="single"/>
        </w:rPr>
        <w:t>fixed</w:t>
      </w:r>
      <w:r>
        <w:rPr/>
        <w:t xml:space="preserve"> costs under an SFV rate design.  (TURN/Aglet/SCGC, Ex. 101, p. 20.)  She further claims that this will place inefficient EGs in a “price squeeze” which will threaten electric reliability.  (TURN/Aglet/SCGC, Ex. 101, pp. 18-25; Ex. 102, pp. 20-24.)</w:t>
      </w:r>
    </w:p>
    <w:p>
      <w:pPr>
        <w:pStyle w:val="BodyText"/>
        <w:rPr>
          <w:rFonts w:ascii="Times New Roman" w:hAnsi="Times New Roman" w:cs="Times New Roman"/>
        </w:rPr>
      </w:pPr>
      <w:r>
        <w:rPr>
          <w:rFonts w:cs="Times New Roman" w:ascii="Times New Roman" w:hAnsi="Times New Roman"/>
        </w:rPr>
        <w:t>As noted by Mr. Beach, testifying on behalf of a number of southern California electric generators, these claims are both misleading and based upon unrealistic assumptions.  The claim that the Comprehensive Settlement could result in a doubling or tripling of EG’s customers transportation rates unrealistically assumes that the entire rate is collected in a demand charge.  It is also misleading in that it fails to note that the demand charge for firm transmission under the SFV rate design will only amount to about 22% of the total rate under the SFV option and 12% under the MFV option.  (IEG/Beach, Ex. 18, p. 7.)</w:t>
      </w:r>
    </w:p>
    <w:p>
      <w:pPr>
        <w:pStyle w:val="BodyText"/>
        <w:rPr>
          <w:rFonts w:ascii="Times New Roman" w:hAnsi="Times New Roman" w:cs="Times New Roman"/>
        </w:rPr>
      </w:pPr>
      <w:r>
        <w:rPr>
          <w:rFonts w:cs="Times New Roman" w:ascii="Times New Roman" w:hAnsi="Times New Roman"/>
        </w:rPr>
        <w:t>The claim that the SFV rate design could increase EGs fixed costs by as much as 20% is also based upon unrealistic assumptions about how electric generators will purchase gas under the Comprehensive Settlement.  As noted by Mr. Beach there are a number of problems with Ms. Yap’s analysis:</w:t>
      </w:r>
    </w:p>
    <w:p>
      <w:pPr>
        <w:pStyle w:val="BodyText"/>
        <w:spacing w:lineRule="auto" w:line="240" w:before="0" w:after="120"/>
        <w:ind w:hanging="0" w:start="720" w:end="1440"/>
        <w:rPr/>
      </w:pPr>
      <w:r>
        <w:rPr>
          <w:rFonts w:cs="Times New Roman" w:ascii="Times New Roman" w:hAnsi="Times New Roman"/>
        </w:rPr>
        <w:t xml:space="preserve">First, the study assumes that each generator will contract at the SFV rate proposed in the Comprehensive Settlement for a quantity of firm backbone capacity based on the generator’s </w:t>
      </w:r>
      <w:r>
        <w:rPr>
          <w:rFonts w:cs="Times New Roman" w:ascii="Times New Roman" w:hAnsi="Times New Roman"/>
          <w:b/>
        </w:rPr>
        <w:t xml:space="preserve">theoretical maximum gas use in a day </w:t>
      </w:r>
      <w:r>
        <w:rPr>
          <w:rFonts w:cs="Times New Roman" w:ascii="Times New Roman" w:hAnsi="Times New Roman"/>
        </w:rPr>
        <w:t>(that is, its generating capacity in MW, times its average heat rate, times 24 hours).  Apparently, this assumption is made regardless of whether the plant has actually ever used that much gas in a single day.  The plants studied are mostly intermediate-load or peaking units, and almost certainly never operate at anything approaching full capacity for all 24 hours of a day.  As a result of this assumption, the plants studied are assumed to contract for 1,426 MDth per day of backbone capacity.  According to the study, these units represent 43% (i.e. less than one-half) of the gas-fired capacity in the Los Angeles Basin.  If all generators in the basin contracted for capacity in this way, electric generators alone would demand 3,316 MDth per day of capacity, or 93% of SoCalGas’ total receipt point capacity!</w:t>
      </w:r>
      <w:r>
        <w:rPr>
          <w:rStyle w:val="FootnoteCharacters"/>
          <w:rStyle w:val="FootnoteReference"/>
          <w:rFonts w:cs="Times New Roman" w:ascii="Times New Roman" w:hAnsi="Times New Roman"/>
          <w:sz w:val="28"/>
        </w:rPr>
        <w:footnoteReference w:id="6"/>
      </w:r>
      <w:r>
        <w:rPr>
          <w:rFonts w:cs="Times New Roman" w:ascii="Times New Roman" w:hAnsi="Times New Roman"/>
          <w:sz w:val="28"/>
        </w:rPr>
        <w:t xml:space="preserve"> </w:t>
      </w:r>
      <w:r>
        <w:rPr>
          <w:rFonts w:cs="Times New Roman" w:ascii="Times New Roman" w:hAnsi="Times New Roman"/>
        </w:rPr>
        <w:t xml:space="preserve"> There is obviously no such demand today for firm service to electric generators on the SoCalGas system.  Second, the study assumes that the generators will make no effort to broker, release, or sell the massive amount of excess capacity that they have bought and will derive no revenues from such off-peak capacity sales.</w:t>
      </w:r>
    </w:p>
    <w:p>
      <w:pPr>
        <w:pStyle w:val="BodyText"/>
        <w:spacing w:lineRule="auto" w:line="240" w:before="0" w:after="120"/>
        <w:ind w:hanging="0" w:start="720" w:end="1440"/>
        <w:rPr>
          <w:rFonts w:ascii="Times New Roman" w:hAnsi="Times New Roman" w:cs="Times New Roman"/>
        </w:rPr>
      </w:pPr>
      <w:r>
        <w:rPr>
          <w:rFonts w:cs="Times New Roman" w:ascii="Times New Roman" w:hAnsi="Times New Roman"/>
        </w:rPr>
        <w:t>Thus, the study’s dire picture of the impact of demand charges on low-load factor generators assumes that such generators massively over-contract for capacity, and fail to take advantage of the numerous means available under the Comprehensive Settlement to reduce or eliminate their demand charge risks:</w:t>
      </w:r>
    </w:p>
    <w:p>
      <w:pPr>
        <w:pStyle w:val="BodyText"/>
        <w:numPr>
          <w:ilvl w:val="0"/>
          <w:numId w:val="4"/>
        </w:numPr>
        <w:tabs>
          <w:tab w:val="left" w:pos="1080" w:leader="none"/>
          <w:tab w:val="left" w:pos="8370" w:leader="none"/>
        </w:tabs>
        <w:spacing w:lineRule="auto" w:line="240"/>
        <w:ind w:hanging="360" w:start="1080" w:end="1440"/>
        <w:rPr>
          <w:rFonts w:ascii="Times New Roman" w:hAnsi="Times New Roman" w:cs="Times New Roman"/>
        </w:rPr>
      </w:pPr>
      <w:r>
        <w:rPr>
          <w:rFonts w:cs="Times New Roman" w:ascii="Times New Roman" w:hAnsi="Times New Roman"/>
        </w:rPr>
        <w:t xml:space="preserve">The Comprehensive Settlement offers </w:t>
      </w:r>
      <w:r>
        <w:rPr>
          <w:rFonts w:cs="Times New Roman" w:ascii="Times New Roman" w:hAnsi="Times New Roman"/>
          <w:b/>
        </w:rPr>
        <w:t xml:space="preserve">an optional backbone rate with a 50% demand charge </w:t>
      </w:r>
      <w:r>
        <w:rPr>
          <w:rFonts w:cs="Times New Roman" w:ascii="Times New Roman" w:hAnsi="Times New Roman"/>
        </w:rPr>
        <w:t>that almost halves the demand charge risk, but offers the same firm priority as the SFV demand charge.</w:t>
      </w:r>
    </w:p>
    <w:p>
      <w:pPr>
        <w:pStyle w:val="BodyText"/>
        <w:spacing w:lineRule="auto" w:line="240"/>
        <w:ind w:end="1440"/>
        <w:rPr>
          <w:rFonts w:ascii="Times New Roman" w:hAnsi="Times New Roman" w:cs="Times New Roman"/>
        </w:rPr>
      </w:pPr>
      <w:r>
        <w:rPr>
          <w:rFonts w:cs="Times New Roman" w:ascii="Times New Roman" w:hAnsi="Times New Roman"/>
        </w:rPr>
      </w:r>
    </w:p>
    <w:p>
      <w:pPr>
        <w:pStyle w:val="BodyText"/>
        <w:numPr>
          <w:ilvl w:val="0"/>
          <w:numId w:val="3"/>
        </w:numPr>
        <w:tabs>
          <w:tab w:val="left" w:pos="1080" w:leader="none"/>
          <w:tab w:val="left" w:pos="8370" w:leader="none"/>
        </w:tabs>
        <w:spacing w:lineRule="auto" w:line="240"/>
        <w:ind w:hanging="360" w:start="1080" w:end="1440"/>
        <w:rPr>
          <w:rFonts w:ascii="Times New Roman" w:hAnsi="Times New Roman" w:cs="Times New Roman"/>
        </w:rPr>
      </w:pPr>
      <w:r>
        <w:rPr>
          <w:rFonts w:cs="Times New Roman" w:ascii="Times New Roman" w:hAnsi="Times New Roman"/>
        </w:rPr>
        <w:t xml:space="preserve">Under the Comprehensive Settlement, </w:t>
      </w:r>
      <w:r>
        <w:rPr>
          <w:rFonts w:cs="Times New Roman" w:ascii="Times New Roman" w:hAnsi="Times New Roman"/>
          <w:b/>
        </w:rPr>
        <w:t>interruptible service at volumetric rates</w:t>
      </w:r>
      <w:r>
        <w:rPr>
          <w:rFonts w:cs="Times New Roman" w:ascii="Times New Roman" w:hAnsi="Times New Roman"/>
        </w:rPr>
        <w:t xml:space="preserve"> is always available at no more than a 20% premium over firm backbone rates, and may even be available at less than the firm backbone rates, particularly during low-demand periods.  With a backbone rate of $0.0719 per Dth, this premium is no more than $0.0144 per Dth.  Ms. Yap observes (in Section 2.3.1) that the interstate pipelines supplying SoCalGas have at least 1,000 MMcf/d (or 30%) more capacity than SoCalGas’ intrastate system.  She does </w:t>
      </w:r>
      <w:r>
        <w:rPr>
          <w:rFonts w:cs="Times New Roman" w:ascii="Times New Roman" w:hAnsi="Times New Roman"/>
          <w:b/>
        </w:rPr>
        <w:t>not</w:t>
      </w:r>
      <w:r>
        <w:rPr>
          <w:rFonts w:cs="Times New Roman" w:ascii="Times New Roman" w:hAnsi="Times New Roman"/>
        </w:rPr>
        <w:t xml:space="preserve"> recognize that SoCalGas’ backbone system also has more than 900 MMcf/d of excess </w:t>
      </w:r>
      <w:r>
        <w:br w:type="page"/>
      </w:r>
    </w:p>
    <w:p>
      <w:pPr>
        <w:pStyle w:val="BodyText"/>
        <w:numPr>
          <w:ilvl w:val="0"/>
          <w:numId w:val="3"/>
        </w:numPr>
        <w:tabs>
          <w:tab w:val="left" w:pos="1080" w:leader="none"/>
          <w:tab w:val="left" w:pos="8370" w:leader="none"/>
        </w:tabs>
        <w:spacing w:lineRule="auto" w:line="240"/>
        <w:ind w:hanging="360" w:start="1080" w:end="1440"/>
        <w:rPr>
          <w:rFonts w:ascii="Times New Roman" w:hAnsi="Times New Roman" w:cs="Times New Roman"/>
        </w:rPr>
      </w:pPr>
      <w:r>
        <w:rPr>
          <w:rFonts w:cs="Times New Roman" w:ascii="Times New Roman" w:hAnsi="Times New Roman"/>
        </w:rPr>
        <w:t>capacity, plus substantial excess storage capacity.</w:t>
      </w:r>
      <w:r>
        <w:rPr>
          <w:rStyle w:val="FootnoteCharacters"/>
          <w:rStyle w:val="FootnoteReference"/>
          <w:rFonts w:cs="Times New Roman" w:ascii="Times New Roman" w:hAnsi="Times New Roman"/>
          <w:sz w:val="28"/>
        </w:rPr>
        <w:footnoteReference w:id="7"/>
      </w:r>
      <w:r>
        <w:rPr>
          <w:rFonts w:cs="Times New Roman" w:ascii="Times New Roman" w:hAnsi="Times New Roman"/>
          <w:sz w:val="28"/>
        </w:rPr>
        <w:t xml:space="preserve"> </w:t>
      </w:r>
      <w:r>
        <w:rPr>
          <w:rFonts w:cs="Times New Roman" w:ascii="Times New Roman" w:hAnsi="Times New Roman"/>
        </w:rPr>
        <w:t xml:space="preserve"> Due to this excess intrastate capacity, it is difficult to imagine a scenario, for the foreseeable future, in which a low-load factor generator would ever have to pay more than the maximum interruptible rate for “virtually firm” backbone service.  (IEG/Beach, Ex. 18, pp. 7</w:t>
        <w:noBreakHyphen/>
        <w:t>8 (emphasis in original).)</w:t>
      </w:r>
    </w:p>
    <w:p>
      <w:pPr>
        <w:pStyle w:val="Normal"/>
        <w:rPr>
          <w:rFonts w:ascii="Times New Roman" w:hAnsi="Times New Roman" w:cs="Times New Roman"/>
          <w:sz w:val="26"/>
        </w:rPr>
      </w:pPr>
      <w:r>
        <w:rPr>
          <w:rFonts w:cs="Times New Roman"/>
          <w:sz w:val="26"/>
        </w:rPr>
      </w:r>
    </w:p>
    <w:p>
      <w:pPr>
        <w:pStyle w:val="BodyText"/>
        <w:rPr/>
      </w:pPr>
      <w:r>
        <w:rPr>
          <w:rFonts w:cs="Times New Roman" w:ascii="Times New Roman" w:hAnsi="Times New Roman"/>
        </w:rPr>
        <w:t>When the analysis is redone assuming that generators take interruptible service at the full rate in order to avoid the demand charges, the generators’ annual fix costs increase by just six-tenths of one percent (0.6%) (</w:t>
      </w:r>
      <w:r>
        <w:rPr>
          <w:rFonts w:cs="Times New Roman" w:ascii="Times New Roman" w:hAnsi="Times New Roman"/>
          <w:u w:val="single"/>
        </w:rPr>
        <w:t>Id</w:t>
      </w:r>
      <w:r>
        <w:rPr>
          <w:rFonts w:cs="Times New Roman" w:ascii="Times New Roman" w:hAnsi="Times New Roman"/>
        </w:rPr>
        <w:t xml:space="preserve">.)  This is hardly the bleak picture painted by Ms. Yap.  </w:t>
      </w:r>
    </w:p>
    <w:p>
      <w:pPr>
        <w:pStyle w:val="BodyText"/>
        <w:rPr/>
      </w:pPr>
      <w:r>
        <w:rPr>
          <w:rFonts w:cs="Times New Roman" w:ascii="Times New Roman" w:hAnsi="Times New Roman"/>
        </w:rPr>
        <w:t>Ms. Yap’s analysis also ignores two important facts regarding the ability of EGs to avoid demand charges under the Comprehensive Settlement structure.  First, the Comprehensive Settlement establishes an active secondary market which may be source of firm capacity at volumetric rates.  Second, low-load factor generators will be able to avoid demand charges by purchasing gas in the city-gate market. (</w:t>
      </w:r>
      <w:r>
        <w:rPr>
          <w:rFonts w:cs="Times New Roman" w:ascii="Times New Roman" w:hAnsi="Times New Roman"/>
          <w:u w:val="single"/>
        </w:rPr>
        <w:t>Id</w:t>
      </w:r>
      <w:r>
        <w:rPr>
          <w:rFonts w:cs="Times New Roman" w:ascii="Times New Roman" w:hAnsi="Times New Roman"/>
        </w:rPr>
        <w:t>.)</w:t>
      </w:r>
    </w:p>
    <w:p>
      <w:pPr>
        <w:pStyle w:val="BodyText"/>
        <w:rPr>
          <w:rFonts w:ascii="Times New Roman" w:hAnsi="Times New Roman" w:cs="Times New Roman"/>
        </w:rPr>
      </w:pPr>
      <w:r>
        <w:rPr>
          <w:rFonts w:cs="Times New Roman" w:ascii="Times New Roman" w:hAnsi="Times New Roman"/>
        </w:rPr>
        <w:t xml:space="preserve">Ms. Yap tries to counter the viability of the city-gate option by asserting that unbundling of intrastate system will create a “bottleneck” at the city-gate and that marketers will take advantage of this by charging a premium for sales of bundled gas supplies during periods of capacity restraint.  Again, there are two responses to this claim.  First, the alleged bottleneck simply does not exist.  The claim of a bottleneck is based on the fact that the upstream deliverability into the SoCalGas systems is at least 1,000 MMcf/d greater than the 3,500 MMcf/d of firm capacity on the SoCalGas system.  While this is true, it ignores the fact that the 3,500 MMcf/d of firm capacity on the SoCalGas system is itself significantly in excess of the average year requirements on the SoCalGas system.  (IEG/Beach, Tr. Vol. 8, p. 841.)  Consequently, there is no bottleneck.  Second, the marketer manipulated high prices she postulates have not materialized on the PG&amp;E system during the two years under the Gas Accord.  While there has been one brief price spike due to cold weather, on average city-gate prices have provided significant benefits to end-users.  (IEG/Beach, Ex. 18, p. 9.) </w:t>
      </w:r>
    </w:p>
    <w:p>
      <w:pPr>
        <w:pStyle w:val="BodyText"/>
        <w:rPr>
          <w:rFonts w:ascii="Times New Roman" w:hAnsi="Times New Roman" w:cs="Times New Roman"/>
        </w:rPr>
      </w:pPr>
      <w:r>
        <w:rPr>
          <w:rFonts w:cs="Times New Roman" w:ascii="Times New Roman" w:hAnsi="Times New Roman"/>
        </w:rPr>
        <w:t>Ms. Yap’s “the sky is falling” analysis of the impact of demand charges on electric generators also ignores the numerous ways in which the Comprehensive Settlement reduces the risks to electric generators and other customers: (1) setting rates on an embedded cost basis through 2006 provides rate certainty and will simplify future BCAPs; (2) the use of a 79% load factor removes the risk that declining throughput will raise transportation rates in the next cost allocation proceeding; (3) the unbundling of transportation in conjunction with storage and balancing provides customers with the opportunity to lower their costs through city-gate purchases, self-balancing or competitive balancing services and new, competitive storage services.  All of these factors reduce the risk that EG customers will be caught in a “price squeeze.”  (IEG/Beach, Ex. 18, p. 6.)</w:t>
      </w:r>
    </w:p>
    <w:p>
      <w:pPr>
        <w:pStyle w:val="Heading4"/>
        <w:numPr>
          <w:ilvl w:val="3"/>
          <w:numId w:val="2"/>
        </w:numPr>
        <w:rPr>
          <w:rFonts w:ascii="Times New Roman" w:hAnsi="Times New Roman" w:cs="Times New Roman"/>
          <w:b/>
          <w:i w:val="false"/>
          <w:i w:val="false"/>
        </w:rPr>
      </w:pPr>
      <w:bookmarkStart w:id="13" w:name="__RefHeading___Toc487862215"/>
      <w:bookmarkEnd w:id="13"/>
      <w:r>
        <w:rPr>
          <w:rFonts w:cs="Times New Roman" w:ascii="Times New Roman" w:hAnsi="Times New Roman"/>
          <w:b/>
          <w:i w:val="false"/>
        </w:rPr>
        <w:t>The Comprehensive Settlement Will Not Adversely Impact the Core</w:t>
      </w:r>
    </w:p>
    <w:p>
      <w:pPr>
        <w:pStyle w:val="BodyText"/>
        <w:rPr>
          <w:rFonts w:ascii="Times New Roman" w:hAnsi="Times New Roman" w:cs="Times New Roman"/>
        </w:rPr>
      </w:pPr>
      <w:r>
        <w:rPr>
          <w:rFonts w:cs="Times New Roman" w:ascii="Times New Roman" w:hAnsi="Times New Roman"/>
        </w:rPr>
        <w:t xml:space="preserve">The proponents of the Post-Interim Settlement posit that the Comprehensive Settlement agreement would harm the core by dramatically reducing flexibility and imposing new costs.  (TURN/Aglet/SCGC, Ex. 102, pp. 25-28.)  The testimony asserts that the core will lose wintertime flexibility to access flowing supplies.  It states that since the core used more flowing supply in the winter of 1999 than the 1000 MMcf/d of intrastate backbone capacity reserved in the Comprehensive Settlement, the core’s costs will increase.  </w:t>
      </w:r>
    </w:p>
    <w:p>
      <w:pPr>
        <w:pStyle w:val="BodyText"/>
        <w:rPr>
          <w:rFonts w:ascii="Times New Roman" w:hAnsi="Times New Roman" w:cs="Times New Roman"/>
        </w:rPr>
      </w:pPr>
      <w:r>
        <w:rPr>
          <w:rFonts w:cs="Times New Roman" w:ascii="Times New Roman" w:hAnsi="Times New Roman"/>
        </w:rPr>
        <w:t xml:space="preserve">The assertions set forth in the rebuttal testimony are inconsistent with the terms of the Comprehensive Settlement and based on mere speculation.  The testimony fails to incorporate CTA volumes in the analysis, while attempting to compare past operations under a bundled system to future operation under an unbundled system.  The analysis fails to incorporate the benefits of the MFV rate design set forth in the Comprehensive Settlement and ignores the factual evidence showing that the settlement provisions assure the core is allocated sufficient intrastate capacity and firm withdrawal capacity to meet cold year and peak day conditions. </w:t>
      </w:r>
    </w:p>
    <w:p>
      <w:pPr>
        <w:pStyle w:val="BodyText"/>
        <w:rPr/>
      </w:pPr>
      <w:r>
        <w:rPr>
          <w:rFonts w:cs="Times New Roman" w:ascii="Times New Roman" w:hAnsi="Times New Roman"/>
        </w:rPr>
        <w:t xml:space="preserve">First, the basis for the rebuttal testimony is inaccurate since it compares </w:t>
      </w:r>
      <w:r>
        <w:rPr>
          <w:rFonts w:cs="Times New Roman" w:ascii="Times New Roman" w:hAnsi="Times New Roman"/>
          <w:u w:val="single"/>
        </w:rPr>
        <w:t>all</w:t>
      </w:r>
      <w:r>
        <w:rPr>
          <w:rFonts w:cs="Times New Roman" w:ascii="Times New Roman" w:hAnsi="Times New Roman"/>
        </w:rPr>
        <w:t xml:space="preserve"> core flowing supply in 1999 to an intrastate capacity reservation for core </w:t>
      </w:r>
      <w:r>
        <w:rPr>
          <w:rFonts w:cs="Times New Roman" w:ascii="Times New Roman" w:hAnsi="Times New Roman"/>
          <w:u w:val="single"/>
        </w:rPr>
        <w:t xml:space="preserve">procurement only </w:t>
      </w:r>
      <w:r>
        <w:rPr>
          <w:rFonts w:cs="Times New Roman" w:ascii="Times New Roman" w:hAnsi="Times New Roman"/>
        </w:rPr>
        <w:t xml:space="preserve">customers in the 2001-2002 period.  The analysis does not appear to incorporate the 10% CTA market share, that was used to develop the intrastate reservation for core procurement customers in the Comprehensive Settlement, into the flowing supply.  Therefore, the entire piece of testimony represents an “apples to oranges” comparison because it uses total core demand from the past in an attempt to undermine an intrastate backbone reservation for only core procurement customers in the future.  The testimony should be disregarded for this reason alone.  </w:t>
      </w:r>
    </w:p>
    <w:p>
      <w:pPr>
        <w:pStyle w:val="BodyText"/>
        <w:rPr>
          <w:rFonts w:ascii="Times New Roman" w:hAnsi="Times New Roman" w:cs="Times New Roman"/>
        </w:rPr>
      </w:pPr>
      <w:r>
        <w:rPr>
          <w:rFonts w:cs="Times New Roman" w:ascii="Times New Roman" w:hAnsi="Times New Roman"/>
        </w:rPr>
        <w:t xml:space="preserve">Second, the analysis implies that the core will have a reliability need for flowing supply in excess of 1000 MMcf/d simply because the core nominated flowing supply above this level in 1999.  However, there may have been many factors or reasons for core nominations above the 1000 MMcf/d level in 1999.  For example, nominations may have been based on economics rather than need.  The Comprehensive Settlement will modify the economics of market transactions in contrast to the current bundled system.  SoCalGas will continue to retain an incentive to minimize its procurement costs under the GCIM using the 1000 MMcf/d intrastate reservation.  Any excess purchases will need to consider the economics of the transaction.  </w:t>
      </w:r>
    </w:p>
    <w:p>
      <w:pPr>
        <w:pStyle w:val="BodyText"/>
        <w:rPr>
          <w:rFonts w:ascii="Times New Roman" w:hAnsi="Times New Roman" w:cs="Times New Roman"/>
        </w:rPr>
      </w:pPr>
      <w:r>
        <w:rPr>
          <w:rFonts w:cs="Times New Roman" w:ascii="Times New Roman" w:hAnsi="Times New Roman"/>
        </w:rPr>
        <w:t xml:space="preserve">Third, the analysis implies that the core would need 1350 MMcf/d of intrastate capacity which will add to their costs.  The Comprehensive Settlement is clear that SoCalGas will reserve 1000 MMcf/d for core procurement customer requirements.  This is sufficient to meet the core’s cold year requirements (with a 10% CTA load).  There is no evidence to indicate that core customers would pay costs for intrastate backbone capacity in excess of 1000 MMcf/d set forth in the Comprehensive Settlement on a consistent basis as implied in the rebuttal testimony.  From time to time, the core may need to make incremental purchases, but this will be the exception as opposed to the norm.  If incremental purchases are made, they must be made for economic purposes or to meet incremental demand.  If made for purposes of incremental demand, it would not increase core rates as suggested by the rebuttal testimony.  This is because such incremental demand would be driven by three factors:  1) lower than forecast participation in the CTA program, 2) core load growth, or 3) peak-day requirements (which is a 1-in-35 year event).  None of these factors would cause an increase in core procurement rates, but would be associated with incremental demand.  The potential for using more than 1000 MMcf/d for demand purposes is minimal given that this figure is already based on a cold year requirement.   </w:t>
      </w:r>
    </w:p>
    <w:p>
      <w:pPr>
        <w:pStyle w:val="Normal"/>
        <w:spacing w:lineRule="auto" w:line="360"/>
        <w:ind w:firstLine="720" w:end="0"/>
        <w:rPr>
          <w:sz w:val="26"/>
        </w:rPr>
      </w:pPr>
      <w:r>
        <w:rPr>
          <w:sz w:val="26"/>
        </w:rPr>
        <w:t>The core intrastate reservation in conjunction with the core reservation of firm storage withdrawal capacity is sufficient to meet the cold year and peak period requirements of the core procurement customers.  The Comprehensive Settlement will provide the Gas Acquisition Department with the ability to optimize the system for economic purposes in order to minimize core procurement costs (and builds in some flexibility for city-gate purchases).  This may include taking advantage of any number of options, such as purchasing city-gate gas supply, interruptible transportation, or selling core capacity.  The evidentiary record is clear that SoCalGas will continue to have the incentive to minimize gas cost through the GCIM, and it will be appropriately modified to incorporate the 1000 MMcf/d reservation into the mechanism.  (ORA/Pocta, Tr. Vol. 8, p. 946.)  The additional flexibility provided within the MFV rate design option will provide core customers with lower gas costs when weather conditions are below average conditions.  The assertions of Ms. Yap that core costs will increase and that the core has less flexibility under the Comprehensive Settlement have no credibility and should be afforded no weight.</w:t>
      </w:r>
    </w:p>
    <w:p>
      <w:pPr>
        <w:pStyle w:val="Heading4"/>
        <w:numPr>
          <w:ilvl w:val="3"/>
          <w:numId w:val="2"/>
        </w:numPr>
        <w:rPr>
          <w:rFonts w:ascii="Times New Roman" w:hAnsi="Times New Roman" w:cs="Times New Roman"/>
          <w:b/>
          <w:i w:val="false"/>
          <w:i w:val="false"/>
        </w:rPr>
      </w:pPr>
      <w:bookmarkStart w:id="14" w:name="__RefHeading___Toc487862216"/>
      <w:r>
        <w:rPr>
          <w:rFonts w:cs="Times New Roman" w:ascii="Times New Roman" w:hAnsi="Times New Roman"/>
          <w:b/>
          <w:i w:val="false"/>
        </w:rPr>
        <w:t>There is no Market Support for the Auction Method Proposed by Long Beach</w:t>
      </w:r>
      <w:bookmarkEnd w:id="14"/>
      <w:r>
        <w:rPr>
          <w:rFonts w:cs="Times New Roman" w:ascii="Times New Roman" w:hAnsi="Times New Roman"/>
          <w:b/>
          <w:i w:val="false"/>
        </w:rPr>
        <w:t xml:space="preserve"> </w:t>
      </w:r>
    </w:p>
    <w:p>
      <w:pPr>
        <w:pStyle w:val="BodyText"/>
        <w:rPr>
          <w:rFonts w:ascii="Times New Roman" w:hAnsi="Times New Roman" w:cs="Times New Roman"/>
        </w:rPr>
      </w:pPr>
      <w:r>
        <w:rPr>
          <w:rFonts w:cs="Times New Roman" w:ascii="Times New Roman" w:hAnsi="Times New Roman"/>
        </w:rPr>
        <w:t>Long Beach, in its testimony, joins the proponents of the Post-Interim Settlement in opposing the rate design provisions of the Comprehensive Settlement.  In addition, it objects to the open season provisions and recommends an auction method as an alternative.  According to Long Beach, the open season provisions are inconsistent with the Commission’s goal of a capacity allocation system based upon value.  (Long Beach/Premo, Ex. 200, p. 2.)  While an auction method is certainly one means of allocating capacity, the simple fact is that this method of allocating capacity has no market support.  (ORA/Pocta, Tr. Vol. 8, p. 963.)  This is reflected by the fact that over 30 market participants representing all market segments support the open season approach while only Long Beach supports an auction.  While it is true that the initial allocation of capacity will be based on the term of the offer rather than price, this doesn’t mean that there will be no allocation of capacity on the basis of value.  The whole point of the unrestricted secondary market is to permit an efficient allocation of capacity based upon market perceptions of value.  In short, Long Beach’s complaints about the open season are misplaced.</w:t>
      </w:r>
    </w:p>
    <w:p>
      <w:pPr>
        <w:pStyle w:val="Heading2"/>
        <w:numPr>
          <w:ilvl w:val="1"/>
          <w:numId w:val="2"/>
        </w:numPr>
        <w:rPr>
          <w:rFonts w:ascii="Times New Roman" w:hAnsi="Times New Roman" w:cs="Times New Roman"/>
        </w:rPr>
      </w:pPr>
      <w:bookmarkStart w:id="15" w:name="__RefHeading___Toc487862217"/>
      <w:bookmarkEnd w:id="15"/>
      <w:r>
        <w:rPr>
          <w:rFonts w:cs="Times New Roman" w:ascii="Times New Roman" w:hAnsi="Times New Roman"/>
        </w:rPr>
        <w:t>Storage</w:t>
      </w:r>
    </w:p>
    <w:p>
      <w:pPr>
        <w:pStyle w:val="Heading3"/>
        <w:numPr>
          <w:ilvl w:val="2"/>
          <w:numId w:val="2"/>
        </w:numPr>
        <w:rPr>
          <w:rFonts w:ascii="Times New Roman" w:hAnsi="Times New Roman" w:cs="Times New Roman"/>
        </w:rPr>
      </w:pPr>
      <w:bookmarkStart w:id="16" w:name="__RefHeading___Toc487862218"/>
      <w:r>
        <w:rPr>
          <w:rFonts w:cs="Times New Roman" w:ascii="Times New Roman" w:hAnsi="Times New Roman"/>
        </w:rPr>
        <w:t>The Comprehensive Settlement Achieves Each of the Commission’s Promising Options for Storage</w:t>
      </w:r>
      <w:bookmarkEnd w:id="16"/>
      <w:r>
        <w:rPr>
          <w:rFonts w:cs="Times New Roman" w:ascii="Times New Roman" w:hAnsi="Times New Roman"/>
        </w:rPr>
        <w:t xml:space="preserve"> </w:t>
      </w:r>
    </w:p>
    <w:p>
      <w:pPr>
        <w:pStyle w:val="BodyTextIndent"/>
        <w:tabs>
          <w:tab w:val="clear" w:pos="720"/>
          <w:tab w:val="left" w:pos="1080" w:leader="none"/>
        </w:tabs>
        <w:spacing w:lineRule="auto" w:line="360"/>
        <w:ind w:firstLine="720" w:start="0" w:end="0"/>
        <w:rPr>
          <w:sz w:val="26"/>
        </w:rPr>
      </w:pPr>
      <w:r>
        <w:rPr>
          <w:sz w:val="26"/>
        </w:rPr>
        <w:t>The Commission identified three promising options for storage: (1) the creation of firm, tradable storage rights; (2) the establishment of a secondary market for storage rights; and (3) placing the utility at risk for unutilized storage assets.  The Comprehensive Settlement accomplishes each of these objectives in a reasonable fashion.</w:t>
      </w:r>
    </w:p>
    <w:p>
      <w:pPr>
        <w:pStyle w:val="BodyText"/>
        <w:rPr>
          <w:rFonts w:ascii="Times New Roman" w:hAnsi="Times New Roman" w:cs="Times New Roman"/>
        </w:rPr>
      </w:pPr>
      <w:r>
        <w:rPr>
          <w:rFonts w:cs="Times New Roman" w:ascii="Times New Roman" w:hAnsi="Times New Roman"/>
        </w:rPr>
        <w:t>Unlike intrastate transmission, storage services on the SoCalGas system have been unbundled for some time.  There has also been a limited form of a secondary market since storage contracts could be assigned for the full term (SoCalGas/Lorenz, Ex. 2, p. 19.)  Additional movement in the direction of the Commission’s promising options was recently accomplished as a result of the Joint Recommendation which was approved by the SoCalGas BCAP decision.  The Comprehensive Settlement takes the process several additional steps.  Because of this somewhat unique situation, a brief review of the history of storage unbundling on the SoCalGas system is in order.</w:t>
      </w:r>
    </w:p>
    <w:p>
      <w:pPr>
        <w:pStyle w:val="BodyText"/>
        <w:rPr/>
      </w:pPr>
      <w:r>
        <w:rPr>
          <w:rFonts w:cs="Times New Roman" w:ascii="Times New Roman" w:hAnsi="Times New Roman"/>
        </w:rPr>
        <w:t>The Commission first ordered the unbundling of storage costs for SoCalGas’ noncore customers in 1993.  (</w:t>
      </w:r>
      <w:r>
        <w:rPr>
          <w:rFonts w:cs="Times New Roman" w:ascii="Times New Roman" w:hAnsi="Times New Roman"/>
          <w:u w:val="single"/>
        </w:rPr>
        <w:t>Re Natural Gas Procurement and System Reliability Issues</w:t>
      </w:r>
      <w:r>
        <w:rPr>
          <w:rFonts w:cs="Times New Roman" w:ascii="Times New Roman" w:hAnsi="Times New Roman"/>
        </w:rPr>
        <w:t>, D.93-02-013, 48 CPUC 2d 107.)  The unbundling of storage costs, like the unbundling of interstate capacity, resulted in stranded costs.  These stranded costs were given “transition cost” treatment and recovered from both core and noncore customers on an equal cents per therm basis.</w:t>
      </w:r>
      <w:r>
        <w:rPr>
          <w:rStyle w:val="FootnoteCharacters"/>
          <w:rStyle w:val="FootnoteReference"/>
          <w:rFonts w:cs="Times New Roman" w:ascii="Times New Roman" w:hAnsi="Times New Roman"/>
        </w:rPr>
        <w:footnoteReference w:id="8"/>
      </w:r>
      <w:r>
        <w:rPr>
          <w:rFonts w:cs="Times New Roman" w:ascii="Times New Roman" w:hAnsi="Times New Roman"/>
        </w:rPr>
        <w:t xml:space="preserve"> While noncore storage costs were unbundled, core storage costs remained bundled in transportation rates and were subject to 100% balancing account treatment.  Under this structure, the core paid for a reservation of inventory, injection and withdrawal capacity sufficient to meet cold year requirements.  It also paid for a significant portion of the stranded storage costs associated with noncore storage unbundling.  This “transitional” structure remained in place for almost seven years.</w:t>
      </w:r>
    </w:p>
    <w:p>
      <w:pPr>
        <w:pStyle w:val="BodyText"/>
        <w:rPr>
          <w:rFonts w:ascii="Times New Roman" w:hAnsi="Times New Roman" w:cs="Times New Roman"/>
        </w:rPr>
      </w:pPr>
      <w:r>
        <w:rPr>
          <w:rFonts w:cs="Times New Roman" w:ascii="Times New Roman" w:hAnsi="Times New Roman"/>
        </w:rPr>
        <w:t>In SoCalGas’ last BCAP, A.98-10-012, ORA recommended bringing the transition to an end by eliminating the balancing account protection for stranded storage costs thereby placing SoCalGas 100% at risk for the storage costs allocated to the noncore market.  This recommendation was based on the fact that giving SoCalGas balancing account protection for these assets was unfair to independent storage providers like Wild Goose who are fully at risk for the recovery of storage assets.  In ORA’s view, continuing balancing account protection for the utility’s storage assets was also inconsistent with AB 2744 (1992 California Statutes, Chapter 337) which urged the Commission to encourage the development of an independent, competitive storage market in California. (ORA/Pocta, Ex. 4, p. 13.)</w:t>
      </w:r>
    </w:p>
    <w:p>
      <w:pPr>
        <w:pStyle w:val="BodyText"/>
        <w:rPr>
          <w:rFonts w:ascii="Times New Roman" w:hAnsi="Times New Roman" w:cs="Times New Roman"/>
        </w:rPr>
      </w:pPr>
      <w:r>
        <w:rPr>
          <w:rFonts w:cs="Times New Roman" w:ascii="Times New Roman" w:hAnsi="Times New Roman"/>
        </w:rPr>
        <w:t>Negotiations during the course of the BCAP led to the development of a “Joint Recommendation”, supported by ORA, TURN, SoCalGas and CIG/CMA and others, which struck a middle ground.  Under the terms of the Joint Recommendation SoCalGas would be placed 50% at risk for a fixed amount of storage assets ($21 million).  In return for the higher risk, it was given some upward pricing flexibility.  These provisions were to remain in effect until December 31, 2002.  The Joint Recommendation was approved by the Commission in D.00-04-060.</w:t>
      </w:r>
    </w:p>
    <w:p>
      <w:pPr>
        <w:pStyle w:val="BodyText"/>
        <w:rPr>
          <w:rFonts w:ascii="Times New Roman" w:hAnsi="Times New Roman" w:cs="Times New Roman"/>
        </w:rPr>
      </w:pPr>
      <w:r>
        <w:rPr>
          <w:rFonts w:cs="Times New Roman" w:ascii="Times New Roman" w:hAnsi="Times New Roman"/>
        </w:rPr>
        <w:t>In the same time frame that the Joint Recommendation was being developed, the Commission issued D. 99-07-015 setting forth its promising options for further restructuring of the California natural gas market.  For storage, the promising options included the creation of tradable storage rights together with a secondary market and placing the utility fully at risk for the assets.  The Comprehensive Settlement implements these policy objectives by building upon the progress made through the recently approved Joint Recommendation.</w:t>
      </w:r>
    </w:p>
    <w:p>
      <w:pPr>
        <w:pStyle w:val="BodyText"/>
        <w:rPr/>
      </w:pPr>
      <w:r>
        <w:rPr>
          <w:rFonts w:cs="Times New Roman" w:ascii="Times New Roman" w:hAnsi="Times New Roman"/>
        </w:rPr>
        <w:t>The Comprehensive Settlement begins by unbundling all storage costs, core and noncore, on an embedded cost basis.  Based on FERC Form 2 data, a total of $71.6 million in storage costs is unbundled.  This includes an allocation of O&amp;M and A&amp;G costs.</w:t>
      </w:r>
      <w:r>
        <w:rPr>
          <w:rStyle w:val="FootnoteCharacters"/>
          <w:rStyle w:val="FootnoteReference"/>
          <w:rFonts w:cs="Times New Roman" w:ascii="Times New Roman" w:hAnsi="Times New Roman"/>
          <w:sz w:val="28"/>
        </w:rPr>
        <w:footnoteReference w:id="9"/>
      </w:r>
      <w:r>
        <w:rPr>
          <w:rFonts w:cs="Times New Roman" w:ascii="Times New Roman" w:hAnsi="Times New Roman"/>
          <w:sz w:val="28"/>
        </w:rPr>
        <w:t xml:space="preserve"> </w:t>
      </w:r>
      <w:r>
        <w:rPr>
          <w:rFonts w:cs="Times New Roman" w:ascii="Times New Roman" w:hAnsi="Times New Roman"/>
        </w:rPr>
        <w:t xml:space="preserve"> This amount excludes the cost attributable to the Montebello storage field since SoCalGas has an application pending for authorization to sell the field.  The $71.6 million in embedded costs is allocated between the three storage functions, inventory, injection and withdrawal.  (SoCalGas/Lorenz, Ex. 2, p. 19.) </w:t>
      </w:r>
    </w:p>
    <w:p>
      <w:pPr>
        <w:pStyle w:val="BodyText"/>
        <w:rPr/>
      </w:pPr>
      <w:r>
        <w:rPr>
          <w:rFonts w:cs="Times New Roman" w:ascii="Times New Roman" w:hAnsi="Times New Roman"/>
        </w:rPr>
        <w:t xml:space="preserve">The core storage reservation under the settlement will be 55 Bcf of inventory, 327 MMcf/d of injection and 1935 MMcf/d of withdrawal capacity.  The injection and withdrawal reservations are the same as those recently adopted in the SoCalGas BCAP.  The inventory reservation reflects a reduction of 15 Bcf from the BCAP and is based on the fact that the core previously was paying for a reservation larger than required to meet the core’s needs.  Only 35 Bcf of inventory is needed to meet core reliability requirements and the 55Bcf of inventory in conjunction with 1,000 MMcf/d of firm transportation is sufficient to meet core reliability requirements at a </w:t>
      </w:r>
      <w:r>
        <w:rPr>
          <w:rFonts w:cs="Times New Roman" w:ascii="Times New Roman" w:hAnsi="Times New Roman"/>
          <w:u w:val="single"/>
        </w:rPr>
        <w:t>lower</w:t>
      </w:r>
      <w:r>
        <w:rPr>
          <w:rFonts w:cs="Times New Roman" w:ascii="Times New Roman" w:hAnsi="Times New Roman"/>
        </w:rPr>
        <w:t xml:space="preserve"> cost.  (SoCalGas/Lorenz, Tr. Vol. 7, p. 955.)  The move to an embedded cost allocation in conjunction with a reduction in the core inventory reservation results in a direct savings to the core of approximately $6 million (SoCalGas /Lorenz, Ex. 2, p. 18.)</w:t>
      </w:r>
    </w:p>
    <w:p>
      <w:pPr>
        <w:pStyle w:val="BodyText"/>
        <w:rPr/>
      </w:pPr>
      <w:r>
        <w:rPr>
          <w:rFonts w:cs="Times New Roman" w:ascii="Times New Roman" w:hAnsi="Times New Roman"/>
        </w:rPr>
        <w:t>The Comprehensive Settlement also provides immediate direct benefits to CTAs.  As of April 2001, they can reject all or a portion of the storage capacity that would otherwise be allocated to them.  If they reject all of SoCalGas’ storage and elect to perform self-balancing, they would experience a savings almost equal to the full $0.10/Dth rate allocated to core customers.  (</w:t>
      </w:r>
      <w:r>
        <w:rPr>
          <w:rFonts w:cs="Times New Roman" w:ascii="Times New Roman" w:hAnsi="Times New Roman"/>
          <w:u w:val="single"/>
        </w:rPr>
        <w:t>Id</w:t>
      </w:r>
      <w:r>
        <w:rPr>
          <w:rFonts w:cs="Times New Roman" w:ascii="Times New Roman" w:hAnsi="Times New Roman"/>
        </w:rPr>
        <w:t>.)  Any storage capacity rejected by CTAs is allocated to the unbundled storage program.  Core procurement customers of SoCalGas will not be financially impacted by this provision.  Unlike the recent PG&amp;E Settlement, none of the rejected CTA storage will be allocated back to core procurement customers.</w:t>
      </w:r>
    </w:p>
    <w:p>
      <w:pPr>
        <w:pStyle w:val="BodyText"/>
        <w:rPr/>
      </w:pPr>
      <w:r>
        <w:rPr>
          <w:rFonts w:cs="Times New Roman" w:ascii="Times New Roman" w:hAnsi="Times New Roman"/>
        </w:rPr>
        <w:t>The Comprehensive Settlement provides for an open season for a standard storage package at embedded cost.  Under this package, customers may bid for any amount of inventory.  The amount of injection and withdrawal a customer receives is determined residually in proportion to SoCalGas’ total capacity of inventory, injection and withdrawal.  (The proportions are 1 Bcf of inventory, 7.6 MMcf/d of injection and 29.6 MMcf/d withdrawal.)  The proportional packages are designed to avoid the stranding of any single storage product.  However, customers are free to assign any amount of storage in the secondary market.  This is an improvement over the current mechanism which only allows the assignment of full storage contracts for the full term.  (</w:t>
      </w:r>
      <w:r>
        <w:rPr>
          <w:rFonts w:cs="Times New Roman" w:ascii="Times New Roman" w:hAnsi="Times New Roman"/>
          <w:u w:val="single"/>
        </w:rPr>
        <w:t>Id.</w:t>
      </w:r>
      <w:r>
        <w:rPr>
          <w:rFonts w:cs="Times New Roman" w:ascii="Times New Roman" w:hAnsi="Times New Roman"/>
        </w:rPr>
        <w:t>, p. 19.)</w:t>
      </w:r>
    </w:p>
    <w:p>
      <w:pPr>
        <w:pStyle w:val="BodyText"/>
        <w:rPr>
          <w:rFonts w:ascii="Times New Roman" w:hAnsi="Times New Roman" w:cs="Times New Roman"/>
        </w:rPr>
      </w:pPr>
      <w:r>
        <w:rPr>
          <w:rFonts w:cs="Times New Roman" w:ascii="Times New Roman" w:hAnsi="Times New Roman"/>
        </w:rPr>
        <w:t>Any storage capacity that goes unsubscribed and any capacity that is operationally available can be purchased in any combination of injection, withdrawal and inventory for any term under SoCalGas’ current schedule GTBS.  The settlement provides SoCalGas additional flexibility by providing new price caps and floors.  Under the Joint Recommendation, SoCalGas was provided pricing flexibility up to 120% of the tariffed rate in recognition of its increased risk exposure and the presence of independent storage providers.  (D.00-04-060, Appendix A, Section VIII.)  Under the Comprehensive Settlement, for the period April 1, 2001 through March 31, 2002, it may sell each storage product at +/- 50% of the embedded cost.  During this period it is 50% at risk for unbundled storage.  For the period April 1, 2002 through March 31, 2003, the price floor will be 50% of the embedded cost while the price cap will be 200%.  During this same time frame, SoCalGas’ risk exposure increases to 75%.  After April 1, 2003 the price floor will be short run marginal cost and there will be no price cap.  It is at this point that SoCalGas becomes fully at risk for its storage assets.  (SoCalGas/Lorenz, Ex. 2, p. 17.)  These provisions, like the pricing flexibility provisions in the recently approved Joint Recommendation, are reasonable since they provide increasing pricing flexibility in tandem with increasing shareholder risk.</w:t>
      </w:r>
    </w:p>
    <w:p>
      <w:pPr>
        <w:pStyle w:val="Heading3"/>
        <w:numPr>
          <w:ilvl w:val="2"/>
          <w:numId w:val="2"/>
        </w:numPr>
        <w:rPr>
          <w:rFonts w:ascii="Times New Roman" w:hAnsi="Times New Roman" w:cs="Times New Roman"/>
        </w:rPr>
      </w:pPr>
      <w:bookmarkStart w:id="17" w:name="__RefHeading___Toc487862219"/>
      <w:bookmarkEnd w:id="17"/>
      <w:r>
        <w:rPr>
          <w:rFonts w:cs="Times New Roman" w:ascii="Times New Roman" w:hAnsi="Times New Roman"/>
        </w:rPr>
        <w:t>The Storage Provisions of the Comprehensive Settlement Provide Significant Benefits to the Core and will Enhance the Development of a Competitive Storage Market</w:t>
      </w:r>
    </w:p>
    <w:p>
      <w:pPr>
        <w:pStyle w:val="BodyText"/>
        <w:rPr>
          <w:rFonts w:ascii="Times New Roman" w:hAnsi="Times New Roman" w:cs="Times New Roman"/>
        </w:rPr>
      </w:pPr>
      <w:r>
        <w:rPr>
          <w:rFonts w:cs="Times New Roman" w:ascii="Times New Roman" w:hAnsi="Times New Roman"/>
        </w:rPr>
        <w:t>The storage provisions of the Comprehensive Settlement benefit cores customers both immediately and over the long term.  As just noted, the core will realize immediate savings through a 15 Bcf reduction in the storage inventory reservation.  This $6 million in annual savings is a result of optimizing the core’s storage reservation and will have no adverse impact on reliability.  As noted by SoCalGas witness Lorenz, the 15 Bcf is simply not needed for reliability purposes and the value of the capacity was not equal to the cost.  (SoCalGas/Lorenz, Tr. Vol. 7, p. 955.)  The core also directly benefits from placing SoCalGas 100% at risk for unbundled storage capacity.  When SoCalGas becomes fully at risk for stranded storage costs, ORA estimates that all customers will realize a savings of at least $5 million annually.  The core’s share of this savings is approximately $1.8 million.  (ORA/Pocta, Ex. 4, p. 15.)</w:t>
      </w:r>
    </w:p>
    <w:p>
      <w:pPr>
        <w:pStyle w:val="Normal"/>
        <w:spacing w:lineRule="auto" w:line="360"/>
        <w:rPr/>
      </w:pPr>
      <w:r>
        <w:rPr>
          <w:sz w:val="26"/>
        </w:rPr>
        <w:tab/>
        <w:t>Over the long term, the core also stands to benefit through the increased competition in the core procurement market that should result from the unbundling of storage in conjunction with the unbundling of transmission and balancing services.  (</w:t>
      </w:r>
      <w:r>
        <w:rPr>
          <w:sz w:val="26"/>
          <w:u w:val="single"/>
        </w:rPr>
        <w:t>Id</w:t>
      </w:r>
      <w:r>
        <w:rPr>
          <w:sz w:val="26"/>
        </w:rPr>
        <w:t>.) Standing alone, the unbundling of storage for CTAs provides them with an additional tool to serve core customer requirements more efficiently.  It also provides them with an opportunity to increase market share by offering a more attractive product.  Core customers served by marketers stand to benefit to the extent that the marketers can reduce their storage allocation and package a more cost-effective service.  At the same time, other cores customers will not be burdened since SoCalGas will be fully at risk for any stranded costs.  (</w:t>
      </w:r>
      <w:r>
        <w:rPr>
          <w:sz w:val="26"/>
          <w:u w:val="single"/>
        </w:rPr>
        <w:t>Id</w:t>
      </w:r>
      <w:r>
        <w:rPr>
          <w:sz w:val="26"/>
        </w:rPr>
        <w:t>.)  In short, the flexibility provided by Comprehensive Settlement should result in real cost savings for core customers participating in the core transportation program.  (Green Mountain/Counihan, Ex. 7, p. 7.)  These savings should lead to greater participation in the program:</w:t>
      </w:r>
    </w:p>
    <w:p>
      <w:pPr>
        <w:pStyle w:val="Quotation"/>
        <w:rPr/>
      </w:pPr>
      <w:r>
        <w:rPr>
          <w:rFonts w:cs="Times New Roman" w:ascii="Times New Roman" w:hAnsi="Times New Roman"/>
        </w:rPr>
        <w:t>Expanded (and more reliable) cost savings will encourage an increasing number of qualified marketers to compete for an increasing number of core customers, including the smallest (residential) core customers.  The changes in the Settlement are likely to encourage more customers, including residential customers, to participate in transport-only service.  (</w:t>
      </w:r>
      <w:r>
        <w:rPr>
          <w:rFonts w:cs="Times New Roman" w:ascii="Times New Roman" w:hAnsi="Times New Roman"/>
          <w:u w:val="single"/>
        </w:rPr>
        <w:t>Id</w:t>
      </w:r>
      <w:r>
        <w:rPr>
          <w:rFonts w:cs="Times New Roman" w:ascii="Times New Roman" w:hAnsi="Times New Roman"/>
        </w:rPr>
        <w:t>. )</w:t>
      </w:r>
    </w:p>
    <w:p>
      <w:pPr>
        <w:pStyle w:val="Normal"/>
        <w:spacing w:lineRule="auto" w:line="360"/>
        <w:ind w:firstLine="720" w:end="0"/>
        <w:rPr>
          <w:sz w:val="26"/>
        </w:rPr>
      </w:pPr>
      <w:r>
        <w:rPr>
          <w:sz w:val="26"/>
        </w:rPr>
        <w:t>From a broader perspective, the storage unbundling provisions of the settlement should go a long way toward achieving the legislative goal of a competitive market for storage services in California.  This is evidenced in large part by the fact that the settlement is supported by both Wild Goose and Lodi Gas Storage, the only two independent storage providers currently certificated in California.  As noted by Wild Goose witness Amirault, the storage unbundling provisions provide numerous benefits:</w:t>
      </w:r>
    </w:p>
    <w:p>
      <w:pPr>
        <w:pStyle w:val="Quotation"/>
        <w:rPr>
          <w:rFonts w:ascii="Times New Roman" w:hAnsi="Times New Roman" w:cs="Times New Roman"/>
        </w:rPr>
      </w:pPr>
      <w:r>
        <w:rPr>
          <w:rFonts w:cs="Times New Roman" w:ascii="Times New Roman" w:hAnsi="Times New Roman"/>
        </w:rPr>
        <w:t xml:space="preserve">The creation of firm, tradable storage rights allows customers more flexibility to acquire or dispose of capacity when their needs change, greatly increasing flexibility and stimulating a competitive market for storage rights.  The establishment of a secondary market for intrastate storage capacity is a necessary complement to the creation of firm rights, so that customers have a source for storage services other than the utility.  In addition, market pricing of capacity may lead to significantly reduced capacity costs for customers where there is an excess of storage capacity.  By placing the utility at risk for unused storage resources, the Commission can provide a significant financial incentive for the utility to divest or otherwise dispose of excess storage assets, in contrast to the current situation in which all customers are required to pay, even though they receive little or no benefit from such assets.  (Wild Goose/Amirault, Ex. 9, p. 3.) </w:t>
      </w:r>
    </w:p>
    <w:p>
      <w:pPr>
        <w:pStyle w:val="BodyText"/>
        <w:rPr>
          <w:rFonts w:ascii="Times New Roman" w:hAnsi="Times New Roman" w:cs="Times New Roman"/>
        </w:rPr>
      </w:pPr>
      <w:r>
        <w:rPr>
          <w:rFonts w:cs="Times New Roman" w:ascii="Times New Roman" w:hAnsi="Times New Roman"/>
        </w:rPr>
        <w:t>In summary, the storage provisions of the settlement go a long way toward furthering in the Commission goal of enhancing competition and providing customers additional choices.</w:t>
      </w:r>
    </w:p>
    <w:p>
      <w:pPr>
        <w:pStyle w:val="Heading3"/>
        <w:numPr>
          <w:ilvl w:val="2"/>
          <w:numId w:val="2"/>
        </w:numPr>
        <w:spacing w:before="240" w:after="120"/>
        <w:rPr>
          <w:rFonts w:ascii="Times New Roman" w:hAnsi="Times New Roman" w:cs="Times New Roman"/>
        </w:rPr>
      </w:pPr>
      <w:bookmarkStart w:id="18" w:name="__RefHeading___Toc487862220"/>
      <w:bookmarkEnd w:id="18"/>
      <w:r>
        <w:rPr>
          <w:rFonts w:cs="Times New Roman" w:ascii="Times New Roman" w:hAnsi="Times New Roman"/>
        </w:rPr>
        <w:t>The Complaints About the Storage Unbundling Provisions of the Comprehensive Settlement are Misplaced</w:t>
      </w:r>
    </w:p>
    <w:p>
      <w:pPr>
        <w:pStyle w:val="Normal"/>
        <w:spacing w:lineRule="auto" w:line="360"/>
        <w:rPr>
          <w:sz w:val="26"/>
        </w:rPr>
      </w:pPr>
      <w:r>
        <w:rPr>
          <w:sz w:val="26"/>
        </w:rPr>
        <w:tab/>
        <w:t>The proponents of the Post-Interim Settlement have four objections to the storage unbundling provisions of the Comprehensive Settlement:  (1) the pricing provisions are inconsistent with the promising options decision in that there is no cap on prices once SoCalGas assumes full responsibility for stranded costs; (2) the standard storage package provides insufficient protection for load balancing customers; (3) the reduction in the core inventory reservation reduces the core’s winter flexibility; and (4) the settlement fails to remove the Montebello storage field from rates.  (TURN/Aglet/SCGC, Ex. 102, pp. 28-34.)  Each of these complaints is addressed below.</w:t>
      </w:r>
    </w:p>
    <w:p>
      <w:pPr>
        <w:pStyle w:val="Normal"/>
        <w:spacing w:lineRule="auto" w:line="360"/>
        <w:rPr/>
      </w:pPr>
      <w:r>
        <w:rPr>
          <w:sz w:val="26"/>
        </w:rPr>
        <w:tab/>
        <w:t>Ms. Yap essentially contends that granting SoCalGas unlimited pricing discretion for its storage services is a recipe for disaster because it is the dominant storage provider in southern California and will remain so in the foreseeable future.  According to her, both Wild Goose and Lodi Gas Storage are too far upstream to pose a meaningful competitive threat.  (</w:t>
      </w:r>
      <w:r>
        <w:rPr>
          <w:sz w:val="26"/>
          <w:u w:val="single"/>
        </w:rPr>
        <w:t>Id</w:t>
      </w:r>
      <w:r>
        <w:rPr>
          <w:sz w:val="26"/>
        </w:rPr>
        <w:t>. p. 29.)  Her analysis ignores several important factors.</w:t>
      </w:r>
    </w:p>
    <w:p>
      <w:pPr>
        <w:pStyle w:val="Normal"/>
        <w:spacing w:lineRule="auto" w:line="360"/>
        <w:ind w:firstLine="720" w:end="0"/>
        <w:rPr/>
      </w:pPr>
      <w:r>
        <w:rPr>
          <w:sz w:val="26"/>
        </w:rPr>
        <w:t xml:space="preserve">First, there is an embedded price cap on all storage assets taken during the annual open seasons.  (Ex. 1, pp. 32-33.)  The unlimited pricing flexibility applies only to storage capacity </w:t>
      </w:r>
      <w:r>
        <w:rPr>
          <w:sz w:val="26"/>
          <w:u w:val="single"/>
        </w:rPr>
        <w:t>not</w:t>
      </w:r>
      <w:r>
        <w:rPr>
          <w:sz w:val="26"/>
        </w:rPr>
        <w:t xml:space="preserve"> taken during the open season.  (</w:t>
      </w:r>
      <w:r>
        <w:rPr>
          <w:sz w:val="26"/>
          <w:u w:val="single"/>
        </w:rPr>
        <w:t>Id</w:t>
      </w:r>
      <w:r>
        <w:rPr>
          <w:sz w:val="26"/>
        </w:rPr>
        <w:t>., p. 33.)  This is a significant constraint on SoCalGas’ unlimited pricing flexibility.</w:t>
      </w:r>
    </w:p>
    <w:p>
      <w:pPr>
        <w:pStyle w:val="BodyTextIndent3"/>
        <w:rPr/>
      </w:pPr>
      <w:r>
        <w:rPr/>
        <w:t>Second, as noted by Mr. Florio in his direct testimony, the Commission has already expressed the view that the existence of a secondary market reduces SoCalGas’ ability to increase its storage revenues in an unfair manner.  Shippers will be more willing to acquire storage capacity when they know that they will have the ability to sell unused capacity on the secondary market.  (TURN/Aglet/SCGC, Ex. 102, p. 28.)  The availability of storage capacity in the secondary market is another constraint on SoCalGas’ pricing flexibility.</w:t>
      </w:r>
    </w:p>
    <w:p>
      <w:pPr>
        <w:pStyle w:val="Normal"/>
        <w:spacing w:lineRule="auto" w:line="360"/>
        <w:ind w:firstLine="720" w:end="0"/>
        <w:rPr/>
      </w:pPr>
      <w:r>
        <w:rPr>
          <w:sz w:val="26"/>
        </w:rPr>
        <w:t>Third, Ms. Yap underestimates the ability of independent storage providers located in northern California to compete in southern California.  As noted by Wild Goose witness Amirault, the flexibility offered by the Comprehensive Settlement increases its ability to compete in the southern California market through both buy/sell arrangements and exchanges.  (Wild Goose/Amirault, Tr. Vol. 4, pp. 426-429.)  While SoCalGas’ embedded cost of storage is less than that of competitors such as Wild Goose (</w:t>
      </w:r>
      <w:r>
        <w:rPr>
          <w:sz w:val="26"/>
          <w:u w:val="single"/>
        </w:rPr>
        <w:t>Id</w:t>
      </w:r>
      <w:r>
        <w:rPr>
          <w:sz w:val="26"/>
        </w:rPr>
        <w:t>., Ex. 9, p. 6), their presence in the market should place yet another cap on SoCalGas’ pricing flexibility.</w:t>
      </w:r>
    </w:p>
    <w:p>
      <w:pPr>
        <w:pStyle w:val="Normal"/>
        <w:spacing w:lineRule="auto" w:line="360"/>
        <w:ind w:firstLine="720" w:end="0"/>
        <w:rPr>
          <w:sz w:val="26"/>
        </w:rPr>
      </w:pPr>
      <w:r>
        <w:rPr>
          <w:sz w:val="26"/>
        </w:rPr>
        <w:t>Fourth, the prediction of predatory pricing by SoCalGas ignores the fact that SoCalGas has only been able to market noncore storage capacity at a discount which produced substantial stranded costs.  This is likely to remain the case as long as there is an excess of transmission capacity competing with storage.</w:t>
      </w:r>
    </w:p>
    <w:p>
      <w:pPr>
        <w:pStyle w:val="BodyText"/>
        <w:rPr>
          <w:rFonts w:ascii="Times New Roman" w:hAnsi="Times New Roman" w:cs="Times New Roman"/>
        </w:rPr>
      </w:pPr>
      <w:r>
        <w:rPr>
          <w:rFonts w:cs="Times New Roman" w:ascii="Times New Roman" w:hAnsi="Times New Roman"/>
        </w:rPr>
        <w:t>Fifth, her analysis fails to acknowledge the fact that the unbundling of SoCalGas’ storage assets on an embedded cost basis in conjunction with putting shareholders of 100% at risk will encourage new market entrants.  This will eliminate any cross subsidy of storage costs through the transportation rates.  This, in turn, will create a competitive storage environment.  The Gas Accord attests to this fact.  Even though storage was unbundled by the Commission in 1993, the structure for utility storage services thwarted such competition.  It is the unbundling set forth in the Gas Accord which set the stage for a competitive storage market in northern California where there are now two certificated storage providers.  Likewise, the Comprehensive Settlement will create a similar competitive framework for new alternative storage providers in southern California.  In sum, all of these factors mitigate the concerns expressed about SoCalGas’ “unlimited” pricing flexibility.</w:t>
      </w:r>
    </w:p>
    <w:p>
      <w:pPr>
        <w:pStyle w:val="BodyText"/>
        <w:rPr>
          <w:rFonts w:ascii="Times New Roman" w:hAnsi="Times New Roman" w:cs="Times New Roman"/>
        </w:rPr>
      </w:pPr>
      <w:r>
        <w:rPr>
          <w:rFonts w:cs="Times New Roman" w:ascii="Times New Roman" w:hAnsi="Times New Roman"/>
        </w:rPr>
        <w:t>Ms. Yap’s second complaint about the storage provisions of the Comprehensive Settlement is that the package of storage services available at embedded cost is unattractive for customers seeking storage for load balancing purposes.  (TURN/Aglet/SCGC, Ex. 102, p. 32.)  According to her, while the available packages may be attractive to customers interested in seasonal storage, they are not attractive to customers interested in acquiring storage only for load balancing purposes.  As an alternative, she proposes a standard load balancing package price at embedded cost and based on the same proportions as the system-wide load balancing asset:  for each 100 MMcf/d of storage inventory the customer would get 6.2 MMcf/d of injection and 4.7 MMcf/d of withdrawal.</w:t>
      </w:r>
    </w:p>
    <w:p>
      <w:pPr>
        <w:pStyle w:val="BodyText2"/>
        <w:rPr/>
      </w:pPr>
      <w:r>
        <w:rPr/>
        <w:tab/>
        <w:t>The framework of the Comprehensive Settlement will provide entities with numerous market-based storage and load balancing options, including:  default storage service from SoCalGas, privately negotiated contracts with SoCalGas, load balancing services packaged by third-party marketers, core hub services and SoCalGas Gas Operations hub services.  In short, the market will offer services needed by customers.</w:t>
      </w:r>
    </w:p>
    <w:p>
      <w:pPr>
        <w:pStyle w:val="BodyText"/>
        <w:rPr/>
      </w:pPr>
      <w:r>
        <w:rPr>
          <w:rFonts w:cs="Times New Roman" w:ascii="Times New Roman" w:hAnsi="Times New Roman"/>
        </w:rPr>
        <w:t>Mr. Florio complains about the reduction in the core inventory reservation from 70 Bcf to 55 Bcf claiming no basis for reduction has been provided and further noting that any savings in storage reservation costs may well be offset by higher transmission costs. (</w:t>
      </w:r>
      <w:r>
        <w:rPr>
          <w:rFonts w:cs="Times New Roman" w:ascii="Times New Roman" w:hAnsi="Times New Roman"/>
          <w:u w:val="single"/>
        </w:rPr>
        <w:t>Id</w:t>
      </w:r>
      <w:r>
        <w:rPr>
          <w:rFonts w:cs="Times New Roman" w:ascii="Times New Roman" w:hAnsi="Times New Roman"/>
        </w:rPr>
        <w:t>., p. 34.)  As noted above, the storage reservation was reduced from 70 Bcf to 55 Bcf for the simple reason that the value of the additional 15 Bcf of inventory was not worth the cost of paying for this capacity throughout the year.  Prior to unbundling, there was a reason to keep and utilize this storage since the core would have wound up paying for it as a stranded cost if the capacity had been released.  (ORA/Pocta, Tr. Vol. 8, p. 955.)  With SoCalGas now at risk for any stranded costs, that rationale no longer applies.  It is now time to start optimizing the core’s torage reservation.  (</w:t>
      </w:r>
      <w:r>
        <w:rPr>
          <w:rFonts w:cs="Times New Roman" w:ascii="Times New Roman" w:hAnsi="Times New Roman"/>
          <w:u w:val="single"/>
        </w:rPr>
        <w:t>Id</w:t>
      </w:r>
      <w:r>
        <w:rPr>
          <w:rFonts w:cs="Times New Roman" w:ascii="Times New Roman" w:hAnsi="Times New Roman"/>
        </w:rPr>
        <w:t xml:space="preserve">.)  Mr. Florio is correct in noting that the cost savings associated with the reduced reservation will be offset to some extent by increased transportation costs.  However, from a cost perspective it is more efficient for the core to substitute transportation (if required) on an as needed basis than paying for an inventory reservation throughout the year.  The reduction in the reservation will result in an overall lowering of costs to the core.  The data shows that the core needs 35 Bcf of inventory capacity to meet its peak-day and cold-year reliability requirements.  The additional 20 Bcf included in the 50 Bcf reservation is </w:t>
      </w:r>
      <w:r>
        <w:rPr>
          <w:rFonts w:cs="Times New Roman" w:ascii="Times New Roman" w:hAnsi="Times New Roman"/>
          <w:u w:val="single"/>
        </w:rPr>
        <w:t>excess</w:t>
      </w:r>
      <w:r>
        <w:rPr>
          <w:rFonts w:cs="Times New Roman" w:ascii="Times New Roman" w:hAnsi="Times New Roman"/>
        </w:rPr>
        <w:t xml:space="preserve"> capacity which provides the core with significant flexibility.  (Ex. 1, p. 57.)  No additional capacity is required.</w:t>
      </w:r>
    </w:p>
    <w:p>
      <w:pPr>
        <w:pStyle w:val="Normal"/>
        <w:spacing w:lineRule="auto" w:line="360"/>
        <w:ind w:firstLine="720" w:end="0"/>
        <w:rPr>
          <w:sz w:val="26"/>
        </w:rPr>
      </w:pPr>
      <w:r>
        <w:rPr>
          <w:sz w:val="26"/>
        </w:rPr>
        <w:t>In the event the core does need additional storage, it can always be acquired through the annual open season or through the secondary market.  While Mr. Florio complains about the reduction in the core’s flexibility resulting from the reduced reservation, the reality is that the Comprehensive Settlement significantly increases the core’s options with respect to both transportation and storage.</w:t>
      </w:r>
    </w:p>
    <w:p>
      <w:pPr>
        <w:pStyle w:val="BodyText"/>
        <w:rPr>
          <w:rFonts w:ascii="Times New Roman" w:hAnsi="Times New Roman" w:cs="Times New Roman"/>
        </w:rPr>
      </w:pPr>
      <w:r>
        <w:rPr>
          <w:rFonts w:cs="Times New Roman" w:ascii="Times New Roman" w:hAnsi="Times New Roman"/>
        </w:rPr>
        <w:t>The final complaint regarding the storage provisions of the Comprehensive Settlement is that it fails to remove the costs of the currently unused Montebello storage field from the revenue requirement.  Mr. Florio correctly notes that while the costs associated with Montebello are not included in the embedded costs that are being unbundled they do remain in the overall revenue requirement.  He is also correct in noting that to the extent these costs remain in the revenue requirement, core customers will be allocated over 90% of these costs through the EPMC scaling factor.  (TURN/Aglet/SCGC, Ex. 102. p. 34.)</w:t>
      </w:r>
    </w:p>
    <w:p>
      <w:pPr>
        <w:pStyle w:val="Normal"/>
        <w:spacing w:lineRule="auto" w:line="360"/>
        <w:ind w:firstLine="720" w:end="0"/>
        <w:rPr>
          <w:sz w:val="26"/>
        </w:rPr>
      </w:pPr>
      <w:r>
        <w:rPr>
          <w:sz w:val="26"/>
        </w:rPr>
        <w:t xml:space="preserve">ORA submits that the treatment of the Montebello revenue requirement is a non-issue for purposes of this proceeding.  The question of whether the cost of the Montebello field should remain in the revenue requirement and the rate treatment of those costs if it does remain in the revenue requirement is the subject of another proceeding.  The revenue requirement associated with Montebello is currently subject to balancing account treatment.  This gives the Commission the discretion to remove these costs from rates retroactively to September 16, 1999.  (D.99-09-068, p. 19; also see SoCalGas/Lorenz, Ex. 14, pp. 17-21.)  The issue of whether and when the Montebello costs should be removed from rates is being addressed in SoCalGas’ pending application seeking authorization to sell the facility, A.00-04-031.  Furthermore, when these costs are removed from rates, the core will receive over 90% of the reduction in base margin.  That issue is simply not an appropriate subject for this proceeding.  </w:t>
      </w:r>
    </w:p>
    <w:p>
      <w:pPr>
        <w:pStyle w:val="Heading2"/>
        <w:numPr>
          <w:ilvl w:val="1"/>
          <w:numId w:val="2"/>
        </w:numPr>
        <w:rPr>
          <w:rFonts w:ascii="Times New Roman" w:hAnsi="Times New Roman" w:cs="Times New Roman"/>
        </w:rPr>
      </w:pPr>
      <w:bookmarkStart w:id="19" w:name="__RefHeading___Toc487862221"/>
      <w:bookmarkEnd w:id="19"/>
      <w:r>
        <w:rPr>
          <w:rFonts w:cs="Times New Roman" w:ascii="Times New Roman" w:hAnsi="Times New Roman"/>
        </w:rPr>
        <w:t>Interstate Capacity Unbundling the Core Customers</w:t>
      </w:r>
    </w:p>
    <w:p>
      <w:pPr>
        <w:pStyle w:val="Normal"/>
        <w:spacing w:lineRule="auto" w:line="360"/>
        <w:ind w:firstLine="720" w:end="0"/>
        <w:rPr>
          <w:sz w:val="26"/>
        </w:rPr>
      </w:pPr>
      <w:r>
        <w:rPr>
          <w:sz w:val="26"/>
        </w:rPr>
        <w:t>The Commission identified six promising options in the area of core procurement:  (1) the unbundling of interstate capacity costs for core customers; (2) the unbundling of storage costs for core customers; (3) separation of the cost and rates for core utility services with the core procurement department treated as any other utility customer; (4) the elimination of core aggregation thresholds after the adoption of consumer protection measures; (5) the elimination of core subscription services; and (6) a re-examination of the utility’s role in core procurement on a specified competitor market share is achieved.  (D.99-07-015, Appendix C.)  The discussion below is limited to the unbundling of interstate capacity costs.  Promising Options (2) and (3), relating to the unbundling of transmission, storage and balancing services for core customers are discussed in the sections of the brief addressing those topics.  Promising Options (4), (5) and (6) are addressed in the section on Retail Issues.</w:t>
      </w:r>
    </w:p>
    <w:p>
      <w:pPr>
        <w:pStyle w:val="Heading3"/>
        <w:numPr>
          <w:ilvl w:val="2"/>
          <w:numId w:val="2"/>
        </w:numPr>
        <w:rPr>
          <w:rFonts w:ascii="Times New Roman" w:hAnsi="Times New Roman" w:cs="Times New Roman"/>
        </w:rPr>
      </w:pPr>
      <w:bookmarkStart w:id="20" w:name="__RefHeading___Toc487862222"/>
      <w:r>
        <w:rPr>
          <w:rFonts w:cs="Times New Roman" w:ascii="Times New Roman" w:hAnsi="Times New Roman"/>
        </w:rPr>
        <w:t>Interstate Capacity Unbundling Methodology</w:t>
      </w:r>
      <w:bookmarkEnd w:id="20"/>
      <w:r>
        <w:rPr>
          <w:rFonts w:cs="Times New Roman" w:ascii="Times New Roman" w:hAnsi="Times New Roman"/>
        </w:rPr>
        <w:t xml:space="preserve"> </w:t>
      </w:r>
    </w:p>
    <w:p>
      <w:pPr>
        <w:pStyle w:val="BodyText"/>
        <w:rPr/>
      </w:pPr>
      <w:r>
        <w:rPr>
          <w:rFonts w:cs="Times New Roman" w:ascii="Times New Roman" w:hAnsi="Times New Roman"/>
        </w:rPr>
        <w:t>In D.99-07-015, the Commission recommended unbundling the interstate capacity costs held by SoCalGas on behalf of core customers as soon as possible to remove an obstacle to competition.  (</w:t>
      </w:r>
      <w:r>
        <w:rPr>
          <w:rFonts w:cs="Times New Roman" w:ascii="Times New Roman" w:hAnsi="Times New Roman"/>
          <w:u w:val="single"/>
        </w:rPr>
        <w:t>Id</w:t>
      </w:r>
      <w:r>
        <w:rPr>
          <w:rFonts w:cs="Times New Roman" w:ascii="Times New Roman" w:hAnsi="Times New Roman"/>
        </w:rPr>
        <w:t>., pp. 44, 127.)  The Comprehensive Settlement accomplishes this objective by immediately unbundling core interstate capacity costs upon the effective date of the Settlement.  Currently, CTAs must take a proportional mandatory assignment of SoCalGas’ firm interstate capacity reserved for core customers to meet their own core customers’ requirements.  The Comprehensive Settlement would eliminate the requirement that CTAs take a direct assignment of SoCalGas’ firm core interstate capacity.  Implementation of this policy will result in the stranding of core interstate capacity costs.  The Comprehensive Settlement resolves this issue, one of most contentious over the past several years, in a manner that is equitable to core and noncore customer classes.</w:t>
      </w:r>
    </w:p>
    <w:p>
      <w:pPr>
        <w:pStyle w:val="BodyText"/>
        <w:rPr/>
      </w:pPr>
      <w:r>
        <w:rPr>
          <w:rFonts w:cs="Times New Roman" w:ascii="Times New Roman" w:hAnsi="Times New Roman"/>
        </w:rPr>
        <w:t>For the years 2000 and 2001, the stranded costs associated with unbundling core interstate capacity costs would be allocated on a 50/50 basis to core and noncore customers subject to a noncore cap of $2 million in 2000 and $5 million for 2001.  Any costs above the noncore cap will be allocated exclusively to core transportation customers in those years.  Within the core and noncore classes the core interstate stranded costs will be allocated on an equal cents per therm basis.  Allocating a portion of the stranded core capacity costs to noncore customers is equitable considering that the core has been responsible for stranded costs associated with the noncore capacity brokering program for many years and will continue to remain responsible for a portion of these stranded costs through 2001.  This methodology is also consistent with the Commission’s finding in D.95-07-048 that core customers should not be denied competitive options simply because noncore customers may have to bear some of the associated costs.  (</w:t>
      </w:r>
      <w:r>
        <w:rPr>
          <w:rFonts w:cs="Times New Roman" w:ascii="Times New Roman" w:hAnsi="Times New Roman"/>
          <w:u w:val="single"/>
        </w:rPr>
        <w:t>Re Structure of Gas Utilities Procurement Practices</w:t>
      </w:r>
      <w:r>
        <w:rPr>
          <w:rFonts w:cs="Times New Roman" w:ascii="Times New Roman" w:hAnsi="Times New Roman"/>
        </w:rPr>
        <w:t xml:space="preserve">, D.95-07-048, 60 CPUC 2d 519, 527.) </w:t>
      </w:r>
    </w:p>
    <w:p>
      <w:pPr>
        <w:pStyle w:val="BodyText"/>
        <w:rPr/>
      </w:pPr>
      <w:r>
        <w:rPr>
          <w:rFonts w:cs="Times New Roman" w:ascii="Times New Roman" w:hAnsi="Times New Roman"/>
        </w:rPr>
        <w:t>Effective January 1, 2002, core and noncore customers become responsible for their own stranded costs.  On that date, all noncore ITCS costs will be allocated to noncore customers only, and core stranded interstate capacity costs will be allocated only to the core class. The elimination of the allocation of traditional ITCS costs to core customers will result in an annual rate decrease to core customers up to a maximum of $11.9 million in 2002.</w:t>
      </w:r>
      <w:r>
        <w:rPr>
          <w:rStyle w:val="FootnoteCharacters"/>
          <w:rStyle w:val="FootnoteReference"/>
          <w:rFonts w:cs="Times New Roman" w:ascii="Times New Roman" w:hAnsi="Times New Roman"/>
        </w:rPr>
        <w:footnoteReference w:id="10"/>
      </w:r>
      <w:r>
        <w:rPr>
          <w:rFonts w:cs="Times New Roman" w:ascii="Times New Roman" w:hAnsi="Times New Roman"/>
        </w:rPr>
        <w:t xml:space="preserve">  (Ex. 4, p. 6.)  (This transitional date is consistent with the Joint Recommendation approved by the Commission in the SoCalGas/SDG&amp;E BCAP.  (D.00</w:t>
        <w:noBreakHyphen/>
        <w:t xml:space="preserve">04-060, Appendix A, p. 2.)  </w:t>
      </w:r>
    </w:p>
    <w:p>
      <w:pPr>
        <w:pStyle w:val="BodyText"/>
        <w:rPr>
          <w:rFonts w:ascii="Times New Roman" w:hAnsi="Times New Roman" w:cs="Times New Roman"/>
        </w:rPr>
      </w:pPr>
      <w:r>
        <w:rPr>
          <w:rFonts w:cs="Times New Roman" w:ascii="Times New Roman" w:hAnsi="Times New Roman"/>
        </w:rPr>
        <w:t xml:space="preserve">On the same date that the noncore becomes responsible for all stranded noncore capacity, the core becomes responsible for all stranded costs associated with the unbundling of core interstate capacity.  The Comprehensive Settlement proposes an equitable allocation of core stranded interstate costs within the core class beginning January 1, 2002.  The stranded costs associated with the release of the first 7% of the total interstate capacity held for the core will be allocated to all core customers on an equal cents per therm basis.  The stranded costs associated with interstate capacity above the 7% threshold will be allocated to residential and commercial customers according to the CTA market share.  For example, if commercial customers represent 70% of the CTA load, they will be allocated 70% of the stranded costs above the 7% threshold.  The combined impact of this cost allocation methodology and elimination of core responsibility for traditional ITCS on retail core procurement customers is, in the most likely circumstances, a net rate decrease.    </w:t>
      </w:r>
    </w:p>
    <w:p>
      <w:pPr>
        <w:pStyle w:val="Heading3"/>
        <w:numPr>
          <w:ilvl w:val="2"/>
          <w:numId w:val="2"/>
        </w:numPr>
        <w:rPr>
          <w:rFonts w:ascii="Times New Roman" w:hAnsi="Times New Roman" w:cs="Times New Roman"/>
          <w:b w:val="false"/>
        </w:rPr>
      </w:pPr>
      <w:bookmarkStart w:id="21" w:name="__RefHeading___Toc487862223"/>
      <w:r>
        <w:rPr>
          <w:rFonts w:cs="Times New Roman" w:ascii="Times New Roman" w:hAnsi="Times New Roman"/>
        </w:rPr>
        <w:t>The Allocation of Stranded Interstate Capacity Costs is Fair to All Market Interests and Consistent with Commission Precedent</w:t>
      </w:r>
      <w:bookmarkEnd w:id="21"/>
      <w:r>
        <w:rPr>
          <w:rFonts w:cs="Times New Roman" w:ascii="Times New Roman" w:hAnsi="Times New Roman"/>
          <w:b w:val="false"/>
        </w:rPr>
        <w:t xml:space="preserve">  </w:t>
      </w:r>
    </w:p>
    <w:p>
      <w:pPr>
        <w:pStyle w:val="BodyText"/>
        <w:rPr/>
      </w:pPr>
      <w:r>
        <w:rPr>
          <w:rFonts w:cs="Times New Roman" w:ascii="Times New Roman" w:hAnsi="Times New Roman"/>
        </w:rPr>
        <w:t>In D.95-07-048, the Commission stated its intent to make competitive options in interstate transportation markets available to core customers by unbundling interstate capacity costs for core transportation customers.  The Commission has already implemented this policy for core customers on the PG&amp;E and SDG&amp;E systems. (</w:t>
      </w:r>
      <w:r>
        <w:rPr>
          <w:rFonts w:cs="Times New Roman" w:ascii="Times New Roman" w:hAnsi="Times New Roman"/>
          <w:u w:val="single"/>
        </w:rPr>
        <w:t>Re Pacific Gas &amp; Electric Co.</w:t>
      </w:r>
      <w:r>
        <w:rPr>
          <w:rFonts w:cs="Times New Roman" w:ascii="Times New Roman" w:hAnsi="Times New Roman"/>
        </w:rPr>
        <w:t xml:space="preserve">, D.97-12-032 ___ CPUC 2d ___; </w:t>
      </w:r>
      <w:r>
        <w:rPr>
          <w:rFonts w:cs="Times New Roman" w:ascii="Times New Roman" w:hAnsi="Times New Roman"/>
          <w:u w:val="single"/>
        </w:rPr>
        <w:t>Re Pacific Gas &amp; Electric Co</w:t>
      </w:r>
      <w:r>
        <w:rPr>
          <w:rFonts w:cs="Times New Roman" w:ascii="Times New Roman" w:hAnsi="Times New Roman"/>
        </w:rPr>
        <w:t xml:space="preserve">., D.97-05-093, 72 CPUC 2d 669; </w:t>
      </w:r>
      <w:r>
        <w:rPr>
          <w:rFonts w:cs="Times New Roman" w:ascii="Times New Roman" w:hAnsi="Times New Roman"/>
          <w:u w:val="single"/>
        </w:rPr>
        <w:t>Re Pacific Gas &amp; Electric Co.</w:t>
      </w:r>
      <w:r>
        <w:rPr>
          <w:rFonts w:cs="Times New Roman" w:ascii="Times New Roman" w:hAnsi="Times New Roman"/>
        </w:rPr>
        <w:t xml:space="preserve">, D.97-08-055, 73 CPUC 2d 754, 829; </w:t>
      </w:r>
      <w:r>
        <w:rPr>
          <w:rFonts w:cs="Times New Roman" w:ascii="Times New Roman" w:hAnsi="Times New Roman"/>
          <w:u w:val="single"/>
        </w:rPr>
        <w:t>Re. Southern California Gas Co./San Diego Gas &amp; Electric Co.</w:t>
      </w:r>
      <w:r>
        <w:rPr>
          <w:rFonts w:cs="Times New Roman" w:ascii="Times New Roman" w:hAnsi="Times New Roman"/>
        </w:rPr>
        <w:t>, D.97-04-082, 72 CPUC 2d 151, 234-236.)  Both the PG&amp;E and SDG&amp;E systems continue to generate stranded core interstate costs, albeit at levels that are smaller than those likely for SoCalGas.  For SDG&amp;E, the Commission adopted a Core Interstate Transition Cost Surcharge (CITCS) associated with SDG&amp;E’s 10 MMcf/d of interstate capacity on El Paso.</w:t>
      </w:r>
      <w:r>
        <w:rPr>
          <w:rStyle w:val="FootnoteCharacters"/>
          <w:rStyle w:val="FootnoteReference"/>
          <w:rFonts w:cs="Times New Roman" w:ascii="Times New Roman" w:hAnsi="Times New Roman"/>
        </w:rPr>
        <w:footnoteReference w:id="11"/>
      </w:r>
      <w:r>
        <w:rPr>
          <w:rFonts w:cs="Times New Roman" w:ascii="Times New Roman" w:hAnsi="Times New Roman"/>
        </w:rPr>
        <w:t xml:space="preserve">  The stranded costs associated with this capacity are allocated on an equal cents per therm basis to all core customers.  (</w:t>
      </w:r>
      <w:r>
        <w:rPr>
          <w:rFonts w:cs="Times New Roman" w:ascii="Times New Roman" w:hAnsi="Times New Roman"/>
          <w:u w:val="single"/>
        </w:rPr>
        <w:t>Re. Southern California Gas Co./San Diego Gas &amp; Electric Co.</w:t>
      </w:r>
      <w:r>
        <w:rPr>
          <w:rFonts w:cs="Times New Roman" w:ascii="Times New Roman" w:hAnsi="Times New Roman"/>
        </w:rPr>
        <w:t>, D.97</w:t>
        <w:noBreakHyphen/>
        <w:t>04</w:t>
        <w:noBreakHyphen/>
        <w:t>082, 72 CPUC 2d 151, 234-236.)  The stranded costs associated with the interstate pipeline capacity that PG&amp;E holds on PG&amp;E GT NW (previously operated as Pacific Gas Transmission Company or PGT) are similarly allocated to all core customers for the term of the Gas Accord.  (</w:t>
      </w:r>
      <w:r>
        <w:rPr>
          <w:rFonts w:cs="Times New Roman" w:ascii="Times New Roman" w:hAnsi="Times New Roman"/>
          <w:u w:val="single"/>
        </w:rPr>
        <w:t>Re Pacific Gas &amp; Electric Co.</w:t>
      </w:r>
      <w:r>
        <w:rPr>
          <w:rFonts w:cs="Times New Roman" w:ascii="Times New Roman" w:hAnsi="Times New Roman"/>
        </w:rPr>
        <w:t xml:space="preserve">, D.97-08-055, 73 CPUC 2d 754, 829; </w:t>
      </w:r>
      <w:r>
        <w:rPr>
          <w:rFonts w:cs="Times New Roman" w:ascii="Times New Roman" w:hAnsi="Times New Roman"/>
          <w:u w:val="single"/>
        </w:rPr>
        <w:t>Re Pacific Gas &amp; Electric Co.</w:t>
      </w:r>
      <w:r>
        <w:rPr>
          <w:rFonts w:cs="Times New Roman" w:ascii="Times New Roman" w:hAnsi="Times New Roman"/>
        </w:rPr>
        <w:t xml:space="preserve">, D.97-12-032, _____ CPUC 2d ____.)   </w:t>
      </w:r>
    </w:p>
    <w:p>
      <w:pPr>
        <w:pStyle w:val="BodyText"/>
        <w:rPr>
          <w:rFonts w:ascii="Times New Roman" w:hAnsi="Times New Roman" w:cs="Times New Roman"/>
        </w:rPr>
      </w:pPr>
      <w:r>
        <w:rPr>
          <w:rFonts w:cs="Times New Roman" w:ascii="Times New Roman" w:hAnsi="Times New Roman"/>
        </w:rPr>
        <w:t xml:space="preserve">The provision of the Comprehensive Settlement allocating the first 7% of any stranded core interstate costs to core customers on an equal cents per therm basis is consistent with the Commission policy for PG&amp;E and SDG&amp;E, and therefore, equitable.  The allocation of the stranded costs above 7% within the core class according to CTA market share recognizes that the stranded cost liability is potentially much higher for SoCalGas than either PG&amp;E or SDG&amp;E and places a limit on the allocation of stranded costs to core customers not participating in the CTA program.  This provision is also equitable. </w:t>
      </w:r>
    </w:p>
    <w:p>
      <w:pPr>
        <w:pStyle w:val="BodyText"/>
        <w:rPr/>
      </w:pPr>
      <w:r>
        <w:rPr>
          <w:rFonts w:cs="Times New Roman" w:ascii="Times New Roman" w:hAnsi="Times New Roman"/>
        </w:rPr>
        <w:t>The overall resolution of this stranded cost issue is also equitable from the prospective of other proceedings that have addressed this topic.  On December 3, 1997, SoCalGas filed A.97-12-048 which proposed to unbundle interstate pipeline costs from core customers’ rates.  The Commission ultimately dismissed the application because the passage of SB 1602 preempted the Commission’s authority to require SoCalGas to implement the proposed program or any variation of it.  (D.98-12-071.)</w:t>
      </w:r>
      <w:r>
        <w:rPr>
          <w:rStyle w:val="FootnoteCharacters"/>
          <w:rStyle w:val="FootnoteReference"/>
          <w:rFonts w:cs="Times New Roman" w:ascii="Times New Roman" w:hAnsi="Times New Roman"/>
        </w:rPr>
        <w:footnoteReference w:id="12"/>
      </w:r>
      <w:r>
        <w:rPr>
          <w:rFonts w:cs="Times New Roman" w:ascii="Times New Roman" w:hAnsi="Times New Roman"/>
        </w:rPr>
        <w:t xml:space="preserve">  However, the case and issues it raised were fully litigated prior to dismissal of the application.  A proposed decision by Administrative Law Judge (ALJ) Malcolm was issued on October 27, 1998 and an alternate decision by Commission Knight was mailed on November 19, 1998.  The proposed decision of ALJ Malcolm would have allocated core stranded interstate capacity costs on an equal cents per therm basis to all customers.  The alternate decision of Commissioner Knight would have allocated stranded costs associated with core interstate capacity unbundling on an equal cents per therm basis to core customers.  Both decisions would have retained the allocation of traditional (noncore) ITCS costs to core customers up to the 10% cap.       </w:t>
      </w:r>
    </w:p>
    <w:p>
      <w:pPr>
        <w:pStyle w:val="BodyText"/>
        <w:rPr>
          <w:rFonts w:ascii="Times New Roman" w:hAnsi="Times New Roman" w:cs="Times New Roman"/>
        </w:rPr>
      </w:pPr>
      <w:r>
        <w:rPr>
          <w:rFonts w:cs="Times New Roman" w:ascii="Times New Roman" w:hAnsi="Times New Roman"/>
        </w:rPr>
        <w:t>Since the issues regarding the allocation of stranded core interstate costs for SoCalGas were litigated in that case, the two proposed decisions provide a good benchmark in considering whether the Comprehensive Settlement resolves this issue in a reasonable manner.  The Comprehensive Settlement’s provisions regarding the allocation of stranded interstate capacity costs are quite favorable to core customers when considered in the context of the direction of the proposed decisions of record in A.97</w:t>
        <w:noBreakHyphen/>
        <w:t>12</w:t>
        <w:noBreakHyphen/>
        <w:t xml:space="preserve">048.  Neither the proposed decision of ALJ Malcolm nor the proposed alternate decision of Commissioner Knight would have eliminated the allocation of noncore ITCS to the core.  From the perspective of core customers, the allocation of stranded costs in the Comprehensive Settlement is superior to either ALJ Malcolm’s proposed decision or the Knight alternate. </w:t>
      </w:r>
    </w:p>
    <w:p>
      <w:pPr>
        <w:pStyle w:val="Heading3"/>
        <w:numPr>
          <w:ilvl w:val="2"/>
          <w:numId w:val="2"/>
        </w:numPr>
        <w:rPr>
          <w:rFonts w:ascii="Times New Roman" w:hAnsi="Times New Roman" w:cs="Times New Roman"/>
        </w:rPr>
      </w:pPr>
      <w:bookmarkStart w:id="22" w:name="__RefHeading___Toc487862224"/>
      <w:bookmarkEnd w:id="22"/>
      <w:r>
        <w:rPr>
          <w:rFonts w:cs="Times New Roman" w:ascii="Times New Roman" w:hAnsi="Times New Roman"/>
        </w:rPr>
        <w:t>The Post-Interim Settlement’s Treatment of the Stranded Cost Issue is Unbalanced and Inconsistent with Commission Precedent</w:t>
      </w:r>
    </w:p>
    <w:p>
      <w:pPr>
        <w:pStyle w:val="BodyText"/>
        <w:rPr>
          <w:rFonts w:ascii="Times New Roman" w:hAnsi="Times New Roman" w:cs="Times New Roman"/>
        </w:rPr>
      </w:pPr>
      <w:r>
        <w:rPr>
          <w:rFonts w:cs="Times New Roman" w:ascii="Times New Roman" w:hAnsi="Times New Roman"/>
        </w:rPr>
        <w:t xml:space="preserve">The Post-Interim Settlement parties criticize the Comprehensive Settlement on the grounds that not enough of the stranded costs are allocated to CTAs and their customers.  Their alternative approach would allocate any stranded costs that result from unbundling interstate capacity on a 50/50 basis between core transportation and core sales customers.  The Post-Interim Settlement would further allocate the 50% portion of core sales customers’ liability between residential, and commercial and industrial customers in proportion to their participation in the transportation only program.  This method of allocation is inequitable.  The allocation of the 50% of core sales liability, to residential and commercial and industrial customers in proportion to participation in the CTA program has no correlation to any objective cost allocation method.   </w:t>
      </w:r>
    </w:p>
    <w:p>
      <w:pPr>
        <w:pStyle w:val="BodyText"/>
        <w:rPr>
          <w:rFonts w:ascii="Times New Roman" w:hAnsi="Times New Roman" w:cs="Times New Roman"/>
        </w:rPr>
      </w:pPr>
      <w:r>
        <w:rPr>
          <w:rFonts w:cs="Times New Roman" w:ascii="Times New Roman" w:hAnsi="Times New Roman"/>
        </w:rPr>
        <w:t xml:space="preserve">The proposed allocation is as follows:  “Within the bundled core sales group, these costs will be allocated between the residential and non-residential classes in proportion to their participation in the CTA program.”  (Ex. 101, p. 55.)  Since core sales customers currently do not participate in the CTA program, the effect of this proposal is to place an undue burden upon those core commercial and industrial customers that elect to procure gas from SoCalGas.  Since the majority of core transport customers are the core commercial and industrial customers, non-residential core customers that buy gas from SoCalGas would be stuck with bulk of the 50% of stranded core costs allocated to sales customers.  (Ex. 13, pp. 5, 6.) </w:t>
      </w:r>
    </w:p>
    <w:p>
      <w:pPr>
        <w:pStyle w:val="BodyText"/>
        <w:rPr>
          <w:rFonts w:ascii="Times New Roman" w:hAnsi="Times New Roman" w:cs="Times New Roman"/>
        </w:rPr>
      </w:pPr>
      <w:r>
        <w:rPr>
          <w:rFonts w:cs="Times New Roman" w:ascii="Times New Roman" w:hAnsi="Times New Roman"/>
        </w:rPr>
        <w:t xml:space="preserve">This allocation appears to be premised on shifting all stranded costs away from core residential customers, notwithstanding the fact that a disproportionate share of those costs are allocated to other core customers that do not participate in the core aggregation program.  Although the Post-Interim Settlement proposed allocation method doesn’t harm residential customers, it would have a significant adverse impact on those commercial and industrial core customers that opt to procure gas from SoCalGas. </w:t>
      </w:r>
    </w:p>
    <w:p>
      <w:pPr>
        <w:pStyle w:val="BodyText"/>
        <w:rPr>
          <w:rFonts w:ascii="Times New Roman" w:hAnsi="Times New Roman" w:cs="Times New Roman"/>
        </w:rPr>
      </w:pPr>
      <w:r>
        <w:rPr>
          <w:rFonts w:cs="Times New Roman" w:ascii="Times New Roman" w:hAnsi="Times New Roman"/>
        </w:rPr>
        <w:t xml:space="preserve">The recommendation contained in the Post-Interim Settlement regarding the allocation of core stranded interstate costs is not responsive to the broad market interests on the matter, and does not represent a balanced policy given prior Commission precedent.  In short, it is simply a litigation position offered as a Settlement proposal.  By contrast, the Comprehensive Settlement has broad support from a wide spectrum of interests in the gas industry.  </w:t>
      </w:r>
    </w:p>
    <w:p>
      <w:pPr>
        <w:pStyle w:val="Heading3"/>
        <w:numPr>
          <w:ilvl w:val="2"/>
          <w:numId w:val="2"/>
        </w:numPr>
        <w:rPr>
          <w:rFonts w:ascii="Times New Roman" w:hAnsi="Times New Roman" w:cs="Times New Roman"/>
          <w:b w:val="false"/>
        </w:rPr>
      </w:pPr>
      <w:bookmarkStart w:id="23" w:name="__RefHeading___Toc487862225"/>
      <w:r>
        <w:rPr>
          <w:rFonts w:cs="Times New Roman" w:ascii="Times New Roman" w:hAnsi="Times New Roman"/>
        </w:rPr>
        <w:t>The Methodology for Quantifying Revenue from the Brokering of Core Capacity Eliminates any Potential Conflict of Interest</w:t>
      </w:r>
      <w:bookmarkEnd w:id="23"/>
      <w:r>
        <w:rPr>
          <w:rFonts w:cs="Times New Roman" w:ascii="Times New Roman" w:hAnsi="Times New Roman"/>
        </w:rPr>
        <w:t xml:space="preserve"> </w:t>
      </w:r>
    </w:p>
    <w:p>
      <w:pPr>
        <w:pStyle w:val="BodyText"/>
        <w:rPr/>
      </w:pPr>
      <w:r>
        <w:rPr>
          <w:rFonts w:cs="Times New Roman" w:ascii="Times New Roman" w:hAnsi="Times New Roman"/>
        </w:rPr>
        <w:t xml:space="preserve">The Comprehensive Settlement provides SoCalGas with discretion as to how to release capacity that is stranded as a result of core interstate capacity unbundling.  SoCalGas expects to release this capacity on a month-to-month basis, but may do so for a longer period if it would reduce the level of stranded costs.  The stranded costs arising from the unbundling of core interstate pipeline capacity are calculated by multiplying the volume of core capacity released at each receipt point times the difference between the actual price for the capacity and the average price received for </w:t>
      </w:r>
      <w:r>
        <w:rPr>
          <w:rFonts w:cs="Times New Roman" w:ascii="Times New Roman" w:hAnsi="Times New Roman"/>
          <w:u w:val="single"/>
        </w:rPr>
        <w:t xml:space="preserve">core and noncore </w:t>
      </w:r>
      <w:r>
        <w:rPr>
          <w:rFonts w:cs="Times New Roman" w:ascii="Times New Roman" w:hAnsi="Times New Roman"/>
        </w:rPr>
        <w:t>capacity released at each specific receipt point.  (Ex. 1, p. 55.)  This method of determining stranded costs assures that the core and noncore interstate capacity that SoCalGas releases is valued consistently and it avoids any potential conflicts or gaming regarding the manner in which SoCalGas brokers core capacity vis-à-vis noncore capacity.</w:t>
      </w:r>
    </w:p>
    <w:p>
      <w:pPr>
        <w:pStyle w:val="Heading3"/>
        <w:numPr>
          <w:ilvl w:val="2"/>
          <w:numId w:val="2"/>
        </w:numPr>
        <w:rPr>
          <w:rFonts w:ascii="Times New Roman" w:hAnsi="Times New Roman" w:cs="Times New Roman"/>
        </w:rPr>
      </w:pPr>
      <w:bookmarkStart w:id="24" w:name="__RefHeading___Toc487862226"/>
      <w:bookmarkEnd w:id="24"/>
      <w:r>
        <w:rPr>
          <w:rFonts w:cs="Times New Roman" w:ascii="Times New Roman" w:hAnsi="Times New Roman"/>
        </w:rPr>
        <w:t>The Comprehensive Settlement Retains Highly Valuable Interstate Capacity for Core Procurement Customers</w:t>
      </w:r>
    </w:p>
    <w:p>
      <w:pPr>
        <w:pStyle w:val="BodyText"/>
        <w:rPr/>
      </w:pPr>
      <w:r>
        <w:rPr>
          <w:rFonts w:cs="Times New Roman" w:ascii="Times New Roman" w:hAnsi="Times New Roman"/>
        </w:rPr>
        <w:t xml:space="preserve">The current level of firm interstate capacity allocated to SoCalGas’ core customers is 1044 MMcf/d.  (D.00-04-060.)  Commission policy does not specify how this capacity is allocated between pipeline receipt points.  The Comprehensive Settlement would modify this practice in a manner which is favorable to core customer interests.  It establishes an initial reservation of the 1044 MMcf/d of </w:t>
      </w:r>
      <w:r>
        <w:rPr>
          <w:rFonts w:cs="Times New Roman" w:ascii="Times New Roman" w:hAnsi="Times New Roman"/>
          <w:u w:val="single"/>
        </w:rPr>
        <w:t>interstate</w:t>
      </w:r>
      <w:r>
        <w:rPr>
          <w:rFonts w:cs="Times New Roman" w:ascii="Times New Roman" w:hAnsi="Times New Roman"/>
        </w:rPr>
        <w:t xml:space="preserve"> capacity for the entire core market by pipeline as follows: 300 MMcf/d on Transwestern at North Needles; 300 MMcf/d on El Paso at Topock; and 444 MMcf/d on El Paso at Blythe.  (Ex. 1, p. 54.)  All interstate capacity released as a result of core interstate unbundling will first be capacity on El Paso at Blythe.  (Ex. 1, p. 54.)</w:t>
      </w:r>
    </w:p>
    <w:p>
      <w:pPr>
        <w:pStyle w:val="BodyText"/>
        <w:rPr/>
      </w:pPr>
      <w:r>
        <w:rPr>
          <w:rFonts w:cs="Times New Roman" w:ascii="Times New Roman" w:hAnsi="Times New Roman"/>
        </w:rPr>
        <w:t>This method of release will continue to provide the retail core with firm access to the most valuable capacity, the 300 MMcf/d of interstate capacity at El Paso – Topock and 300 MMcf/d at Transwestern – Needles.  These receipt points have historically had the most value since they can be utilized to access low cost gas supply from the San Juan basin.  For example, in the most recent period of April 1, 1998 through March 31, 1999 of SoCalGas’ GCIM, the cost of gas supply from the San Juan basin averaged approximately $0.085/dth less than supply from the Permian basin for the annual period.</w:t>
      </w:r>
      <w:r>
        <w:rPr>
          <w:rStyle w:val="FootnoteCharacters"/>
          <w:rStyle w:val="FootnoteReference"/>
          <w:rFonts w:cs="Times New Roman" w:ascii="Times New Roman" w:hAnsi="Times New Roman"/>
          <w:sz w:val="28"/>
        </w:rPr>
        <w:footnoteReference w:id="13"/>
      </w:r>
      <w:r>
        <w:rPr>
          <w:rFonts w:cs="Times New Roman" w:ascii="Times New Roman" w:hAnsi="Times New Roman"/>
        </w:rPr>
        <w:t xml:space="preserve">  In the month of July 1998, San Juan gas supply was a full $0.315/dth lower than Permian supply.  (Ex. 4, p. 7) </w:t>
      </w:r>
    </w:p>
    <w:p>
      <w:pPr>
        <w:pStyle w:val="BodyText"/>
        <w:rPr>
          <w:rFonts w:ascii="Times New Roman" w:hAnsi="Times New Roman" w:cs="Times New Roman"/>
        </w:rPr>
      </w:pPr>
      <w:r>
        <w:rPr>
          <w:rFonts w:cs="Times New Roman" w:ascii="Times New Roman" w:hAnsi="Times New Roman"/>
        </w:rPr>
        <w:t xml:space="preserve">The ability to access firm capacity at the El Paso – Topock receipt point will benefit core procurement customers in the form of lower priced gas supply reflected in the monthly gas procurement price.  The reservation of 300 MMcf/d of interstate capacity on El Paso – Topock assures that retail core customers will have access to (and the ability to nominate) this capacity, notwithstanding the ultimate resolution at the FERC of SoCalGas’ access to the total 540 MMcf/d of capacity held at Topock.  This capacity, in conjunction to the intrastate backbone reservation of 290 MMcf/d at Topock, will provide core customers a firm, direct route to access San Juan gas supply from the interstate mainline to the SoCalGas city-gate.        </w:t>
      </w:r>
    </w:p>
    <w:p>
      <w:pPr>
        <w:pStyle w:val="BodyText"/>
        <w:rPr>
          <w:rFonts w:ascii="Times New Roman" w:hAnsi="Times New Roman" w:cs="Times New Roman"/>
        </w:rPr>
      </w:pPr>
      <w:r>
        <w:rPr>
          <w:rFonts w:cs="Times New Roman" w:ascii="Times New Roman" w:hAnsi="Times New Roman"/>
        </w:rPr>
        <w:t xml:space="preserve">By contrast, the Interim and Post-Interim Settlements fail to provide core customers with specific, firm receipt point access associated with their firm interstate pipeline reservation.  This is a significant flaw in those settlements and a primary reason that ORA did and does not support the Interim Settlement.  The Comprehensive Settlement provides retail core procurement customers with specific, dedicated access to valuable firm interstate capacity at the El Paso – Topock receipt point.   </w:t>
      </w:r>
    </w:p>
    <w:p>
      <w:pPr>
        <w:pStyle w:val="Heading2"/>
        <w:numPr>
          <w:ilvl w:val="1"/>
          <w:numId w:val="2"/>
        </w:numPr>
        <w:rPr>
          <w:rFonts w:ascii="Times New Roman" w:hAnsi="Times New Roman" w:cs="Times New Roman"/>
        </w:rPr>
      </w:pPr>
      <w:bookmarkStart w:id="25" w:name="__RefHeading___Toc487862227"/>
      <w:r>
        <w:rPr>
          <w:rFonts w:cs="Times New Roman" w:ascii="Times New Roman" w:hAnsi="Times New Roman"/>
        </w:rPr>
        <w:t>Balancing</w:t>
      </w:r>
      <w:bookmarkEnd w:id="25"/>
      <w:r>
        <w:rPr>
          <w:rFonts w:cs="Times New Roman" w:ascii="Times New Roman" w:hAnsi="Times New Roman"/>
        </w:rPr>
        <w:t xml:space="preserve"> </w:t>
      </w:r>
    </w:p>
    <w:p>
      <w:pPr>
        <w:pStyle w:val="Heading3"/>
        <w:numPr>
          <w:ilvl w:val="2"/>
          <w:numId w:val="2"/>
        </w:numPr>
        <w:rPr>
          <w:rFonts w:ascii="Times New Roman" w:hAnsi="Times New Roman" w:cs="Times New Roman"/>
        </w:rPr>
      </w:pPr>
      <w:bookmarkStart w:id="26" w:name="__RefHeading___Toc487862228"/>
      <w:bookmarkEnd w:id="26"/>
      <w:r>
        <w:rPr>
          <w:rFonts w:cs="Times New Roman" w:ascii="Times New Roman" w:hAnsi="Times New Roman"/>
        </w:rPr>
        <w:t>The Comprehensive Settlement Separates Core and Noncore Balancing Services As Envisioned in D.99</w:t>
        <w:noBreakHyphen/>
        <w:t>07-015</w:t>
      </w:r>
    </w:p>
    <w:p>
      <w:pPr>
        <w:pStyle w:val="BodyText"/>
        <w:rPr>
          <w:rFonts w:ascii="Times New Roman" w:hAnsi="Times New Roman" w:cs="Times New Roman"/>
        </w:rPr>
      </w:pPr>
      <w:r>
        <w:rPr>
          <w:rFonts w:cs="Times New Roman" w:ascii="Times New Roman" w:hAnsi="Times New Roman"/>
        </w:rPr>
        <w:t xml:space="preserve">In D.99-07-015, the Commission directed SoCalGas to prepare a proposal for removing core assets from the system balancing function and to examine structural means for providing balancing services without drawing on core assets.  (D.99-07-015, p. 38.)  Under the Comprehensive Settlement, core and noncore classes would be balanced separately.  This settlement provision (Exhibit 1, pp. 39-41) is consistent with the Commission’s promising options as expressed in its gas industry restructuring decision. </w:t>
      </w:r>
    </w:p>
    <w:p>
      <w:pPr>
        <w:pStyle w:val="BodyText"/>
        <w:rPr>
          <w:rFonts w:ascii="Times New Roman" w:hAnsi="Times New Roman" w:cs="Times New Roman"/>
        </w:rPr>
      </w:pPr>
      <w:r>
        <w:rPr>
          <w:rFonts w:cs="Times New Roman" w:ascii="Times New Roman" w:hAnsi="Times New Roman"/>
        </w:rPr>
        <w:t xml:space="preserve">Effective April 1, 2001, the core and noncore classes will be balanced separately.  The storage assets used for core and noncore balancing are separately defined by the terms of the settlement.  Core customers will balance solely utilizing storage assets assigned to the core.  (55 Bcf of inventory; 327 MMcf/d of injection, and 1,935 MMcf/d of withdrawal.)  Operational Flow Order (OFO) days will be determined independently for the core and noncore customer classes, using their assigned assets.  Therefore, the core will not be impacted when the noncore is out of balance and vice versa.  </w:t>
      </w:r>
    </w:p>
    <w:p>
      <w:pPr>
        <w:pStyle w:val="BodyText"/>
        <w:rPr>
          <w:rFonts w:ascii="Times New Roman" w:hAnsi="Times New Roman" w:cs="Times New Roman"/>
        </w:rPr>
      </w:pPr>
      <w:r>
        <w:rPr>
          <w:rFonts w:cs="Times New Roman" w:ascii="Times New Roman" w:hAnsi="Times New Roman"/>
        </w:rPr>
        <w:t xml:space="preserve">The core customer class will utilize its firm storage assets to meet its balancing requirements.  The core will not have to pay for additional balancing as part of its backbone transportation rate.  This approach allows the core to efficiently utilize its firm storage reservations of inventory, injection and withdrawal capacity to meet its balancing requirements.  In essence, the core will utilize its storage reservations for both reliability purposes and for balancing purposes.  The Gas Acquisition department will continue to generate revenues by marketing its excess storage capacity as hub services.  SoCalGas’ core procurement customers will be treated like other customers since the Gas Acquisition Department will be subject to the same balancing rules and penalties as other core balancing entities.  The core procurement group and CTA balancing entities are limited to a monthly imbalance tolerance of 0%, which is calculated as the difference between supply deliveries and forecast demand.  The core will use its allocated, firm storage assets to manage any imbalances.  CTAs will have the option of choosing a self-balancing service subject to the conditions set forth in the settlement.       </w:t>
      </w:r>
    </w:p>
    <w:p>
      <w:pPr>
        <w:pStyle w:val="BodyText"/>
        <w:rPr>
          <w:rFonts w:ascii="Times New Roman" w:hAnsi="Times New Roman" w:cs="Times New Roman"/>
        </w:rPr>
      </w:pPr>
      <w:r>
        <w:rPr>
          <w:rFonts w:cs="Times New Roman" w:ascii="Times New Roman" w:hAnsi="Times New Roman"/>
        </w:rPr>
        <w:t xml:space="preserve">Noncore customers can choose either a default balancing service embedded in rates or a daily self-balancing option.  SoCalGas will allocate 250 MMcf/d of injection, 250 MMcf/d of withdrawal and 5.3 Bcf of inventory to the default system balancing service.  (Ex. 1, p. 43.)  The default noncore imbalance service allows customers, or their balancing entities, a monthly imbalance tolerance of +/- 10%.  This is consistent with the monthly imbalance tolerances that currently exist on the SoCalGas system, and imbalances can continue to be traded with all balancing entities.  Any imbalance that remains after trading is subject to cash out at 50% of the market gas price for positive imbalances and 150% of the market rate for negative imbalances. If a customer elects the self-balancing option, it must comply with the terms and conditions established in the settlement and will receive a credit associated with the bundled balancing costs.  </w:t>
      </w:r>
    </w:p>
    <w:p>
      <w:pPr>
        <w:pStyle w:val="Heading3"/>
        <w:numPr>
          <w:ilvl w:val="2"/>
          <w:numId w:val="2"/>
        </w:numPr>
        <w:rPr>
          <w:rFonts w:ascii="Times New Roman" w:hAnsi="Times New Roman" w:cs="Times New Roman"/>
        </w:rPr>
      </w:pPr>
      <w:bookmarkStart w:id="27" w:name="__RefHeading___Toc487862229"/>
      <w:r>
        <w:rPr>
          <w:rFonts w:cs="Times New Roman" w:ascii="Times New Roman" w:hAnsi="Times New Roman"/>
        </w:rPr>
        <w:t>The Criticisms of the Comprehensive Settlement’s Balancing Provisions Are Without Merit</w:t>
      </w:r>
      <w:bookmarkEnd w:id="27"/>
      <w:r>
        <w:rPr>
          <w:rFonts w:cs="Times New Roman" w:ascii="Times New Roman" w:hAnsi="Times New Roman"/>
        </w:rPr>
        <w:t xml:space="preserve"> </w:t>
      </w:r>
    </w:p>
    <w:p>
      <w:pPr>
        <w:pStyle w:val="BodyTextIndent"/>
        <w:spacing w:lineRule="auto" w:line="360"/>
        <w:ind w:firstLine="720" w:start="0" w:end="0"/>
        <w:rPr>
          <w:sz w:val="26"/>
        </w:rPr>
      </w:pPr>
      <w:r>
        <w:rPr>
          <w:sz w:val="26"/>
        </w:rPr>
        <w:t xml:space="preserve">The Rebuttal Testimony in Support of the Post-Interim Settlement is critical of the proposed reduction in the firm injection capacity of 25.5 MMcf/d for core that was previously allocated through the balancing function.  The testimony also objects to the reduction in the noncore injection balancing level.  It would retain the status quo and recommends that any changes be postponed until the next BCAP.  (TURN/Aglet/SCGC, Ex. 102, pp. 35-37.) </w:t>
      </w:r>
    </w:p>
    <w:p>
      <w:pPr>
        <w:pStyle w:val="BodyTextIndent"/>
        <w:spacing w:lineRule="auto" w:line="360"/>
        <w:ind w:firstLine="720" w:start="0" w:end="0"/>
        <w:rPr/>
      </w:pPr>
      <w:r>
        <w:rPr>
          <w:sz w:val="26"/>
        </w:rPr>
        <w:t xml:space="preserve">The reduction in injection balancing capacities is appropriate.  The elimination of the core balancing injection capacity of 25.5 MMcf/d is consistent with the lower, core inventory capacity level.  The Comprehensive Settlement reduces the core storage inventory level from 70 Bcf to 55 Bcf.  Thus, there is no need to reserve the 25.5 MMcf/d of firm injection that was previously allocated to them through the balancing function.  The firm, core injection level of 327 MMcf/d will meet both the firm injection and balancing requirements of the core.  Actually, the core has more injection flexibility under the Comprehensive Settlement than the status quo.  This is because the total firm injection rights (firm injection plus balancing injection) of 352.5 MMcf/d are being reduced by only 7%(25.5/352.5), while firm inventory is being reduced by about 21% (15 Bcf/70 Bcf).  The difference will provide seasonal swing flexibility (that Witness Yap inexplicitly alleges is lost) and an ability to meet daily balancing requirements.  Under the Comprehensive Settlement, the core reserves firm injection capacity that is more than sufficient to meet firm requirements, while providing </w:t>
      </w:r>
      <w:r>
        <w:rPr>
          <w:sz w:val="26"/>
          <w:u w:val="single"/>
        </w:rPr>
        <w:t>additional</w:t>
      </w:r>
      <w:r>
        <w:rPr>
          <w:sz w:val="26"/>
        </w:rPr>
        <w:t xml:space="preserve"> flexibility to inject gas (if needed) when gas prices are considered low.  It specifically provides 20 Bcf of inventory and 93 MMcf/d of injection capacity over the levels required for reliability and balancing purposes.  (Ex. 1, p. 57.)</w:t>
      </w:r>
    </w:p>
    <w:p>
      <w:pPr>
        <w:pStyle w:val="BodyTextIndent"/>
        <w:spacing w:lineRule="auto" w:line="360"/>
        <w:ind w:firstLine="720" w:start="0" w:end="0"/>
        <w:rPr/>
      </w:pPr>
      <w:r>
        <w:rPr>
          <w:sz w:val="26"/>
        </w:rPr>
        <w:t>The Rebuttal Testimony is also critical of the reduction in the firm injection capacity assigned to the noncore balancing function from 329.4 MMcf/d to 250 MMcf/d.  The objection is baseless.  The cost of noncore balancing services has been reduced under the Comprehensive Settlement.  (Western Hub/Burkholder, Ex. 8, p. 6 and Table 1)</w:t>
      </w:r>
      <w:r>
        <w:rPr>
          <w:b/>
          <w:sz w:val="26"/>
        </w:rPr>
        <w:t xml:space="preserve">  </w:t>
      </w:r>
      <w:r>
        <w:rPr>
          <w:sz w:val="26"/>
        </w:rPr>
        <w:t xml:space="preserve">The noncore customers will retain a monthly imbalance tolerance of +/- 10% consistent with the current system imbalance tolerance at a reduced cost.  </w:t>
      </w:r>
    </w:p>
    <w:p>
      <w:pPr>
        <w:pStyle w:val="BodyTextIndent"/>
        <w:spacing w:lineRule="auto" w:line="360"/>
        <w:ind w:firstLine="720" w:start="0" w:end="0"/>
        <w:rPr>
          <w:sz w:val="26"/>
        </w:rPr>
      </w:pPr>
      <w:r>
        <w:rPr>
          <w:sz w:val="26"/>
        </w:rPr>
        <w:t>The Rebuttal Testimony also claims that by separating the core and noncore balancing functions, the Comprehensive Settlement eliminates balancing synergies.  This assertion ignores the entire record and discussion of the issue set forth in D.99-07-015. The Commission concluded that the current system of balancing was ridden with cross subsidies rather than synergies.  The Commission stated that: “as long as SoCalGas’ core services are intertwined with its management of its pipeline system, it is unlikely that we can ensure that the process is free of cross-subsidies or that SoCalGas is not making decisions that enhance shareholder interests at the expense of other customers.”  (D.99-07-015, pp.36-37.)  The Comprehensive Settlement resolves the cross-subsidy issue.</w:t>
      </w:r>
    </w:p>
    <w:p>
      <w:pPr>
        <w:pStyle w:val="BodyTextIndent"/>
        <w:spacing w:lineRule="auto" w:line="360"/>
        <w:ind w:firstLine="720" w:start="0" w:end="0"/>
        <w:rPr>
          <w:sz w:val="26"/>
        </w:rPr>
      </w:pPr>
      <w:r>
        <w:rPr>
          <w:sz w:val="26"/>
        </w:rPr>
        <w:t xml:space="preserve">From the core perspective, the separation of the core and noncore balancing function is long overdue and will assure the most efficient use of core resources.  Under the Comprehensive Settlement, core and noncore customers pay for balancing services reserved on their behalf.  Each will only need to address OFOs generated due to the actions of their respective customer class.  The core class will not be required to respond to OFOs caused by the noncore class and vice versa.  The Comprehensive Settlement addresses the balancing issue in comprehensive manner to the benefit of all parties. </w:t>
      </w:r>
    </w:p>
    <w:p>
      <w:pPr>
        <w:pStyle w:val="BodyTextIndent"/>
        <w:spacing w:lineRule="auto" w:line="360"/>
        <w:ind w:firstLine="720" w:start="0" w:end="0"/>
        <w:rPr>
          <w:sz w:val="26"/>
        </w:rPr>
      </w:pPr>
      <w:r>
        <w:rPr>
          <w:sz w:val="26"/>
        </w:rPr>
        <w:t xml:space="preserve">The Rebuttal Testimony in Support of the Post-Interim Settlement offers a table (Exhibit 102, p. 36) which purports to project OFO occurrences on the SoCalGas system under the Comprehensive Settlement.  The table is little more than fiction.  It presumes that the core would experience an increase in OFO occurrences from one to 89 events.  The analysis fails to consider that the core will be injecting less gas into storage due to the reduction in the firm inventory level under the Comprehensive Settlement.  It also fails to acknowledge that the core flexibility with respect to firm injection rights will actually increase under the Comprehensive Settlement compared to the status quo.  The table represents yet another “apples to oranges” comparison because it superimposes existing system utilization onto a new unbundled system with an entirely different set of procedures.  </w:t>
      </w:r>
    </w:p>
    <w:p>
      <w:pPr>
        <w:pStyle w:val="BodyTextIndent"/>
        <w:spacing w:lineRule="auto" w:line="360"/>
        <w:ind w:firstLine="720" w:start="0" w:end="0"/>
        <w:rPr>
          <w:sz w:val="26"/>
        </w:rPr>
      </w:pPr>
      <w:r>
        <w:rPr>
          <w:sz w:val="26"/>
        </w:rPr>
        <w:t xml:space="preserve">The analysis also ignores the fact that marketers have operated under OFO rules on the PG&amp;E system for over two years and this experience will transfer to the SoCalGas system.  The marketers will actually be able to deal with OFOs more effectively in the future if the OFO rules are consistent on both the PG&amp;E and SoCalGas systems.  Ultimately, all customers can always avoid OFO penalties by simply balancing their gas supply nominations to meet their gas demand within the specific tolerances during an OFO period.  Customers will continue to enjoy liberal monthly system balancing tolerance of +/- 10%, which is no change from the current monthly tolerance.  This monthly tolerance provides more customer flexibility than the 5% monthly imbalance tolerance on the PG&amp;E system.  </w:t>
      </w:r>
    </w:p>
    <w:p>
      <w:pPr>
        <w:pStyle w:val="BodyTextIndent"/>
        <w:spacing w:lineRule="auto" w:line="360"/>
        <w:ind w:firstLine="720" w:start="0" w:end="0"/>
        <w:rPr/>
      </w:pPr>
      <w:r>
        <w:rPr>
          <w:sz w:val="26"/>
        </w:rPr>
        <w:t xml:space="preserve">The allocation of firm storage to </w:t>
      </w:r>
      <w:r>
        <w:rPr>
          <w:sz w:val="26"/>
          <w:u w:val="single"/>
        </w:rPr>
        <w:t>noncore balancing</w:t>
      </w:r>
      <w:r>
        <w:rPr>
          <w:sz w:val="26"/>
        </w:rPr>
        <w:t xml:space="preserve"> on the SoCalGas system under the Comprehensive Settlement is also well above the quantities allocated to </w:t>
      </w:r>
      <w:r>
        <w:rPr>
          <w:sz w:val="26"/>
          <w:u w:val="single"/>
        </w:rPr>
        <w:t>system (core and noncore) balancing</w:t>
      </w:r>
      <w:r>
        <w:rPr>
          <w:sz w:val="26"/>
        </w:rPr>
        <w:t xml:space="preserve"> on the PG&amp;E system.  (</w:t>
      </w:r>
      <w:r>
        <w:rPr>
          <w:sz w:val="26"/>
          <w:u w:val="single"/>
        </w:rPr>
        <w:t>Re: Pacific Gas &amp; Electric Company</w:t>
      </w:r>
      <w:r>
        <w:rPr>
          <w:sz w:val="26"/>
        </w:rPr>
        <w:t xml:space="preserve">, D.97-08-055; 73 CPUC 2d 808, 812.)  The level of firm storage resources dedicated to noncore balancing is reasonable and sufficient to meet daily system balancing requirements.  It provides a significant level of system flexibility, especially when compared to the level of resources dedicated to system balancing on the PG&amp;E system or other systems such as interstate pipelines.        </w:t>
      </w:r>
    </w:p>
    <w:p>
      <w:pPr>
        <w:pStyle w:val="BodyTextIndent"/>
        <w:spacing w:lineRule="auto" w:line="360"/>
        <w:ind w:firstLine="720" w:start="0" w:end="0"/>
        <w:rPr>
          <w:sz w:val="26"/>
        </w:rPr>
      </w:pPr>
      <w:r>
        <w:rPr>
          <w:sz w:val="26"/>
        </w:rPr>
        <w:t>The proponents of the Post-Interim Settlement would postpone any changes to balancing levels because the just completed BCAP addressed the appropriate level of injection resources for load balancing purposes.  This argument is without merit and is inconsistent with the directives set forth in the Commission’s BCAP decision.  The decision specifically acknowledged that the Commission was reviewing the structure of the gas industry in this proceeding and that changes may be implemented pursuant to this proceeding that could supercede the BCAP decision.  That decision specifically stated that parties would not be bound by the Joint Recommendation for the entire term of the BCAP given the Commission’s Gas Industry Restructuring investigation.  (D.00-04-060, p. 132.)</w:t>
      </w:r>
    </w:p>
    <w:p>
      <w:pPr>
        <w:pStyle w:val="Heading3"/>
        <w:numPr>
          <w:ilvl w:val="2"/>
          <w:numId w:val="2"/>
        </w:numPr>
        <w:rPr>
          <w:rFonts w:ascii="Times New Roman" w:hAnsi="Times New Roman" w:cs="Times New Roman"/>
        </w:rPr>
      </w:pPr>
      <w:bookmarkStart w:id="28" w:name="__RefHeading___Toc487862230"/>
      <w:r>
        <w:rPr>
          <w:rFonts w:cs="Times New Roman" w:ascii="Times New Roman" w:hAnsi="Times New Roman"/>
        </w:rPr>
        <w:t>The Comprehensive Settlement Contains Reasonable Provisions for Self-Balancing</w:t>
      </w:r>
      <w:bookmarkEnd w:id="28"/>
      <w:r>
        <w:rPr>
          <w:rFonts w:cs="Times New Roman" w:ascii="Times New Roman" w:hAnsi="Times New Roman"/>
        </w:rPr>
        <w:t xml:space="preserve"> </w:t>
      </w:r>
    </w:p>
    <w:p>
      <w:pPr>
        <w:pStyle w:val="BodyTextIndent"/>
        <w:spacing w:lineRule="auto" w:line="360"/>
        <w:ind w:firstLine="720" w:start="0" w:end="0"/>
        <w:rPr>
          <w:sz w:val="26"/>
        </w:rPr>
      </w:pPr>
      <w:r>
        <w:rPr>
          <w:sz w:val="26"/>
        </w:rPr>
        <w:t>The Comprehensive Settlement would establish an unbundled daily “Self-Balancing” option, effective April 1, 2001.  (Exhibit 1, pp. 41-46.)  Customers electing this service receive a credit for a portion of the balancing costs that are bundled in rates.  The Self-Balancing option will be available to noncore customers, wholesale customers and CTAs.  To the extent that noncore customers elect self-balancing, a pro-rata share of the default balancing storage assets will be transferred to the at-risk unbundled storage program.  The customers and CTAs that elect self-balancing will receive a credit equal to $0.0159 per decatherm.  The terms and conditions of the self-balancing service are described in detail on pages 43 through 45 of the Comprehensive Settlement.  The self-balancing option is consistent with a similar option recently adopted for PG&amp;E in D.00</w:t>
        <w:noBreakHyphen/>
        <w:t xml:space="preserve">05-049.  SoCalGas’ Gas Acquisition Department will not elect the Self-Balancing option for the term of the settlement agreement.   </w:t>
      </w:r>
    </w:p>
    <w:p>
      <w:pPr>
        <w:pStyle w:val="BodyTextIndent"/>
        <w:spacing w:lineRule="auto" w:line="360"/>
        <w:ind w:firstLine="720" w:start="0" w:end="0"/>
        <w:rPr>
          <w:sz w:val="26"/>
        </w:rPr>
      </w:pPr>
      <w:r>
        <w:rPr>
          <w:sz w:val="26"/>
        </w:rPr>
        <w:t xml:space="preserve">The Self-Balancing provisions of the Comprehensive Settlement are reasonable and should be adopted.  They provide additional flexibility to both customers and marketers that would like the option of managing their own supply and demand requirements on a daily basis.  It would provide a credit equal to a portion of the system balancing costs bundled in transportation rates.  The rejected assets would be allocated to the at-risk unbundled storage program and ultimately SoCalGas will be at-risk for all such costs.  Consequently, this program will have a minimal stranded cost impact on customers, and only until SoCalGas is fully at-risk for all its unbundled storage costs. </w:t>
      </w:r>
    </w:p>
    <w:p>
      <w:pPr>
        <w:pStyle w:val="BodyTextIndent"/>
        <w:spacing w:lineRule="auto" w:line="360"/>
        <w:ind w:firstLine="720" w:start="0" w:end="0"/>
        <w:rPr>
          <w:sz w:val="26"/>
        </w:rPr>
      </w:pPr>
      <w:r>
        <w:rPr>
          <w:sz w:val="26"/>
        </w:rPr>
        <w:t xml:space="preserve">The provision that SoCalGas’ Gas Acquisition Department will not elect the Self-Balancing option is also reasonable.  This is because the Gas Acquisition Department utilizes firm storage injection, inventory, and withdrawal rights for balancing purposes.  From one perspective, the Gas Acquisition Department already self-balances by efficiently utilizing its allocated storage assets for its balancing function in addition to a reliability function.  The core’s storage resources are already being used efficiently and there is no need for a self-balancing option for Gas Acquisition.  </w:t>
      </w:r>
    </w:p>
    <w:p>
      <w:pPr>
        <w:pStyle w:val="Heading2"/>
        <w:numPr>
          <w:ilvl w:val="1"/>
          <w:numId w:val="2"/>
        </w:numPr>
        <w:rPr>
          <w:rFonts w:ascii="Times New Roman" w:hAnsi="Times New Roman" w:cs="Times New Roman"/>
        </w:rPr>
      </w:pPr>
      <w:bookmarkStart w:id="29" w:name="__RefHeading___Toc487862231"/>
      <w:bookmarkEnd w:id="29"/>
      <w:r>
        <w:rPr>
          <w:rFonts w:cs="Times New Roman" w:ascii="Times New Roman" w:hAnsi="Times New Roman"/>
        </w:rPr>
        <w:t>Hub Services</w:t>
      </w:r>
    </w:p>
    <w:p>
      <w:pPr>
        <w:pStyle w:val="BodyText"/>
        <w:rPr>
          <w:rFonts w:ascii="Times New Roman" w:hAnsi="Times New Roman" w:cs="Times New Roman"/>
        </w:rPr>
      </w:pPr>
      <w:r>
        <w:rPr>
          <w:rFonts w:cs="Times New Roman" w:ascii="Times New Roman" w:hAnsi="Times New Roman"/>
        </w:rPr>
        <w:t>In D.99-07-015, the Commission wanted to consider the separation of hub services from the procurement function to eliminate the possibility of conflict of interest affecting the two functions.  Under the Comprehensive Settlement, SoCalGas’ Core Acquisition Department will continue to offer hub services utilizing core assets associated with firm interstate capacity, firm backbone transmission capacity and firm storage capacity reservation.  It will only utilize core assets to provide hub services.  The revenues will continue to be included in the calculation of the GCIM.  (Ex. 1, p. 51.)</w:t>
      </w:r>
    </w:p>
    <w:p>
      <w:pPr>
        <w:pStyle w:val="BodyText"/>
        <w:rPr/>
      </w:pPr>
      <w:r>
        <w:rPr>
          <w:rFonts w:cs="Times New Roman" w:ascii="Times New Roman" w:hAnsi="Times New Roman"/>
        </w:rPr>
        <w:t>The ability to provide hub services allows the core to efficiently utilize core assets and assures the lowest possible cost of gas to retail core procurement customers.  The revenues generated through hub services are allocated through the Purchased Gas Account (PGA) to core customers in the form of lower gas procurement costs.</w:t>
      </w:r>
      <w:r>
        <w:rPr>
          <w:rStyle w:val="FootnoteCharacters"/>
          <w:rStyle w:val="FootnoteReference"/>
          <w:rFonts w:cs="Times New Roman" w:ascii="Times New Roman" w:hAnsi="Times New Roman"/>
          <w:sz w:val="26"/>
        </w:rPr>
        <w:footnoteReference w:id="14"/>
      </w:r>
      <w:r>
        <w:rPr>
          <w:rFonts w:cs="Times New Roman" w:ascii="Times New Roman" w:hAnsi="Times New Roman"/>
        </w:rPr>
        <w:t xml:space="preserve">  In the last GCIM record period of April 1, 1998 through March 31, 1999, SoCalGas generated approximately $7.1 million in hub revenues by providing hub services.</w:t>
      </w:r>
      <w:r>
        <w:rPr>
          <w:rStyle w:val="FootnoteCharacters"/>
          <w:rStyle w:val="FootnoteReference"/>
          <w:rFonts w:cs="Times New Roman" w:ascii="Times New Roman" w:hAnsi="Times New Roman"/>
          <w:sz w:val="26"/>
        </w:rPr>
        <w:footnoteReference w:id="15"/>
      </w:r>
      <w:r>
        <w:rPr>
          <w:rFonts w:cs="Times New Roman" w:ascii="Times New Roman" w:hAnsi="Times New Roman"/>
        </w:rPr>
        <w:t xml:space="preserve">  If the Commission were to eliminate the ability of the Gas Acquisition department to provide hub services, it would increase core procurement rates by foregoing the opportunity to generate hub revenues which lower core procurement costs by up to $7.1 million annually.  (ORA/Pocta, Ex. 4, p. 17.)  The ability to offer hub services and generate hub revenues is a benefit to core procurement customers that the Comprehensive Settlement will retain.  The reasonableness of this provision is attested to by the fact that the Interim Settlement , Post-Interim Settlement, and Comprehensive Settlement all propose to retain the ability of the Gas Acquisition Department’s ability to offer hub services utilizing assets dedicated to the core procurement customers.   </w:t>
      </w:r>
    </w:p>
    <w:p>
      <w:pPr>
        <w:pStyle w:val="BodyText"/>
        <w:rPr>
          <w:rFonts w:ascii="Times New Roman" w:hAnsi="Times New Roman" w:cs="Times New Roman"/>
        </w:rPr>
      </w:pPr>
      <w:r>
        <w:rPr>
          <w:rFonts w:cs="Times New Roman" w:ascii="Times New Roman" w:hAnsi="Times New Roman"/>
        </w:rPr>
        <w:t xml:space="preserve">The Comprehensive Settlement would also allow SoCalGas’ Gas Operations Department to offer hub services by utilizing unbundled storage capacities.  This service would be similar to services offered by PG&amp;E’s California Gas Transportation Market Center.  (Ex. 1, p. 51.)  The Gas Operation Department hub services would essentially compete with the Gas Acquisition Departments’ hub services and similar services offered by other third parties.  Other marketers and entities could also provide competitive hub-type services by subscribing to firm storage, interstate and intrastate capacity.  </w:t>
      </w:r>
    </w:p>
    <w:p>
      <w:pPr>
        <w:pStyle w:val="Heading2"/>
        <w:numPr>
          <w:ilvl w:val="1"/>
          <w:numId w:val="2"/>
        </w:numPr>
        <w:rPr>
          <w:rFonts w:ascii="Times New Roman" w:hAnsi="Times New Roman" w:cs="Times New Roman"/>
        </w:rPr>
      </w:pPr>
      <w:bookmarkStart w:id="30" w:name="__RefHeading___Toc487862232"/>
      <w:bookmarkEnd w:id="30"/>
      <w:r>
        <w:rPr>
          <w:rFonts w:cs="Times New Roman" w:ascii="Times New Roman" w:hAnsi="Times New Roman"/>
        </w:rPr>
        <w:t>Retail Issues</w:t>
      </w:r>
    </w:p>
    <w:p>
      <w:pPr>
        <w:pStyle w:val="BodyText"/>
        <w:rPr/>
      </w:pPr>
      <w:r>
        <w:rPr>
          <w:rFonts w:cs="Times New Roman" w:ascii="Times New Roman" w:hAnsi="Times New Roman"/>
        </w:rPr>
        <w:t>In D.99-07-015 the Commission identified a number of promising options relating to core procurement, revenue cycle services and access to information which affect the provision of retail services to either core or noncore customers or both.  Since the resolution of these issues was negotiated separately from the capacity issues they are addressed together in this section.  The promising options relating to retail services include the following: (1) the elimination of thresholds for participation in the Core Transportation Aggregation Program; (2) the elimination of core subscription services; (3) a re-examination of the utility’s role in core procurement; (4) providing real-time customer specific information and details of completed transactions; (5) providing competitive metering technologies; and (6) providing billing options comparable to those offered in the electric industry.</w:t>
      </w:r>
      <w:r>
        <w:rPr>
          <w:rStyle w:val="FootnoteCharacters"/>
          <w:rStyle w:val="FootnoteReference"/>
          <w:rFonts w:cs="Times New Roman" w:ascii="Times New Roman" w:hAnsi="Times New Roman"/>
        </w:rPr>
        <w:footnoteReference w:id="16"/>
      </w:r>
      <w:r>
        <w:rPr>
          <w:rFonts w:cs="Times New Roman" w:ascii="Times New Roman" w:hAnsi="Times New Roman"/>
        </w:rPr>
        <w:t xml:space="preserve">  As set forth below, the Comprehensive Settlement would implement each of these promising options in a reasonable fashion.  Taken together they will go a long way toward achieving a number of the Commission’s goals including greater participation by smaller customers in the competitive market place, achieving statewide consistency, and complementing the benefits of electric restructuring.</w:t>
      </w:r>
    </w:p>
    <w:p>
      <w:pPr>
        <w:pStyle w:val="Heading3"/>
        <w:numPr>
          <w:ilvl w:val="2"/>
          <w:numId w:val="2"/>
        </w:numPr>
        <w:rPr>
          <w:rFonts w:ascii="Times New Roman" w:hAnsi="Times New Roman" w:cs="Times New Roman"/>
        </w:rPr>
      </w:pPr>
      <w:bookmarkStart w:id="31" w:name="__RefHeading___Toc487862233"/>
      <w:bookmarkEnd w:id="31"/>
      <w:r>
        <w:rPr>
          <w:rFonts w:cs="Times New Roman" w:ascii="Times New Roman" w:hAnsi="Times New Roman"/>
        </w:rPr>
        <w:t>Thresholds for Participation in the Core Transportation Aggregation Program are Eliminated</w:t>
      </w:r>
    </w:p>
    <w:p>
      <w:pPr>
        <w:pStyle w:val="BodyText"/>
        <w:rPr>
          <w:rFonts w:ascii="Times New Roman" w:hAnsi="Times New Roman" w:cs="Times New Roman"/>
        </w:rPr>
      </w:pPr>
      <w:r>
        <w:rPr>
          <w:rFonts w:cs="Times New Roman" w:ascii="Times New Roman" w:hAnsi="Times New Roman"/>
        </w:rPr>
        <w:t>Currently, the SoCalGas and SDG&amp;E CTA programs are subject to a participation cap of 10% by volume.  Actual current participation levels are approximately 4.3% for SoCalGas and 3.8% for SDG&amp;E.  (SoCalGas/Nelson, Ex. 3, p. 10.)  One of the goals of the Comprehensive Settlement is to increase these participation levels through the numerous unbundling provisions which increase the flexibility and options available to core aggregators.  Consistent with this goal and the Commission’s promising options, the settlement proposes to eliminate the cap on participation.</w:t>
      </w:r>
    </w:p>
    <w:p>
      <w:pPr>
        <w:pStyle w:val="Normal"/>
        <w:spacing w:lineRule="auto" w:line="360"/>
        <w:rPr>
          <w:sz w:val="26"/>
        </w:rPr>
      </w:pPr>
      <w:r>
        <w:rPr>
          <w:sz w:val="26"/>
        </w:rPr>
        <w:tab/>
        <w:t>There is also currently a minimum threshold for participation in the program set at 250,000 therms/year.  The settlement would reduce this threshold amount to 120,000 therms per year.  (Ex. 1, p. 53.)  These changes should contribute to an expansion in the program by making it easier for smaller customers to participate.</w:t>
      </w:r>
    </w:p>
    <w:p>
      <w:pPr>
        <w:pStyle w:val="BodyText"/>
        <w:rPr>
          <w:rFonts w:ascii="Times New Roman" w:hAnsi="Times New Roman" w:cs="Times New Roman"/>
        </w:rPr>
      </w:pPr>
      <w:r>
        <w:rPr>
          <w:rFonts w:cs="Times New Roman" w:ascii="Times New Roman" w:hAnsi="Times New Roman"/>
        </w:rPr>
        <w:t>While not identified as a promising option, the settlement would also increase the core brokerage fee to an amount equal to the PG&amp;E brokerage fee thereby contributing to the goal of statewide consistency.  This will also help make the CTA program more attractive since customers taking service from a CTA avoid this cost.</w:t>
      </w:r>
    </w:p>
    <w:p>
      <w:pPr>
        <w:pStyle w:val="Heading3"/>
        <w:numPr>
          <w:ilvl w:val="2"/>
          <w:numId w:val="2"/>
        </w:numPr>
        <w:rPr>
          <w:rFonts w:ascii="Times New Roman" w:hAnsi="Times New Roman" w:cs="Times New Roman"/>
        </w:rPr>
      </w:pPr>
      <w:bookmarkStart w:id="32" w:name="__RefHeading___Toc487862234"/>
      <w:bookmarkEnd w:id="32"/>
      <w:r>
        <w:rPr>
          <w:rFonts w:cs="Times New Roman" w:ascii="Times New Roman" w:hAnsi="Times New Roman"/>
        </w:rPr>
        <w:t>Core Subscription Service is Eliminated</w:t>
      </w:r>
    </w:p>
    <w:p>
      <w:pPr>
        <w:pStyle w:val="BodyTextIndent3"/>
        <w:rPr/>
      </w:pPr>
      <w:r>
        <w:rPr/>
        <w:t>Under the terms of the Gas Accord, core subscription on PG&amp;E’s system will be phased out in March 2001.  In R.98-01-011, ORA recommending phasing out core subscription for SoCalGas as well and the Commission essentially agreed, finding that this was a promising option.  (D.99-07-015, p. 57.)  The Comprehensive Settlement would achieve this objective.</w:t>
      </w:r>
    </w:p>
    <w:p>
      <w:pPr>
        <w:pStyle w:val="BodyTextIndent3"/>
        <w:rPr/>
      </w:pPr>
      <w:r>
        <w:rPr/>
        <w:t>SoCalGas currently has 138 noncore customers participating in the core subscription program.  This represents less than 1% of total noncore load.  (SoCalGas/Nelson, Ex. 3, p. 21.)  Under the terms of the settlement, SoCalGas will cease offering new core subscription contracts by April 1, 2001.  Beginning on the effective date of the settlement, SoCalGas will offer new core subscription contracts for a term that extends no later than July 31, 2001.  All core subscription contracts in effect on April 1, 2001 will remain in effect until the end of the contract life.  After April 1, 2001 core subscription customers must either choose a competitive service provider or take service at core rates. (</w:t>
      </w:r>
      <w:r>
        <w:rPr>
          <w:u w:val="single"/>
        </w:rPr>
        <w:t>Id</w:t>
      </w:r>
      <w:r>
        <w:rPr/>
        <w:t>.)</w:t>
      </w:r>
    </w:p>
    <w:p>
      <w:pPr>
        <w:pStyle w:val="BodyTextIndent3"/>
        <w:rPr/>
      </w:pPr>
      <w:r>
        <w:rPr/>
        <w:t>The provisions outlined above are reasonable, would contribute to statewide consistency and should be adopted.</w:t>
      </w:r>
    </w:p>
    <w:p>
      <w:pPr>
        <w:pStyle w:val="Heading3"/>
        <w:numPr>
          <w:ilvl w:val="2"/>
          <w:numId w:val="2"/>
        </w:numPr>
        <w:rPr>
          <w:rFonts w:ascii="Times New Roman" w:hAnsi="Times New Roman" w:cs="Times New Roman"/>
        </w:rPr>
      </w:pPr>
      <w:bookmarkStart w:id="33" w:name="__RefHeading___Toc487862235"/>
      <w:bookmarkEnd w:id="33"/>
      <w:r>
        <w:rPr>
          <w:rFonts w:cs="Times New Roman" w:ascii="Times New Roman" w:hAnsi="Times New Roman"/>
        </w:rPr>
        <w:t>A Re-examination of the Utility’s Role in Core Procurement is Deferred</w:t>
      </w:r>
    </w:p>
    <w:p>
      <w:pPr>
        <w:pStyle w:val="BodyTextIndent3"/>
        <w:rPr/>
      </w:pPr>
      <w:r>
        <w:rPr/>
        <w:t>The Commission found in D.99-07-015 that elimination of utility’s role in core procurement was not a promising option at present, however, a re-examination of that role would be appropriate when the market share of competitors increases.  The Comprehensive Settlement addresses this issue only to the extent that the parties have agreed to meet and confer on this issue after the Comprehensive Settlement is approved.  If the parties are unable to reach a consensus, SoCalGas and SDG&amp;E will file an application addressing the issue within six months.  (SoCalGas/Nelson, Ex.3, p. 20.)</w:t>
      </w:r>
    </w:p>
    <w:p>
      <w:pPr>
        <w:pStyle w:val="Heading3"/>
        <w:numPr>
          <w:ilvl w:val="2"/>
          <w:numId w:val="2"/>
        </w:numPr>
        <w:rPr>
          <w:rFonts w:ascii="Times New Roman" w:hAnsi="Times New Roman" w:cs="Times New Roman"/>
        </w:rPr>
      </w:pPr>
      <w:bookmarkStart w:id="34" w:name="__RefHeading___Toc487862236"/>
      <w:bookmarkEnd w:id="34"/>
      <w:r>
        <w:rPr>
          <w:rFonts w:cs="Times New Roman" w:ascii="Times New Roman" w:hAnsi="Times New Roman"/>
        </w:rPr>
        <w:t>The Comprehensive Settlement Improves Access to Information</w:t>
      </w:r>
    </w:p>
    <w:p>
      <w:pPr>
        <w:pStyle w:val="BodyTextIndent3"/>
        <w:rPr/>
      </w:pPr>
      <w:r>
        <w:rPr/>
        <w:t>The Commission, in D. 99-07-015, made a number of findings regarding customer  and marketer access to information.  In particular, it found that market participants needed more data regarding the utilities’ transportation and storage services and that information about storage and transmission service capacity would enable market participants to better assess hub services.  It also found that adequate real-time information would improve the ability of market participants to assess the likelihood of an Operational Flow Order as well as their exposure to penalties.  (D.99-07-015, FOF 32-36.)  The Commission further found that a customer’s access to its own real-time consumption data was furthered the goals of increased market efficiency and providing competitive tools.</w:t>
      </w:r>
    </w:p>
    <w:p>
      <w:pPr>
        <w:pStyle w:val="Normal"/>
        <w:spacing w:lineRule="auto" w:line="360"/>
        <w:ind w:firstLine="720" w:end="0"/>
        <w:rPr>
          <w:sz w:val="26"/>
        </w:rPr>
      </w:pPr>
      <w:r>
        <w:rPr>
          <w:sz w:val="26"/>
        </w:rPr>
        <w:t>Consistent with these findings, the Comprehensive Settlement has extensive provisions addressing the access to data by customers and their agents.  (Ex. 1, pp. 64-66.)  The settlement also addresses the reporting requirements for negotiated backbone and storage transmission contracts.  (</w:t>
      </w:r>
      <w:r>
        <w:rPr>
          <w:sz w:val="26"/>
          <w:u w:val="single"/>
        </w:rPr>
        <w:t>Id</w:t>
      </w:r>
      <w:r>
        <w:rPr>
          <w:sz w:val="26"/>
        </w:rPr>
        <w:t>., pp. 66-67.)  These provision were negotiated with input from all market segments and have broad support.  They satisfy the Commission’s concern regarding the need for more information, are reasonable and should be adopted.</w:t>
      </w:r>
      <w:r>
        <w:rPr>
          <w:b/>
          <w:sz w:val="26"/>
        </w:rPr>
        <w:t xml:space="preserve"> </w:t>
      </w:r>
    </w:p>
    <w:p>
      <w:pPr>
        <w:pStyle w:val="Heading3"/>
        <w:numPr>
          <w:ilvl w:val="2"/>
          <w:numId w:val="2"/>
        </w:numPr>
        <w:rPr>
          <w:rFonts w:ascii="Times New Roman" w:hAnsi="Times New Roman" w:cs="Times New Roman"/>
        </w:rPr>
      </w:pPr>
      <w:bookmarkStart w:id="35" w:name="__RefHeading___Toc487862237"/>
      <w:bookmarkEnd w:id="35"/>
      <w:r>
        <w:rPr>
          <w:rFonts w:cs="Times New Roman" w:ascii="Times New Roman" w:hAnsi="Times New Roman"/>
        </w:rPr>
        <w:t>The Comprehensive Settlement Includes a Pilot Meter Ownership Program</w:t>
      </w:r>
    </w:p>
    <w:p>
      <w:pPr>
        <w:pStyle w:val="Normal"/>
        <w:spacing w:lineRule="auto" w:line="360"/>
        <w:rPr/>
      </w:pPr>
      <w:r>
        <w:rPr>
          <w:sz w:val="26"/>
        </w:rPr>
        <w:tab/>
        <w:t>In the rulemaking proceeding, the Commission found that the cost and rate separation of meter reading and servicing was not a promising option largely because of safety concerns.  (D.99-07-015, p. 76.)  At the same time, it noted that it would not be inconsistent with safety concerns “to require the distribution utility to install and subsequently service meters other than those normally provided by the utility.”  (</w:t>
      </w:r>
      <w:r>
        <w:rPr>
          <w:sz w:val="26"/>
          <w:u w:val="single"/>
        </w:rPr>
        <w:t>Id</w:t>
      </w:r>
      <w:r>
        <w:rPr>
          <w:sz w:val="26"/>
        </w:rPr>
        <w:t>.)  The settlement addresses this issue in the following manner.  First, SoCalGas and SDG&amp;E retain the responsibility for installing, reading, removing, servicing and maintaining all meters for the term of the agreement.  Second, both utilities will conduct pilot programs which permit a limited number of customers to own their own gas meters or add-on devices so long as they meet the utilities’ safety standards.</w:t>
      </w:r>
      <w:r>
        <w:rPr>
          <w:rStyle w:val="FootnoteCharacters"/>
          <w:rStyle w:val="FootnoteReference"/>
          <w:sz w:val="26"/>
        </w:rPr>
        <w:footnoteReference w:id="17"/>
      </w:r>
      <w:r>
        <w:rPr>
          <w:sz w:val="26"/>
        </w:rPr>
        <w:t xml:space="preserve">  The meters or add-on devices will electronically provide consumption information to either the customer or supplier.  (SoCalGas/Nelson, Ex. 3, p. 23.)  These provisions of the settlement address the Commission’s promising option for metering services, are reasonable and should be adopted.  The pilot programs will give a limited number of customers the ability to assess the economics of meter ownership and alternative metering technologies.  Both utilities will report on the successfulness of the pilot programs which, in turn, will provide the Commission with useful information for future consideration of this issue.  (ORA/Pocta, Ex. 4, 19.)</w:t>
      </w:r>
    </w:p>
    <w:p>
      <w:pPr>
        <w:pStyle w:val="Heading3"/>
        <w:numPr>
          <w:ilvl w:val="2"/>
          <w:numId w:val="2"/>
        </w:numPr>
        <w:rPr>
          <w:rFonts w:ascii="Times New Roman" w:hAnsi="Times New Roman" w:cs="Times New Roman"/>
        </w:rPr>
      </w:pPr>
      <w:bookmarkStart w:id="36" w:name="__RefHeading___Toc487862238"/>
      <w:bookmarkEnd w:id="36"/>
      <w:r>
        <w:rPr>
          <w:rFonts w:cs="Times New Roman" w:ascii="Times New Roman" w:hAnsi="Times New Roman"/>
        </w:rPr>
        <w:t>The Comprehensive Settlement Provides Billing Options Comparable to Those Available in the Electric Industry</w:t>
      </w:r>
    </w:p>
    <w:p>
      <w:pPr>
        <w:pStyle w:val="BodyText"/>
        <w:rPr/>
      </w:pPr>
      <w:r>
        <w:rPr>
          <w:rFonts w:cs="Times New Roman" w:ascii="Times New Roman" w:hAnsi="Times New Roman"/>
        </w:rPr>
        <w:t>In D.99-07-015, the Commission concluded that it might be appropriate for the natural gas utilities to provide billing options similar to those currently offered on the electric side.  (</w:t>
      </w:r>
      <w:r>
        <w:rPr>
          <w:rFonts w:cs="Times New Roman" w:ascii="Times New Roman" w:hAnsi="Times New Roman"/>
          <w:u w:val="single"/>
        </w:rPr>
        <w:t>Id</w:t>
      </w:r>
      <w:r>
        <w:rPr>
          <w:rFonts w:cs="Times New Roman" w:ascii="Times New Roman" w:hAnsi="Times New Roman"/>
        </w:rPr>
        <w:t xml:space="preserve">. p. 143.)  There are currently some differences between billing requirements in the electric industry as compared to the gas industry.  One difference is that if a CTA performs consolidated billing (the CTA bills for all gas service, procurement and distribution), the utilities (in this case SoCalGas and SDG&amp;E) are </w:t>
      </w:r>
      <w:r>
        <w:br w:type="page"/>
      </w:r>
    </w:p>
    <w:p>
      <w:pPr>
        <w:pStyle w:val="BodyText"/>
        <w:ind w:hanging="0" w:end="0"/>
        <w:rPr>
          <w:rFonts w:ascii="Times New Roman" w:hAnsi="Times New Roman" w:cs="Times New Roman"/>
        </w:rPr>
      </w:pPr>
      <w:r>
        <w:rPr>
          <w:rFonts w:cs="Times New Roman" w:ascii="Times New Roman" w:hAnsi="Times New Roman"/>
        </w:rPr>
        <w:t>required to send the customer an information only bill.  The settlement would eliminate this requirement for those CTAs that perform consolidated billing for their customers.  This is contingent on the CTAs identifying the monthly utility transportation charges and rates on their bill, and required bill inserts with each bill.  The customers of a CTA which performs consolidated billing would receive a billing credit associated with the avoided billing cost.  For SoCalGas, the credit would be $0.78 for residential customers and $1.16 for non-residential customers.</w:t>
      </w:r>
    </w:p>
    <w:p>
      <w:pPr>
        <w:pStyle w:val="BodyText"/>
        <w:rPr>
          <w:rFonts w:ascii="Times New Roman" w:hAnsi="Times New Roman" w:cs="Times New Roman"/>
        </w:rPr>
      </w:pPr>
      <w:r>
        <w:rPr>
          <w:rFonts w:cs="Times New Roman" w:ascii="Times New Roman" w:hAnsi="Times New Roman"/>
        </w:rPr>
        <w:t>The settlement provision for billing credits for SoCalGas is consistent with the policy of providing billing credits to Electric Service Providers (ESPs) in the electric industry.  This policy will assure that CTAs and their customers do not pay the costs associated with utility service which they do not utilize.  If a CTA is performing a billing service for its customers, then its customers should not be paying for such costs in bundled rates.  Billing credits are yet another tool to assist CTAs in efficiently and cost-effectively serving their customers’ needs and increasing market share.  It also removes a market barrier and allows ESPs (that are also CTAs) the ability to provide customers with both electric and natural gas service at a more cost-effective price.  (ORA/Pocta, Ex. 4, p. 18.)</w:t>
      </w:r>
    </w:p>
    <w:p>
      <w:pPr>
        <w:pStyle w:val="Heading1"/>
        <w:numPr>
          <w:ilvl w:val="0"/>
          <w:numId w:val="2"/>
        </w:numPr>
        <w:rPr>
          <w:rFonts w:ascii="Times New Roman" w:hAnsi="Times New Roman" w:cs="Times New Roman"/>
        </w:rPr>
      </w:pPr>
      <w:bookmarkStart w:id="37" w:name="__RefHeading___Toc487862239"/>
      <w:bookmarkEnd w:id="37"/>
      <w:r>
        <w:rPr>
          <w:rFonts w:cs="Times New Roman" w:ascii="Times New Roman" w:hAnsi="Times New Roman"/>
        </w:rPr>
        <w:t>THE NUMEROUS BENEFITS OF THE COMPREHENSIVE SETTLEMENT FAR OUTWEIGH THE COSTS.  THE SETTLEMENT HAS BROAD MARKET SUPPORT, IS IN THE PUBLIC INTEREST AND SHOULD BE ADOPTED WITHOUT CHANGE</w:t>
      </w:r>
    </w:p>
    <w:p>
      <w:pPr>
        <w:pStyle w:val="BodyTextIndent"/>
        <w:spacing w:lineRule="auto" w:line="360"/>
        <w:ind w:firstLine="720" w:start="0" w:end="0"/>
        <w:rPr>
          <w:sz w:val="26"/>
        </w:rPr>
      </w:pPr>
      <w:r>
        <w:rPr>
          <w:sz w:val="26"/>
        </w:rPr>
        <w:t>In determining whether to approve a contested settlement the Commission employs the following standard:</w:t>
      </w:r>
    </w:p>
    <w:p>
      <w:pPr>
        <w:pStyle w:val="Quotation"/>
        <w:rPr>
          <w:rFonts w:ascii="Times New Roman" w:hAnsi="Times New Roman" w:cs="Times New Roman"/>
        </w:rPr>
      </w:pPr>
      <w:r>
        <w:rPr>
          <w:rFonts w:cs="Times New Roman" w:ascii="Times New Roman" w:hAnsi="Times New Roman"/>
        </w:rPr>
        <w:t>(W)e consider whether the settlement taken as a whole is in the public interest. In so doing, we consider individual elements of the settlement in order to determine whether the settlement generally balances the various interests at stake as well as to assure that each element is consistent with our policy objectives and the law.  (D.00-05-049, p. 17.)</w:t>
      </w:r>
    </w:p>
    <w:p>
      <w:pPr>
        <w:pStyle w:val="BodyTextIndent"/>
        <w:spacing w:lineRule="auto" w:line="360"/>
        <w:ind w:firstLine="720" w:start="0" w:end="0"/>
        <w:rPr>
          <w:sz w:val="26"/>
        </w:rPr>
      </w:pPr>
      <w:r>
        <w:rPr>
          <w:sz w:val="26"/>
        </w:rPr>
        <w:t>As noted in earlier sections, each individual element of the settlement is reasonable and consistent with the Commission’s policy objectives and precedent. Given the purpose of this proceeding, another fundamental question which must be answered is whether, on an overall basis, the benefits of implementing the Commission’s promising options outweigh the costs.  Unfortunately, this is not a question which can be answered with scientific precision.  While some of the costs and benefits can be quantified, for example implementation costs and cost allocation impacts, most can not.  What value does one place on increased customer choice?  In the end, the ultimate resolution of this proceeding rests with the Commission’s informed judgement.  As set forth below, it is ORA’s view that the benefits of unbundling as proposed by the Comprehensive Settlement substantially outweigh the costs and that it should be approved without change.</w:t>
      </w:r>
    </w:p>
    <w:p>
      <w:pPr>
        <w:pStyle w:val="Normal"/>
        <w:spacing w:lineRule="auto" w:line="360"/>
        <w:ind w:firstLine="720" w:end="0"/>
        <w:rPr>
          <w:sz w:val="26"/>
        </w:rPr>
      </w:pPr>
      <w:r>
        <w:rPr>
          <w:sz w:val="26"/>
        </w:rPr>
        <w:t>In reviewing the costs and benefits, ORA urges the Commission to maintain a broad perspective and avoid “cherry picking” individual elements of the Settlement.  Negotiated outcomes, by their very nature, always have individual components that can be criticized by someone. In the case of the Comprehensive Settlement, ORA agrees with the observation of Wild Goose witness Amirault that the value of this unbundling package is greater than the sum of its individual parts:</w:t>
      </w:r>
    </w:p>
    <w:p>
      <w:pPr>
        <w:pStyle w:val="Quotation"/>
        <w:rPr>
          <w:rFonts w:ascii="Times New Roman" w:hAnsi="Times New Roman" w:cs="Times New Roman"/>
        </w:rPr>
      </w:pPr>
      <w:r>
        <w:rPr>
          <w:rFonts w:cs="Times New Roman" w:ascii="Times New Roman" w:hAnsi="Times New Roman"/>
        </w:rPr>
        <w:t>The advantages gained by coordinated implementation of the entire range of Promising Options is greater than the sum of the benefits from the implementation of each of the storage and balancing Promising Options, individually.  This is the case because the unbundling of storage and balancing, especially when combined with unbundled transmission, allows customers far greater flexibility in customizing the type and quantity of services they purchase from the utility or other competitors.</w:t>
      </w:r>
    </w:p>
    <w:p>
      <w:pPr>
        <w:pStyle w:val="Quotation"/>
        <w:rPr>
          <w:rFonts w:ascii="Times New Roman" w:hAnsi="Times New Roman" w:cs="Times New Roman"/>
        </w:rPr>
      </w:pPr>
      <w:r>
        <w:rPr>
          <w:rFonts w:cs="Times New Roman" w:ascii="Times New Roman" w:hAnsi="Times New Roman"/>
        </w:rPr>
        <w:t>A customer which uses natural gas in sufficient quantities to ship its own gas or employ the services of a marketer to do so will attempt to optimize its gas supply arrangements to achieve the lowest possible cost while obtaining an adequate degree of reliability of supply and the necessary amount of flexibility in modifying supply arrangements.  These criteria may result in a different optimal solution for any given customer.  The unbundling of storage and balancing, when combined with the unbundling of the gas commodity (already implemented for both core and noncore customers) and unbundled transmission services (already unbundled for noncore interstate transmission, and the remainder of intrastate transmission services for both core and noncore are unbundled by the Comprehensive Settlement), provide customers with ability to individually contract for the full array of gas supply services from either the utility or competitive suppliers.  If only two or three of these essential elements of natural gas service were fully unbundled, customers would not be able to customize a complete package of gas services to meet their requirements and would by default have to rely on bundled services for a portion of their gas service requirements.  This rigid, “one size fits all” regulatory structure can impose unwanted, duplicative, and costly services on SoCalGas customers.  (Wild Goose/Amirault, Ex. 5, p. 3.)</w:t>
      </w:r>
    </w:p>
    <w:p>
      <w:pPr>
        <w:pStyle w:val="BodyTextIndent3"/>
        <w:rPr/>
      </w:pPr>
      <w:r>
        <w:rPr/>
        <w:t>Set forth below, in summary format, are the many benefits, both quantitative and qualitative, that support approval of the Comprehensive Settlement.  As will be seen, the benefits far outweigh the costs, both real and speculative, that have been identified on this record.</w:t>
      </w:r>
    </w:p>
    <w:p>
      <w:pPr>
        <w:pStyle w:val="Normal"/>
        <w:spacing w:lineRule="auto" w:line="360"/>
        <w:rPr>
          <w:b/>
          <w:sz w:val="26"/>
          <w:u w:val="single"/>
        </w:rPr>
      </w:pPr>
      <w:r>
        <w:rPr>
          <w:b/>
          <w:sz w:val="26"/>
          <w:u w:val="single"/>
        </w:rPr>
        <w:t>Overall Benefits</w:t>
      </w:r>
    </w:p>
    <w:p>
      <w:pPr>
        <w:pStyle w:val="Normal"/>
        <w:numPr>
          <w:ilvl w:val="0"/>
          <w:numId w:val="5"/>
        </w:numPr>
        <w:tabs>
          <w:tab w:val="clear" w:pos="720"/>
        </w:tabs>
        <w:spacing w:before="0" w:after="120"/>
        <w:ind w:hanging="360" w:start="1080" w:end="720"/>
        <w:rPr>
          <w:sz w:val="26"/>
        </w:rPr>
      </w:pPr>
      <w:r>
        <w:rPr>
          <w:sz w:val="26"/>
        </w:rPr>
        <w:t>The settlement would implement a major restructuring of southern California’s natural gas market without any significant cost allocation impact on any single class.</w:t>
      </w:r>
    </w:p>
    <w:p>
      <w:pPr>
        <w:pStyle w:val="Normal"/>
        <w:numPr>
          <w:ilvl w:val="0"/>
          <w:numId w:val="6"/>
        </w:numPr>
        <w:tabs>
          <w:tab w:val="clear" w:pos="720"/>
        </w:tabs>
        <w:spacing w:before="0" w:after="120"/>
        <w:ind w:hanging="360" w:start="1080" w:end="720"/>
        <w:rPr>
          <w:sz w:val="26"/>
        </w:rPr>
      </w:pPr>
      <w:r>
        <w:rPr>
          <w:sz w:val="26"/>
        </w:rPr>
        <w:t>The settlement provides a comprehensive response to, and is consistent with the promising options identified in D. 99-07-015.</w:t>
      </w:r>
    </w:p>
    <w:p>
      <w:pPr>
        <w:pStyle w:val="Normal"/>
        <w:numPr>
          <w:ilvl w:val="0"/>
          <w:numId w:val="5"/>
        </w:numPr>
        <w:tabs>
          <w:tab w:val="clear" w:pos="720"/>
        </w:tabs>
        <w:spacing w:before="0" w:after="120"/>
        <w:ind w:hanging="360" w:start="1080" w:end="720"/>
        <w:rPr>
          <w:sz w:val="26"/>
        </w:rPr>
      </w:pPr>
      <w:r>
        <w:rPr>
          <w:sz w:val="26"/>
        </w:rPr>
        <w:t>The settlement will result in statewide consistency in the gas transportation market thereby reducing transaction costs for entities doing business in both northern and southern California.</w:t>
      </w:r>
    </w:p>
    <w:p>
      <w:pPr>
        <w:pStyle w:val="Normal"/>
        <w:numPr>
          <w:ilvl w:val="0"/>
          <w:numId w:val="5"/>
        </w:numPr>
        <w:tabs>
          <w:tab w:val="clear" w:pos="720"/>
        </w:tabs>
        <w:spacing w:before="0" w:after="120"/>
        <w:ind w:hanging="360" w:start="1080" w:end="720"/>
        <w:rPr>
          <w:sz w:val="26"/>
        </w:rPr>
      </w:pPr>
      <w:r>
        <w:rPr>
          <w:sz w:val="26"/>
        </w:rPr>
        <w:t>SoCalGas would be placed at risk for both backbone transmission and storage thereby eliminating any potential for cross-subsidization.</w:t>
      </w:r>
    </w:p>
    <w:p>
      <w:pPr>
        <w:pStyle w:val="Normal"/>
        <w:numPr>
          <w:ilvl w:val="0"/>
          <w:numId w:val="5"/>
        </w:numPr>
        <w:tabs>
          <w:tab w:val="clear" w:pos="720"/>
        </w:tabs>
        <w:spacing w:before="0" w:after="120"/>
        <w:ind w:hanging="360" w:start="1080" w:end="720"/>
        <w:rPr>
          <w:sz w:val="26"/>
        </w:rPr>
      </w:pPr>
      <w:r>
        <w:rPr>
          <w:sz w:val="26"/>
        </w:rPr>
        <w:t>Implementation of an embedded costs regime for transmission and storage and resolution of cost allocation issues associated with ITCS and the unbundling of core interstate capacity will preserve scare resources by significantly simplifying future cost allocation proceedings.</w:t>
      </w:r>
    </w:p>
    <w:p>
      <w:pPr>
        <w:pStyle w:val="Normal"/>
        <w:numPr>
          <w:ilvl w:val="0"/>
          <w:numId w:val="5"/>
        </w:numPr>
        <w:tabs>
          <w:tab w:val="clear" w:pos="720"/>
        </w:tabs>
        <w:spacing w:before="0" w:after="120"/>
        <w:ind w:hanging="360" w:start="1080" w:end="720"/>
        <w:rPr>
          <w:sz w:val="26"/>
        </w:rPr>
      </w:pPr>
      <w:r>
        <w:rPr>
          <w:sz w:val="26"/>
        </w:rPr>
        <w:t>The settlement also provides price certainty with respect to transmission and storage. Among other things, this should encourage the development of new electric generation capacity.</w:t>
      </w:r>
    </w:p>
    <w:p>
      <w:pPr>
        <w:pStyle w:val="Normal"/>
        <w:numPr>
          <w:ilvl w:val="0"/>
          <w:numId w:val="5"/>
        </w:numPr>
        <w:tabs>
          <w:tab w:val="clear" w:pos="720"/>
        </w:tabs>
        <w:spacing w:before="0" w:after="120"/>
        <w:ind w:hanging="360" w:start="1080" w:end="720"/>
        <w:rPr>
          <w:sz w:val="26"/>
        </w:rPr>
      </w:pPr>
      <w:r>
        <w:rPr>
          <w:sz w:val="26"/>
        </w:rPr>
        <w:t>The changes in billing services, including bill credits for CTAs providing billing services, complement the options currently available on the electric side.</w:t>
      </w:r>
    </w:p>
    <w:p>
      <w:pPr>
        <w:pStyle w:val="Normal"/>
        <w:spacing w:lineRule="auto" w:line="360"/>
        <w:rPr>
          <w:b/>
          <w:sz w:val="26"/>
          <w:u w:val="single"/>
        </w:rPr>
      </w:pPr>
      <w:r>
        <w:rPr>
          <w:b/>
          <w:sz w:val="26"/>
          <w:u w:val="single"/>
        </w:rPr>
        <w:t>Core Benefits</w:t>
      </w:r>
    </w:p>
    <w:p>
      <w:pPr>
        <w:pStyle w:val="Normal"/>
        <w:numPr>
          <w:ilvl w:val="0"/>
          <w:numId w:val="5"/>
        </w:numPr>
        <w:tabs>
          <w:tab w:val="clear" w:pos="720"/>
        </w:tabs>
        <w:spacing w:before="0" w:after="120"/>
        <w:ind w:hanging="360" w:start="1080" w:end="720"/>
        <w:rPr>
          <w:sz w:val="26"/>
        </w:rPr>
      </w:pPr>
      <w:r>
        <w:rPr>
          <w:sz w:val="26"/>
        </w:rPr>
        <w:t>Core customers would actually experience a rate decrease largely as a result of a reduced storage reservation, elimination of the core’s responsibility for ITCS costs and placing SoCalGas fully at risk for stranded storage costs.</w:t>
      </w:r>
    </w:p>
    <w:p>
      <w:pPr>
        <w:pStyle w:val="Normal"/>
        <w:numPr>
          <w:ilvl w:val="0"/>
          <w:numId w:val="5"/>
        </w:numPr>
        <w:tabs>
          <w:tab w:val="clear" w:pos="720"/>
        </w:tabs>
        <w:spacing w:before="0" w:after="120"/>
        <w:ind w:hanging="360" w:start="1080" w:end="720"/>
        <w:rPr>
          <w:sz w:val="26"/>
        </w:rPr>
      </w:pPr>
      <w:r>
        <w:rPr>
          <w:sz w:val="26"/>
        </w:rPr>
        <w:t>Core customers will also realize costs savings as a result of a favorable reservation of valuable receipt point capacity at Topock which provides access to low cost southwest gas supplies.</w:t>
      </w:r>
    </w:p>
    <w:p>
      <w:pPr>
        <w:pStyle w:val="Normal"/>
        <w:numPr>
          <w:ilvl w:val="0"/>
          <w:numId w:val="5"/>
        </w:numPr>
        <w:tabs>
          <w:tab w:val="clear" w:pos="720"/>
        </w:tabs>
        <w:spacing w:before="0" w:after="120"/>
        <w:ind w:hanging="360" w:start="1080" w:end="720"/>
        <w:rPr>
          <w:sz w:val="26"/>
        </w:rPr>
      </w:pPr>
      <w:r>
        <w:rPr>
          <w:sz w:val="26"/>
        </w:rPr>
        <w:t>The core also benefits from the increased flexibility associated with the ability to annually revise its capacity reservations and to purchase gas at the city-gate. These tools will allow the core to optimize its capacity holdings in response to changes in the core transportation only program.</w:t>
      </w:r>
    </w:p>
    <w:p>
      <w:pPr>
        <w:pStyle w:val="Normal"/>
        <w:numPr>
          <w:ilvl w:val="0"/>
          <w:numId w:val="5"/>
        </w:numPr>
        <w:tabs>
          <w:tab w:val="clear" w:pos="720"/>
        </w:tabs>
        <w:spacing w:before="0" w:after="120"/>
        <w:ind w:hanging="360" w:start="1080" w:end="720"/>
        <w:rPr>
          <w:sz w:val="26"/>
        </w:rPr>
      </w:pPr>
      <w:r>
        <w:rPr>
          <w:sz w:val="26"/>
        </w:rPr>
        <w:t>The unbundling of interstate capacity, storage and intrastate transportation will provide the opportunity for greater competition in the core market and increased participation in the core transportation only program.</w:t>
      </w:r>
    </w:p>
    <w:p>
      <w:pPr>
        <w:pStyle w:val="BodyText"/>
        <w:spacing w:before="120" w:after="0"/>
        <w:rPr>
          <w:rFonts w:ascii="Times New Roman" w:hAnsi="Times New Roman" w:cs="Times New Roman"/>
        </w:rPr>
      </w:pPr>
      <w:r>
        <w:rPr>
          <w:rFonts w:cs="Times New Roman" w:ascii="Times New Roman" w:hAnsi="Times New Roman"/>
        </w:rPr>
        <w:t xml:space="preserve">It is against these numerous benefits that the costs of restructuring must be weighed. The direct costs that have been identified include implementation costs and any incremental transaction costs associated with further unbundling.  The risk of potential adverse consequences can also be viewed as a risk.  As discussed at length in previous sections, the potential adverse consequences identified by opponents of the Comprehensive Settlement include the risk that marketers will not pass on cost savings to consumers, the risk that the rate design provisions will place inefficient, low load factor, electric generators in a price squeeze and threaten electric reliability, the risk that core costs will increase, the risk that intrastate capacity will become concentrated in the hands of a few market participants and finally, the risk that SoCalGas will abuse its pricing flexibility. </w:t>
      </w:r>
    </w:p>
    <w:p>
      <w:pPr>
        <w:pStyle w:val="BodyText"/>
        <w:rPr/>
      </w:pPr>
      <w:r>
        <w:rPr>
          <w:rFonts w:cs="Times New Roman" w:ascii="Times New Roman" w:hAnsi="Times New Roman"/>
        </w:rPr>
        <w:t xml:space="preserve">In the overall scheme of things, the $2 million in annual implementation costs for the capacity provisions of the settlement are fairly insignificant.  Approximately half of these costs are associated with the provisions of the Interim Settlement which are incorporated into the Comprehensive Settlement. The remainder of the costs are necessary to provide open seasons, secondary market trading, city-gate pooling, storage unbundling and interstate capacity unbundling.  These costs are minimal as compared to the costs incurred during electric restructuring which the utilities were allowed to recover. </w:t>
      </w:r>
      <w:r>
        <w:rPr>
          <w:rFonts w:cs="Times New Roman" w:ascii="Times New Roman" w:hAnsi="Times New Roman"/>
          <w:b/>
        </w:rPr>
        <w:t xml:space="preserve"> </w:t>
      </w:r>
      <w:r>
        <w:rPr>
          <w:rFonts w:cs="Times New Roman" w:ascii="Times New Roman" w:hAnsi="Times New Roman"/>
        </w:rPr>
        <w:t>In ORA’s view, these costs are reasonable and should in no way serve as an impediment to adoption of the settlement.</w:t>
      </w:r>
    </w:p>
    <w:p>
      <w:pPr>
        <w:pStyle w:val="BodyText"/>
        <w:rPr>
          <w:rFonts w:ascii="Times New Roman" w:hAnsi="Times New Roman" w:cs="Times New Roman"/>
        </w:rPr>
      </w:pPr>
      <w:r>
        <w:rPr>
          <w:rFonts w:cs="Times New Roman" w:ascii="Times New Roman" w:hAnsi="Times New Roman"/>
        </w:rPr>
        <w:t>While much has also been made on this record regarding the incremental transaction costs associated with further unbundling, there has been no attempt to quantify these costs. While these costs may be real, they did not prevent the Commission from approving the PG&amp;E Gas Accord and they should not be an impediment here. Indeed, approval of the Comprehensive Settlement may actually reduce transaction costs for those marketers, customers and electric generators doing business in both northern and southern California since they currently must deal with two widely divergent regulatory structures.  (Enron/Dasovich, Ex. 15, p. 3.)</w:t>
      </w:r>
    </w:p>
    <w:p>
      <w:pPr>
        <w:pStyle w:val="BodyText"/>
        <w:rPr>
          <w:rFonts w:ascii="Times New Roman" w:hAnsi="Times New Roman" w:cs="Times New Roman"/>
        </w:rPr>
      </w:pPr>
      <w:r>
        <w:rPr>
          <w:rFonts w:cs="Times New Roman" w:ascii="Times New Roman" w:hAnsi="Times New Roman"/>
        </w:rPr>
        <w:t>The TURN/Aglet/SCGC argument that core costs will increase as a result of the increased flexibility provided SoCalGas’ Gas Procurement Department (TURN/Aglet/SCGC, Ex. 102, p. 25) is based upon little more than speculation. There is no evidence that the firm intrastate and storage rights reserved for PG&amp;E’s core procurement department as a result of the Gas Accord has had any adverse consequence. ORA is confident that SoCalGas’ GCIM, with minor modifications to reflect the changes embodied in the Comprehensive Settlement, will continue to give SoCalGas sufficient incentive to optimize operations, at the lowest possible cost, on behalf of the core.  (ORA/Pocta, Tr. Vol. 8, pp. 946, 950, 951.)</w:t>
      </w:r>
    </w:p>
    <w:p>
      <w:pPr>
        <w:pStyle w:val="Normal"/>
        <w:spacing w:lineRule="auto" w:line="360"/>
        <w:ind w:firstLine="720" w:end="0"/>
        <w:rPr>
          <w:b/>
          <w:sz w:val="26"/>
        </w:rPr>
      </w:pPr>
      <w:r>
        <w:rPr>
          <w:sz w:val="26"/>
        </w:rPr>
        <w:t xml:space="preserve">The Commission will undoubtedly pay particular attention to the argument that the rate design provisions of the Comprehensive Settlement could ultimately threaten reliability by placing a “price squeeze” on low load factor electric generators.  In short, with excess capacity on the SoCalGas system, capacity will be available to EGs in order to meet their gas demand under the Comprehensive Settlement.  As noted earlier, the argument is based upon a worst case analysis which significantly overstates the potential costs associated with the rate design while simultaneously understating the benefits in the form of the numerous tools available to electric generators to manage their load.  The TURN/Aglet/SCGC argument would be considerably more compelling if it weren’t for the fact that the Comprehensive Settlement has broad support from electric generators in southern California.  This should give the Commission considerable assurance that the rate design provisions of the settlement are, in fact, a reasonable means of balancing the increased risk faced by SoCalGas’ shareholders with customer needs, including the needs of electric generators. </w:t>
      </w:r>
    </w:p>
    <w:p>
      <w:pPr>
        <w:pStyle w:val="BodyText"/>
        <w:rPr>
          <w:rFonts w:ascii="Times New Roman" w:hAnsi="Times New Roman" w:cs="Times New Roman"/>
        </w:rPr>
      </w:pPr>
      <w:r>
        <w:rPr>
          <w:rFonts w:cs="Times New Roman" w:ascii="Times New Roman" w:hAnsi="Times New Roman"/>
        </w:rPr>
        <w:t>The remaining risks, a failure by marketers to pass on cost savings, concentration of capacity in the hands of a few, and abuse by the utility of pricing flexibility, are all the inevitable consequence of relaxing the reins of regulation to increase customer choice and give competition a chance.  In theory, marketers could elect not to pass cost savings on to their customers. However, if competition actually works, this should not occur.  Nonetheless, interruptible capacity should always be available on the SoCalGas system at certain receipt points.  The experience under the Gas Accord is that there have been real savings as a result of the new city-gate market and the same can be expected from the Comprehensive Settlement.</w:t>
      </w:r>
    </w:p>
    <w:p>
      <w:pPr>
        <w:pStyle w:val="BodyText"/>
        <w:rPr>
          <w:rFonts w:ascii="Times New Roman" w:hAnsi="Times New Roman" w:cs="Times New Roman"/>
          <w:b/>
        </w:rPr>
      </w:pPr>
      <w:r>
        <w:rPr>
          <w:rFonts w:cs="Times New Roman" w:ascii="Times New Roman" w:hAnsi="Times New Roman"/>
        </w:rPr>
        <w:t>Concentration of capacity in the hands of too few market participants is also a possibility. The Comprehensive Settlement improves on the Gas Accord by placing a 40% cap on the open season process. However, there is nothing to prevent concentration from occurring through unregulated secondary transactions.  But this would require customers to assign their capacity rights to marketers, which would require some monetary or other consideration.  The Comprehensive Settlement’s open season provisions encourage the viable competitive market that the Commission envisioned in its most promising options.  In any event, the potential risk of market concentration is no different than that which accompanied the unbundling of interstate capacity for the noncore. As was the case there, the Commission needs to monitor the market place and take appropriate steps if a problem materializes.  (</w:t>
      </w:r>
      <w:r>
        <w:rPr>
          <w:rFonts w:cs="Times New Roman" w:ascii="Times New Roman" w:hAnsi="Times New Roman"/>
          <w:u w:val="single"/>
        </w:rPr>
        <w:t>Re Natural Gas Procurement and Reliability Issues</w:t>
      </w:r>
      <w:r>
        <w:rPr>
          <w:rFonts w:cs="Times New Roman" w:ascii="Times New Roman" w:hAnsi="Times New Roman"/>
        </w:rPr>
        <w:t>, (D.91-11-025) 41 CPUC 2d 668, 703.)</w:t>
      </w:r>
    </w:p>
    <w:p>
      <w:pPr>
        <w:pStyle w:val="Normal"/>
        <w:spacing w:lineRule="auto" w:line="360"/>
        <w:rPr/>
      </w:pPr>
      <w:r>
        <w:rPr>
          <w:b/>
          <w:sz w:val="26"/>
        </w:rPr>
        <w:tab/>
      </w:r>
      <w:r>
        <w:rPr>
          <w:sz w:val="26"/>
        </w:rPr>
        <w:t xml:space="preserve">Finally, there is the allegation that SoCalGas has too much discretion in pricing its storage capacity.  There are several factors which mitigate against any potential for abuse.  First, customers can acquire storage annually in the open seasons on an embedded cost basis.  Second, under the current storage program, SoCalGas has had to actually discount its storage services in order to market it. This is likely to continue as long as there is an excess of interstate capacity which always serves as a substitute to storage. </w:t>
      </w:r>
      <w:r>
        <w:rPr>
          <w:b/>
          <w:sz w:val="26"/>
        </w:rPr>
        <w:t xml:space="preserve"> </w:t>
      </w:r>
      <w:r>
        <w:rPr>
          <w:sz w:val="26"/>
        </w:rPr>
        <w:t>Third, customers can also obtain storage through the secondary market.  Fourth, and last, the existence of independent storage providers in the form of Wild Goose and Lodi Gas Storage places an effective cap on what SoCalGas can charge for its storage services.  Taken together, these factors significantly mitigate any potential for abuse by the utility.  Under these circumstances, granting SoCalGas unlimited pricing discretion in return for assuming all of the risk for unbundled storage is reasonable and consistent with the legislative findings in AB 2744 encouraging the development of a competitive market for storage services in California.</w:t>
      </w:r>
    </w:p>
    <w:p>
      <w:pPr>
        <w:pStyle w:val="Normal"/>
        <w:spacing w:lineRule="auto" w:line="360"/>
        <w:rPr>
          <w:sz w:val="26"/>
        </w:rPr>
      </w:pPr>
      <w:r>
        <w:rPr>
          <w:sz w:val="26"/>
        </w:rPr>
        <w:tab/>
        <w:t>In conclusion, the numerous benefits associated with the Comprehensive Settlement, including increased customer choice, the establishment of a city-gate market and enhancement of the core transportation program, outweigh the costs and potential risks identified on this record.  The Comprehensive Settlement implements each of the Commission’s promising options in a reasonable fashion, is in the public interest and should be adopted without change.</w:t>
      </w:r>
    </w:p>
    <w:p>
      <w:pPr>
        <w:pStyle w:val="Heading1"/>
        <w:numPr>
          <w:ilvl w:val="0"/>
          <w:numId w:val="2"/>
        </w:numPr>
        <w:rPr>
          <w:rFonts w:ascii="Times New Roman" w:hAnsi="Times New Roman" w:cs="Times New Roman"/>
        </w:rPr>
      </w:pPr>
      <w:bookmarkStart w:id="38" w:name="__RefHeading___Toc487862240"/>
      <w:bookmarkEnd w:id="38"/>
      <w:r>
        <w:rPr>
          <w:rFonts w:cs="Times New Roman" w:ascii="Times New Roman" w:hAnsi="Times New Roman"/>
        </w:rPr>
        <w:t>THE POST-INTERIM SETTLEMENT DOES LITTLE MORE THAN PRESERVE THE STATUS QUO AND SHOULD BE REJECTED</w:t>
      </w:r>
    </w:p>
    <w:p>
      <w:pPr>
        <w:pStyle w:val="Normal"/>
        <w:spacing w:lineRule="auto" w:line="360"/>
        <w:rPr/>
      </w:pPr>
      <w:r>
        <w:rPr>
          <w:sz w:val="26"/>
        </w:rPr>
        <w:tab/>
        <w:t>The Post-Interim Settlement sponsored by TURN, Aglet and SCGC accomplishes very little in the way of structural change to the gas transportation system in southern California.  While it would eliminate SoCalGas’ current windowing procedure, as does the Comprehensive Settlement, there would be no additional unbundling of intrastate transportation, storage or balancing services.</w:t>
      </w:r>
      <w:r>
        <w:rPr>
          <w:rStyle w:val="FootnoteCharacters"/>
          <w:rStyle w:val="FootnoteReference"/>
          <w:sz w:val="26"/>
        </w:rPr>
        <w:footnoteReference w:id="18"/>
      </w:r>
      <w:r>
        <w:rPr>
          <w:sz w:val="26"/>
        </w:rPr>
        <w:t xml:space="preserve">  This settlement should be rejected for the simple reason that it flies in the face of one of the major goals that has guided this proceeding for the past two years:</w:t>
      </w:r>
    </w:p>
    <w:p>
      <w:pPr>
        <w:pStyle w:val="Quotation"/>
        <w:rPr>
          <w:rFonts w:ascii="Times New Roman" w:hAnsi="Times New Roman" w:cs="Times New Roman"/>
        </w:rPr>
      </w:pPr>
      <w:r>
        <w:rPr>
          <w:rFonts w:cs="Times New Roman" w:ascii="Times New Roman" w:hAnsi="Times New Roman"/>
        </w:rPr>
        <w:t>(T)o enhance competition by providing separate rates for each major component of utility service and allowing customers to choose to have other firms substitute their services and charges where appropriate.  (D. 99-07-015, p. 9.)</w:t>
      </w:r>
    </w:p>
    <w:p>
      <w:pPr>
        <w:pStyle w:val="Normal"/>
        <w:spacing w:lineRule="auto" w:line="360"/>
        <w:rPr>
          <w:sz w:val="26"/>
        </w:rPr>
      </w:pPr>
      <w:r>
        <w:rPr>
          <w:sz w:val="26"/>
        </w:rPr>
        <w:t>This goal was first stated in D.98-03-030.  It was repeated again in the promising options decision, D.99-07-015, and it was restated most recently in D.00-05-049 approving the Comprehensive Settlement on the promising options for the PG&amp;E system.  The Post-Interim Settlement rejects this goal.  Instead, it would maintain a bundled transportation system in southern California through September 2006, effectively tying the Commission’s hands for the next six years.  By contrast, the Comprehensive Settlement furthers this goal by providing customers with a system of defined capacity rights.  As noted by SoCalGas witness Lorenz:</w:t>
      </w:r>
    </w:p>
    <w:p>
      <w:pPr>
        <w:pStyle w:val="Quotation"/>
        <w:rPr>
          <w:rFonts w:ascii="Times New Roman" w:hAnsi="Times New Roman" w:cs="Times New Roman"/>
        </w:rPr>
      </w:pPr>
      <w:r>
        <w:rPr>
          <w:rFonts w:cs="Times New Roman" w:ascii="Times New Roman" w:hAnsi="Times New Roman"/>
        </w:rPr>
        <w:t>A system of defined rights provides certainty through the gas scheduling and delivery process that does exist today, thus increasing reliability and reducing costs.  A system of defined rights increases customer choice and allows the tailoring of services to meet individual needs of diverse customers.  A system of defined rights provides trading opportunities that increases competition, increases flexibility, increases efficiency and reduces costs.  For all these reasons, a restructured system of defined rights will benefit customers and meet their needs.  (SoCalGas/Lorenz, Ex. 14, p. 3.)</w:t>
      </w:r>
    </w:p>
    <w:p>
      <w:pPr>
        <w:pStyle w:val="Normal"/>
        <w:spacing w:lineRule="auto" w:line="360"/>
        <w:rPr>
          <w:sz w:val="26"/>
        </w:rPr>
      </w:pPr>
      <w:r>
        <w:rPr>
          <w:sz w:val="26"/>
        </w:rPr>
        <w:t>The Comprehensive Settlement and the Post-Interim Settlement present the Commission with a clear choice on this basic policy question.  ORA recommends that the Commission reaffirm the goal of enhancing competition and increasing customer choice by approving the Comprehensive Settlement and rejecting the Post-Interim Settlement.</w:t>
      </w:r>
    </w:p>
    <w:p>
      <w:pPr>
        <w:pStyle w:val="Normal"/>
        <w:spacing w:lineRule="auto" w:line="360"/>
        <w:rPr/>
      </w:pPr>
      <w:r>
        <w:rPr>
          <w:sz w:val="26"/>
        </w:rPr>
        <w:tab/>
        <w:t xml:space="preserve">There are numerous other fundamental problems with Post-Interim Settlement.  First, by maintaining the status quo the Post-Interim Settlement thwarts the promising option of statewide consistency leaving electric generators, marketers and other entities doing business throughout the state with two divergent gas transportation systems: one with a system of firm backbone rights and a vibrant city-gate market and one with a bundled transportation rate and a market at the California border.  This is inconsistent with the current </w:t>
      </w:r>
      <w:r>
        <w:rPr>
          <w:sz w:val="26"/>
          <w:u w:val="single"/>
        </w:rPr>
        <w:t>statewide</w:t>
      </w:r>
      <w:r>
        <w:rPr>
          <w:sz w:val="26"/>
        </w:rPr>
        <w:t xml:space="preserve"> market for electricity.  It also imposes additional transactions costs on businesses dealing with two distinct transportation systems.</w:t>
      </w:r>
    </w:p>
    <w:p>
      <w:pPr>
        <w:pStyle w:val="Normal"/>
        <w:spacing w:lineRule="auto" w:line="360"/>
        <w:ind w:firstLine="720" w:end="0"/>
        <w:rPr>
          <w:sz w:val="26"/>
        </w:rPr>
      </w:pPr>
      <w:r>
        <w:rPr>
          <w:sz w:val="26"/>
        </w:rPr>
        <w:t>The Comprehensive Settlement provides rate certainty throughout the settlement period.  By contrast, the Post-Interim Settlement fosters rate uncertainty by maintaining the current long-run marginal cost methodology for allocating transportation costs.  In this environment, parties will continue to battle over the intricacies of gas resource plans and marginal cost allocation issues.  The certainty provided by the fixed embedded cost rates for transmission and storage contained in the Comprehensive Settlement is the preferable outcome and is one of the reasons the Comprehensive Settlement has such broad support.  (See IEG/Beach, Ex. 5, pp. 3-4.)</w:t>
      </w:r>
    </w:p>
    <w:p>
      <w:pPr>
        <w:pStyle w:val="Normal"/>
        <w:spacing w:lineRule="auto" w:line="360"/>
        <w:ind w:firstLine="720" w:end="0"/>
        <w:rPr>
          <w:sz w:val="26"/>
        </w:rPr>
      </w:pPr>
      <w:r>
        <w:rPr>
          <w:sz w:val="26"/>
        </w:rPr>
        <w:t>The Post-Interim also fails to go far enough in encouraging the expansion of the core transportation program. The promising options decision noted the small level of participation in the core transportation program.  It concluded that further unbundling might encourage an expansion of the program:</w:t>
      </w:r>
    </w:p>
    <w:p>
      <w:pPr>
        <w:pStyle w:val="Quotation"/>
        <w:rPr>
          <w:rFonts w:ascii="Times New Roman" w:hAnsi="Times New Roman" w:cs="Times New Roman"/>
        </w:rPr>
      </w:pPr>
      <w:r>
        <w:rPr>
          <w:rFonts w:cs="Times New Roman" w:ascii="Times New Roman" w:hAnsi="Times New Roman"/>
        </w:rPr>
        <w:t>The problem is not so much in core procurement itself, but in other areas of the gas delivery system.  It is possible that if we make modifications to the gas industry structure in California to allow competition all along the “value chain,” or along substantial portions, this may allow a greater degree of competition for core procurement customers, too.  (D.99</w:t>
        <w:noBreakHyphen/>
        <w:t>07</w:t>
        <w:noBreakHyphen/>
        <w:t>015, p. 52.)</w:t>
      </w:r>
    </w:p>
    <w:p>
      <w:pPr>
        <w:pStyle w:val="Normal"/>
        <w:spacing w:lineRule="auto" w:line="360"/>
        <w:rPr>
          <w:sz w:val="26"/>
        </w:rPr>
      </w:pPr>
      <w:r>
        <w:rPr>
          <w:sz w:val="26"/>
        </w:rPr>
        <w:t>The limited changes proposed by the Post-Interim Settlement in the area of storage unbundling for CTAs will do very little in the way of encouraging an increase in competition in the core procurement market.  The Comprehensive Settlement’s unbundling of the “value chain” for transportation, storage and balancing services goes much farther.  The unbundling provisions of Post-Interim Settlement provide a potential savings to CTAs in the amount $0.03/Dth while the Comprehensive Settlement provides a potential savings of up to $0.097/Dth.  (SoCalGas/Lorenz, Ex. 14, p. 2.)  The Comprehensive Settlement is clearly preferable in terms of encouraging an increasing level of competition in the core procurement market.</w:t>
      </w:r>
    </w:p>
    <w:p>
      <w:pPr>
        <w:pStyle w:val="Normal"/>
        <w:spacing w:lineRule="auto" w:line="360"/>
        <w:rPr>
          <w:sz w:val="26"/>
        </w:rPr>
      </w:pPr>
      <w:r>
        <w:rPr>
          <w:sz w:val="26"/>
        </w:rPr>
        <w:tab/>
        <w:t>The Post-Interim Settlement also fails to achieve the goal of cost and rate separation for balancing services while the Comprehensive Settlement provides for separate core and noncore balancing.  The Comprehensive Settlement’s solution of this issue is clearly preferable since it avoids any cross-subsidies by insuring that each customer class remains responsible for its own balancing.</w:t>
      </w:r>
    </w:p>
    <w:p>
      <w:pPr>
        <w:pStyle w:val="Normal"/>
        <w:spacing w:lineRule="auto" w:line="360"/>
        <w:rPr>
          <w:sz w:val="26"/>
        </w:rPr>
      </w:pPr>
      <w:r>
        <w:rPr>
          <w:sz w:val="26"/>
        </w:rPr>
        <w:tab/>
        <w:t>The final major failing of the Post-Interim Settlement is that it is not the overall resolution of gas restructuring issues envisioned by the Commission at the time it issued its promising options decision.  (D.99-07-015, p. 3.)  While the Post-Interim Settlement addresses some promising options and rejects others, it is silent on numerous others.  For example, it fails to address the elimination of core subscription service, the thresholds for core aggregation, improvements in the level of information available to the marketplace, the availability of competitive metering technologies and competitive billing options for customers comparable to that available in the electric industry.</w:t>
      </w:r>
    </w:p>
    <w:p>
      <w:pPr>
        <w:pStyle w:val="Normal"/>
        <w:spacing w:lineRule="auto" w:line="360"/>
        <w:rPr>
          <w:sz w:val="26"/>
        </w:rPr>
      </w:pPr>
      <w:r>
        <w:rPr>
          <w:sz w:val="26"/>
        </w:rPr>
        <w:tab/>
        <w:t>At the outset of this settlement process, the Commission stated its preference for a comprehensive stakeholder generated solution:</w:t>
      </w:r>
    </w:p>
    <w:p>
      <w:pPr>
        <w:pStyle w:val="Quotation"/>
        <w:rPr>
          <w:rFonts w:ascii="Times New Roman" w:hAnsi="Times New Roman" w:cs="Times New Roman"/>
        </w:rPr>
      </w:pPr>
      <w:r>
        <w:rPr>
          <w:rFonts w:cs="Times New Roman" w:ascii="Times New Roman" w:hAnsi="Times New Roman"/>
        </w:rPr>
        <w:t>A stake-holder generated solution is preferred, as long as it is consistent with the law, in the public interest, and reasonable in light of the information available to the Commission.  We prefer such a solution because those who participate in the natural gas marketplace are in the best position to understand and accommodate underlying interests.  Thus, we encourage parties to undertake an effort to design an answer to the questions raised in this rulemaking proceeding…  (D.99</w:t>
        <w:noBreakHyphen/>
        <w:t>07</w:t>
        <w:noBreakHyphen/>
        <w:t>015, p. 4.)</w:t>
      </w:r>
    </w:p>
    <w:p>
      <w:pPr>
        <w:pStyle w:val="Normal"/>
        <w:spacing w:lineRule="auto" w:line="360"/>
        <w:rPr/>
      </w:pPr>
      <w:r>
        <w:rPr>
          <w:sz w:val="26"/>
        </w:rPr>
        <w:t xml:space="preserve">As requested by the Commission, the Comprehensive Settlement provides an answer to </w:t>
      </w:r>
      <w:r>
        <w:rPr>
          <w:sz w:val="26"/>
          <w:u w:val="single"/>
        </w:rPr>
        <w:t>each</w:t>
      </w:r>
      <w:r>
        <w:rPr>
          <w:sz w:val="26"/>
        </w:rPr>
        <w:t xml:space="preserve"> of the promising options in a manner which is acceptable to representatives of all segments of the natural gas marketplace.  The Post-Interim Settlement neither answers all of the questions nor does it have broad support.  Given its numerous shortcomings, the Post-Interim Settlement should be rejected in favor of the Comprehensive Settlement.</w:t>
      </w:r>
    </w:p>
    <w:p>
      <w:pPr>
        <w:pStyle w:val="Heading1"/>
        <w:numPr>
          <w:ilvl w:val="0"/>
          <w:numId w:val="2"/>
        </w:numPr>
        <w:rPr>
          <w:rFonts w:ascii="Times New Roman" w:hAnsi="Times New Roman" w:cs="Times New Roman"/>
        </w:rPr>
      </w:pPr>
      <w:bookmarkStart w:id="39" w:name="__RefHeading___Toc487862241"/>
      <w:bookmarkEnd w:id="39"/>
      <w:r>
        <w:rPr>
          <w:rFonts w:cs="Times New Roman" w:ascii="Times New Roman" w:hAnsi="Times New Roman"/>
        </w:rPr>
        <w:t>CONCLUSION</w:t>
      </w:r>
    </w:p>
    <w:p>
      <w:pPr>
        <w:pStyle w:val="BodyText"/>
        <w:rPr>
          <w:rFonts w:ascii="Times New Roman" w:hAnsi="Times New Roman" w:cs="Times New Roman"/>
        </w:rPr>
      </w:pPr>
      <w:r>
        <w:rPr>
          <w:rFonts w:cs="Times New Roman" w:ascii="Times New Roman" w:hAnsi="Times New Roman"/>
        </w:rPr>
        <w:t>For the reasons set forth in the preceding sections, ORA recommends that the Commission find that the Comprehensive Settlement is reasonable and in the public interest and that it should be approved without change.</w:t>
      </w:r>
    </w:p>
    <w:p>
      <w:pPr>
        <w:pStyle w:val="Normal"/>
        <w:ind w:start="4320" w:end="0"/>
        <w:rPr>
          <w:rStyle w:val="LineNumber"/>
          <w:sz w:val="26"/>
        </w:rPr>
      </w:pPr>
      <w:r>
        <w:rPr>
          <w:rFonts w:cs="Times New Roman"/>
        </w:rPr>
      </w:r>
    </w:p>
    <w:p>
      <w:pPr>
        <w:pStyle w:val="Normal"/>
        <w:ind w:start="4320" w:end="0"/>
        <w:rPr>
          <w:rStyle w:val="LineNumber"/>
          <w:sz w:val="26"/>
        </w:rPr>
      </w:pPr>
      <w:r>
        <w:rPr/>
      </w:r>
    </w:p>
    <w:p>
      <w:pPr>
        <w:pStyle w:val="Normal"/>
        <w:ind w:start="4320" w:end="0"/>
        <w:rPr/>
      </w:pPr>
      <w:r>
        <w:rPr>
          <w:rStyle w:val="LineNumber"/>
          <w:sz w:val="26"/>
        </w:rPr>
        <w:t>Respectfully submitted,</w:t>
      </w:r>
    </w:p>
    <w:p>
      <w:pPr>
        <w:pStyle w:val="Normal"/>
        <w:ind w:start="4320" w:end="0"/>
        <w:rPr>
          <w:rStyle w:val="LineNumber"/>
          <w:sz w:val="26"/>
        </w:rPr>
      </w:pPr>
      <w:r>
        <w:rPr/>
      </w:r>
    </w:p>
    <w:p>
      <w:pPr>
        <w:pStyle w:val="Normal"/>
        <w:ind w:start="4320" w:end="0"/>
        <w:rPr>
          <w:rStyle w:val="LineNumber"/>
          <w:sz w:val="26"/>
        </w:rPr>
      </w:pPr>
      <w:r>
        <w:rPr/>
      </w:r>
    </w:p>
    <w:p>
      <w:pPr>
        <w:pStyle w:val="Normal"/>
        <w:ind w:start="4320" w:end="0"/>
        <w:rPr/>
      </w:pPr>
      <w:r>
        <w:rPr>
          <w:rStyle w:val="LineNumber"/>
          <w:sz w:val="26"/>
        </w:rPr>
        <w:t>/s/</w:t>
        <w:tab/>
        <w:t>PATRICK GILEAU</w:t>
      </w:r>
    </w:p>
    <w:p>
      <w:pPr>
        <w:pStyle w:val="Normal"/>
        <w:ind w:start="4320" w:end="0"/>
        <w:rPr>
          <w:rStyle w:val="LineNumber"/>
          <w:sz w:val="26"/>
        </w:rPr>
      </w:pPr>
      <w:r>
        <w:rPr>
          <w:rStyle w:val="LineNumber"/>
          <w:sz w:val="26"/>
          <w:u w:val="single"/>
        </w:rPr>
        <w:tab/>
        <w:tab/>
        <w:tab/>
        <w:tab/>
      </w:r>
    </w:p>
    <w:p>
      <w:pPr>
        <w:pStyle w:val="Normal"/>
        <w:ind w:start="4320" w:end="0"/>
        <w:rPr/>
      </w:pPr>
      <w:r>
        <w:rPr>
          <w:rStyle w:val="LineNumber"/>
          <w:sz w:val="26"/>
        </w:rPr>
        <w:tab/>
        <w:t>Patrick Gileau</w:t>
      </w:r>
    </w:p>
    <w:p>
      <w:pPr>
        <w:pStyle w:val="Normal"/>
        <w:ind w:firstLine="720" w:start="4320" w:end="0"/>
        <w:rPr/>
      </w:pPr>
      <w:r>
        <w:rPr>
          <w:rStyle w:val="LineNumber"/>
          <w:sz w:val="26"/>
        </w:rPr>
        <w:t>Staff Counsel</w:t>
      </w:r>
    </w:p>
    <w:p>
      <w:pPr>
        <w:pStyle w:val="Normal"/>
        <w:ind w:start="4320" w:end="0"/>
        <w:rPr>
          <w:rStyle w:val="LineNumber"/>
          <w:sz w:val="26"/>
        </w:rPr>
      </w:pPr>
      <w:r>
        <w:rPr/>
      </w:r>
    </w:p>
    <w:p>
      <w:pPr>
        <w:pStyle w:val="Normal"/>
        <w:ind w:start="4320" w:end="0"/>
        <w:rPr/>
      </w:pPr>
      <w:r>
        <w:rPr>
          <w:rStyle w:val="LineNumber"/>
          <w:sz w:val="26"/>
        </w:rPr>
        <w:t>Attorney for the Office of Ratepayer Advocates</w:t>
      </w:r>
    </w:p>
    <w:p>
      <w:pPr>
        <w:pStyle w:val="Normal"/>
        <w:ind w:start="4320" w:end="0"/>
        <w:rPr>
          <w:rStyle w:val="LineNumber"/>
          <w:sz w:val="26"/>
        </w:rPr>
      </w:pPr>
      <w:r>
        <w:rPr/>
      </w:r>
    </w:p>
    <w:p>
      <w:pPr>
        <w:pStyle w:val="Normal"/>
        <w:ind w:start="4320" w:end="0"/>
        <w:rPr/>
      </w:pPr>
      <w:r>
        <w:rPr>
          <w:rStyle w:val="LineNumber"/>
          <w:sz w:val="26"/>
        </w:rPr>
        <w:t>California Public Utilities Commission</w:t>
      </w:r>
    </w:p>
    <w:p>
      <w:pPr>
        <w:pStyle w:val="Normal"/>
        <w:ind w:start="4320" w:end="0"/>
        <w:rPr/>
      </w:pPr>
      <w:r>
        <w:rPr>
          <w:rStyle w:val="LineNumber"/>
          <w:sz w:val="26"/>
        </w:rPr>
        <w:t>505 Van Ness Avenue</w:t>
      </w:r>
    </w:p>
    <w:p>
      <w:pPr>
        <w:pStyle w:val="Normal"/>
        <w:ind w:start="4320" w:end="0"/>
        <w:rPr/>
      </w:pPr>
      <w:r>
        <w:rPr>
          <w:rStyle w:val="LineNumber"/>
          <w:sz w:val="26"/>
        </w:rPr>
        <w:t>San Francisco, CA  94102</w:t>
      </w:r>
    </w:p>
    <w:p>
      <w:pPr>
        <w:pStyle w:val="Normal"/>
        <w:ind w:start="4320" w:end="0"/>
        <w:rPr/>
      </w:pPr>
      <w:r>
        <w:rPr>
          <w:rStyle w:val="LineNumber"/>
          <w:sz w:val="26"/>
        </w:rPr>
        <w:t>Telephone:  (415) 703-3080</w:t>
      </w:r>
    </w:p>
    <w:p>
      <w:pPr>
        <w:pStyle w:val="Footer"/>
        <w:tabs>
          <w:tab w:val="clear" w:pos="4320"/>
          <w:tab w:val="clear" w:pos="8640"/>
          <w:tab w:val="right" w:pos="0" w:leader="none"/>
        </w:tabs>
        <w:rPr>
          <w:sz w:val="26"/>
        </w:rPr>
      </w:pPr>
      <w:r>
        <w:rPr>
          <w:rStyle w:val="LineNumber"/>
          <w:sz w:val="26"/>
        </w:rPr>
        <w:t>July 10, 2000</w:t>
        <w:tab/>
        <w:tab/>
        <w:tab/>
        <w:tab/>
        <w:tab/>
        <w:t>Facsimile:  (415) 703-2262</w:t>
      </w:r>
    </w:p>
    <w:p>
      <w:pPr>
        <w:sectPr>
          <w:footerReference w:type="default" r:id="rId6"/>
          <w:footerReference w:type="first" r:id="rId7"/>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ind w:start="4320" w:end="0"/>
        <w:rPr>
          <w:rStyle w:val="LineNumber"/>
          <w:sz w:val="26"/>
        </w:rPr>
      </w:pPr>
      <w:r>
        <w:rPr>
          <w:sz w:val="26"/>
        </w:rPr>
      </w:r>
    </w:p>
    <w:p>
      <w:pPr>
        <w:pStyle w:val="Normal"/>
        <w:jc w:val="center"/>
        <w:rPr/>
      </w:pPr>
      <w:r>
        <w:rPr>
          <w:b/>
          <w:sz w:val="26"/>
          <w:u w:val="single"/>
        </w:rPr>
        <w:t>CERTIFICATE OF SERVICE</w:t>
      </w:r>
    </w:p>
    <w:p>
      <w:pPr>
        <w:pStyle w:val="Normal"/>
        <w:spacing w:lineRule="auto" w:line="360"/>
        <w:jc w:val="center"/>
        <w:rPr>
          <w:b/>
          <w:sz w:val="26"/>
          <w:u w:val="single"/>
        </w:rPr>
      </w:pPr>
      <w:r>
        <w:rPr>
          <w:b/>
          <w:sz w:val="26"/>
          <w:u w:val="single"/>
        </w:rPr>
      </w:r>
    </w:p>
    <w:p>
      <w:pPr>
        <w:pStyle w:val="BodyText"/>
        <w:rPr/>
      </w:pPr>
      <w:r>
        <w:rPr>
          <w:rFonts w:cs="Times New Roman" w:ascii="Times New Roman" w:hAnsi="Times New Roman"/>
        </w:rPr>
        <w:t>I hereby certify that I have this day served the foregoing document entitled</w:t>
      </w:r>
      <w:r>
        <w:rPr>
          <w:rFonts w:cs="Times New Roman" w:ascii="Times New Roman" w:hAnsi="Times New Roman"/>
          <w:b/>
        </w:rPr>
        <w:t xml:space="preserve"> OPENING BRIEF OF THE OFFICE OF RATEPAYER ADVOCATES </w:t>
      </w:r>
      <w:r>
        <w:rPr>
          <w:rFonts w:cs="Times New Roman" w:ascii="Times New Roman" w:hAnsi="Times New Roman"/>
        </w:rPr>
        <w:t>upon all known parties of record by mailing, by first-class mail, a copy thereof properly addressed to each party.</w:t>
      </w:r>
    </w:p>
    <w:p>
      <w:pPr>
        <w:pStyle w:val="BodyText"/>
        <w:rPr>
          <w:rFonts w:ascii="Times New Roman" w:hAnsi="Times New Roman" w:cs="Times New Roman"/>
        </w:rPr>
      </w:pPr>
      <w:r>
        <w:rPr>
          <w:rFonts w:cs="Times New Roman" w:ascii="Times New Roman" w:hAnsi="Times New Roman"/>
        </w:rPr>
        <w:t>Dated at San Francisco, California, this 10th day of July, 2000.</w:t>
      </w:r>
    </w:p>
    <w:p>
      <w:pPr>
        <w:pStyle w:val="Normal"/>
        <w:rPr>
          <w:rFonts w:ascii="Times New Roman" w:hAnsi="Times New Roman" w:cs="Times New Roman"/>
          <w:sz w:val="26"/>
        </w:rPr>
      </w:pPr>
      <w:r>
        <w:rPr>
          <w:rFonts w:cs="Times New Roman"/>
          <w:sz w:val="26"/>
        </w:rPr>
      </w:r>
    </w:p>
    <w:p>
      <w:pPr>
        <w:pStyle w:val="Normal"/>
        <w:rPr>
          <w:sz w:val="26"/>
        </w:rPr>
      </w:pPr>
      <w:r>
        <w:rPr>
          <w:sz w:val="26"/>
        </w:rPr>
        <w:tab/>
        <w:tab/>
        <w:tab/>
        <w:tab/>
        <w:tab/>
        <w:tab/>
        <w:t>/s/      BERLINA GEE</w:t>
      </w:r>
    </w:p>
    <w:p>
      <w:pPr>
        <w:pStyle w:val="Normal"/>
        <w:rPr/>
      </w:pPr>
      <w:r>
        <w:rPr>
          <w:sz w:val="26"/>
        </w:rPr>
        <w:tab/>
        <w:tab/>
        <w:tab/>
        <w:tab/>
        <w:tab/>
        <w:tab/>
      </w:r>
      <w:r>
        <w:rPr>
          <w:sz w:val="26"/>
          <w:u w:val="single"/>
        </w:rPr>
        <w:tab/>
        <w:tab/>
        <w:tab/>
        <w:tab/>
      </w:r>
    </w:p>
    <w:p>
      <w:pPr>
        <w:pStyle w:val="Normal"/>
        <w:rPr>
          <w:sz w:val="26"/>
        </w:rPr>
      </w:pPr>
      <w:r>
        <w:rPr>
          <w:sz w:val="26"/>
        </w:rPr>
        <w:tab/>
        <w:tab/>
        <w:tab/>
        <w:tab/>
        <w:tab/>
        <w:tab/>
        <w:tab/>
        <w:t xml:space="preserve">  Berlina Gee</w:t>
      </w:r>
    </w:p>
    <w:sectPr>
      <w:footerReference w:type="default" r:id="rId8"/>
      <w:footerReference w:type="first" r:id="rId9"/>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0731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230.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120"/>
        <w:ind w:end="0"/>
        <w:rPr/>
      </w:pPr>
      <w:r>
        <w:rPr>
          <w:rStyle w:val="FootnoteCharacters"/>
        </w:rPr>
        <w:footnoteRef/>
      </w:r>
      <w:r>
        <w:rPr>
          <w:sz w:val="22"/>
        </w:rPr>
        <w:t xml:space="preserve"> </w:t>
      </w:r>
      <w:r>
        <w:rPr>
          <w:sz w:val="22"/>
        </w:rPr>
        <w:t>Based on FERC certificated firm capacity of interconnecting pipe.</w:t>
      </w:r>
    </w:p>
  </w:footnote>
  <w:footnote w:id="3">
    <w:p>
      <w:pPr>
        <w:pStyle w:val="FootnoteText"/>
        <w:spacing w:before="120" w:after="120"/>
        <w:ind w:end="0"/>
        <w:rPr/>
      </w:pPr>
      <w:r>
        <w:rPr>
          <w:rStyle w:val="FootnoteCharacters"/>
        </w:rPr>
        <w:footnoteRef/>
      </w:r>
      <w:r>
        <w:rPr>
          <w:sz w:val="22"/>
        </w:rPr>
        <w:t xml:space="preserve"> </w:t>
      </w:r>
      <w:r>
        <w:rPr>
          <w:sz w:val="22"/>
        </w:rPr>
        <w:t xml:space="preserve">Assumes 650 psi from Kern/Mojave and PG&amp;E pipelines.  Based on low local demand in summer periods.  </w:t>
      </w:r>
    </w:p>
  </w:footnote>
  <w:footnote w:id="4">
    <w:p>
      <w:pPr>
        <w:pStyle w:val="FootnoteText"/>
        <w:spacing w:before="120" w:after="120"/>
        <w:ind w:end="0"/>
        <w:rPr/>
      </w:pPr>
      <w:r>
        <w:rPr>
          <w:rStyle w:val="FootnoteCharacters"/>
        </w:rPr>
        <w:footnoteRef/>
      </w:r>
      <w:r>
        <w:rPr>
          <w:sz w:val="22"/>
        </w:rPr>
        <w:t xml:space="preserve"> </w:t>
      </w:r>
      <w:r>
        <w:rPr>
          <w:sz w:val="22"/>
        </w:rPr>
        <w:t>SDG&amp;E is allocated 50 MMcf/d at Wheeler Ridge and another 10 MMcf/d at Blythe to match its upstream commitments.</w:t>
      </w:r>
    </w:p>
  </w:footnote>
  <w:footnote w:id="5">
    <w:p>
      <w:pPr>
        <w:pStyle w:val="FootnoteText"/>
        <w:rPr/>
      </w:pPr>
      <w:r>
        <w:rPr>
          <w:rStyle w:val="FootnoteCharacters"/>
        </w:rPr>
        <w:footnoteRef/>
      </w:r>
      <w:r>
        <w:rPr>
          <w:sz w:val="22"/>
        </w:rPr>
        <w:t xml:space="preserve"> </w:t>
      </w:r>
      <w:r>
        <w:rPr>
          <w:sz w:val="22"/>
        </w:rPr>
        <w:t>1998 California Gas Report, p. 76.</w:t>
      </w:r>
    </w:p>
  </w:footnote>
  <w:footnote w:id="6">
    <w:p>
      <w:pPr>
        <w:pStyle w:val="FootnoteText"/>
        <w:spacing w:before="120" w:after="120"/>
        <w:ind w:end="0"/>
        <w:rPr/>
      </w:pPr>
      <w:r>
        <w:rPr>
          <w:rStyle w:val="FootnoteCharacters"/>
        </w:rPr>
        <w:footnoteRef/>
      </w:r>
      <w:r>
        <w:rPr>
          <w:sz w:val="22"/>
        </w:rPr>
        <w:t xml:space="preserve"> </w:t>
      </w:r>
      <w:r>
        <w:rPr>
          <w:sz w:val="22"/>
        </w:rPr>
        <w:t xml:space="preserve">This is roughly double SoCalGas’ actual maximum daily sendout to </w:t>
      </w:r>
      <w:r>
        <w:rPr>
          <w:sz w:val="22"/>
          <w:u w:val="single"/>
        </w:rPr>
        <w:t>all</w:t>
      </w:r>
      <w:r>
        <w:rPr>
          <w:sz w:val="22"/>
        </w:rPr>
        <w:t xml:space="preserve"> electric generators in any day in the last five years (1995 to 1999), which was 1,683 MDth in one day (based on SoCalGas data cited by SCGC/TURN in its data response dated May 18, 2000 to Southern California Edison Company).  This shows clearly that, even on a day of peak electric demand, gas-fired generators will not produce at full output for the entire day.</w:t>
      </w:r>
    </w:p>
  </w:footnote>
  <w:footnote w:id="7">
    <w:p>
      <w:pPr>
        <w:pStyle w:val="FootnoteText"/>
        <w:spacing w:before="120" w:after="120"/>
        <w:ind w:end="0"/>
        <w:rPr/>
      </w:pPr>
      <w:r>
        <w:rPr>
          <w:rStyle w:val="FootnoteCharacters"/>
        </w:rPr>
        <w:footnoteRef/>
      </w:r>
      <w:r>
        <w:rPr>
          <w:sz w:val="22"/>
        </w:rPr>
        <w:t xml:space="preserve"> </w:t>
      </w:r>
      <w:r>
        <w:rPr>
          <w:sz w:val="22"/>
        </w:rPr>
        <w:t>SoCalGas’ total receipt point capacity is 3,500 MMcf/d.  The recently adopted BCAP throughput forecast for SoCalGas in 2000-2002 is 2,563 MMcf/d.</w:t>
      </w:r>
    </w:p>
  </w:footnote>
  <w:footnote w:id="8">
    <w:p>
      <w:pPr>
        <w:pStyle w:val="FootnoteText"/>
        <w:spacing w:before="120" w:after="120"/>
        <w:ind w:end="0"/>
        <w:rPr/>
      </w:pPr>
      <w:r>
        <w:rPr>
          <w:rStyle w:val="FootnoteCharacters"/>
        </w:rPr>
        <w:footnoteRef/>
      </w:r>
      <w:r>
        <w:rPr>
          <w:sz w:val="22"/>
        </w:rPr>
        <w:t xml:space="preserve"> </w:t>
      </w:r>
      <w:r>
        <w:rPr>
          <w:sz w:val="22"/>
        </w:rPr>
        <w:t xml:space="preserve">For a discussion of transition costs see </w:t>
      </w:r>
      <w:r>
        <w:rPr>
          <w:sz w:val="22"/>
          <w:u w:val="single"/>
        </w:rPr>
        <w:t>Re Rate Design for Unbundled Gas Utility Services</w:t>
      </w:r>
      <w:r>
        <w:rPr>
          <w:sz w:val="22"/>
        </w:rPr>
        <w:t>, D.87</w:t>
        <w:noBreakHyphen/>
        <w:t>12</w:t>
        <w:noBreakHyphen/>
        <w:t>039, 26 CPUC 2d 213, 229).</w:t>
      </w:r>
    </w:p>
  </w:footnote>
  <w:footnote w:id="9">
    <w:p>
      <w:pPr>
        <w:pStyle w:val="FootnoteText"/>
        <w:spacing w:before="120" w:after="120"/>
        <w:ind w:end="0"/>
        <w:rPr/>
      </w:pPr>
      <w:r>
        <w:rPr>
          <w:rStyle w:val="FootnoteCharacters"/>
        </w:rPr>
        <w:footnoteRef/>
      </w:r>
      <w:r>
        <w:rPr>
          <w:sz w:val="22"/>
        </w:rPr>
        <w:t xml:space="preserve"> </w:t>
      </w:r>
      <w:r>
        <w:rPr>
          <w:sz w:val="22"/>
        </w:rPr>
        <w:t>The total embedded cost of storage, excluding Montebello is $74.9 million, comprised of $71.6 million in fixed costs and $3.3 million variable costs.  The cost for the fixed core storage reservation is $34.15 million (including an oil revenue credit of $1.25 million).  (ORA/Pocta, Ex. 4, p. 14, fn. 6.)</w:t>
      </w:r>
    </w:p>
  </w:footnote>
  <w:footnote w:id="10">
    <w:p>
      <w:pPr>
        <w:pStyle w:val="FootnoteText"/>
        <w:spacing w:before="120" w:after="120"/>
        <w:ind w:end="0"/>
        <w:rPr/>
      </w:pPr>
      <w:r>
        <w:rPr>
          <w:rStyle w:val="FootnoteCharacters"/>
        </w:rPr>
        <w:footnoteRef/>
      </w:r>
      <w:r>
        <w:rPr>
          <w:sz w:val="22"/>
        </w:rPr>
        <w:t xml:space="preserve"> </w:t>
      </w:r>
      <w:r>
        <w:rPr>
          <w:sz w:val="22"/>
        </w:rPr>
        <w:t>The recent SoCalGas/SDG&amp;E BCAP decision, D.00-04-060, adopts a forecast of $11.89 million in core interstate reservation costs for 2000, and the core ITCS cap would be equal to 10% of that figure or $11.9 million. While the $11.9 million is a maximum saving, the savings could be less than that figure.  The ultimate savings are dependent on many market factors.</w:t>
      </w:r>
    </w:p>
  </w:footnote>
  <w:footnote w:id="11">
    <w:p>
      <w:pPr>
        <w:pStyle w:val="FootnoteText"/>
        <w:spacing w:before="120" w:after="120"/>
        <w:ind w:end="0"/>
        <w:rPr/>
      </w:pPr>
      <w:r>
        <w:rPr>
          <w:rStyle w:val="FootnoteCharacters"/>
        </w:rPr>
        <w:footnoteRef/>
      </w:r>
      <w:r>
        <w:rPr>
          <w:sz w:val="22"/>
        </w:rPr>
        <w:t xml:space="preserve"> </w:t>
      </w:r>
      <w:r>
        <w:rPr>
          <w:sz w:val="22"/>
        </w:rPr>
        <w:t xml:space="preserve">SDG&amp;E also holds approximately 50 MMcf/d of firm interstate capacity on PG&amp;E GT NW (PGT) and the PG&amp;E backbone system Redwood Path.  SDG&amp;E is at-risk for recovery of these firm pipeline costs through its Gas Procurement incentive mechanism.  </w:t>
      </w:r>
    </w:p>
  </w:footnote>
  <w:footnote w:id="12">
    <w:p>
      <w:pPr>
        <w:pStyle w:val="FootnoteText"/>
        <w:spacing w:before="120" w:after="120"/>
        <w:ind w:end="0"/>
        <w:rPr/>
      </w:pPr>
      <w:r>
        <w:rPr>
          <w:rStyle w:val="FootnoteCharacters"/>
        </w:rPr>
        <w:footnoteRef/>
      </w:r>
      <w:r>
        <w:rPr>
          <w:sz w:val="22"/>
        </w:rPr>
        <w:t xml:space="preserve"> </w:t>
      </w:r>
      <w:r>
        <w:rPr>
          <w:sz w:val="22"/>
        </w:rPr>
        <w:t xml:space="preserve">SB 1602 only preempted gas industry restructuring decisions through January 1, 2000. </w:t>
      </w:r>
    </w:p>
  </w:footnote>
  <w:footnote w:id="13">
    <w:p>
      <w:pPr>
        <w:pStyle w:val="FootnoteText"/>
        <w:spacing w:before="120" w:after="120"/>
        <w:ind w:end="0"/>
        <w:rPr/>
      </w:pPr>
      <w:r>
        <w:rPr>
          <w:rStyle w:val="FootnoteCharacters"/>
        </w:rPr>
        <w:footnoteRef/>
      </w:r>
      <w:r>
        <w:rPr>
          <w:sz w:val="22"/>
        </w:rPr>
        <w:t xml:space="preserve"> </w:t>
      </w:r>
      <w:r>
        <w:rPr>
          <w:sz w:val="22"/>
        </w:rPr>
        <w:t>Monitoring and Evaluation Report of ORA on SoCalGas’ GCIM, A.99-06-027, issued September 30, 1999.</w:t>
      </w:r>
    </w:p>
  </w:footnote>
  <w:footnote w:id="14">
    <w:p>
      <w:pPr>
        <w:pStyle w:val="FootnoteText"/>
        <w:spacing w:before="120" w:after="120"/>
        <w:ind w:end="0"/>
        <w:rPr/>
      </w:pPr>
      <w:r>
        <w:rPr>
          <w:rStyle w:val="FootnoteCharacters"/>
        </w:rPr>
        <w:footnoteRef/>
      </w:r>
      <w:r>
        <w:rPr>
          <w:sz w:val="22"/>
        </w:rPr>
        <w:t xml:space="preserve"> </w:t>
      </w:r>
      <w:r>
        <w:rPr>
          <w:sz w:val="22"/>
        </w:rPr>
        <w:t xml:space="preserve">The hub revenues that are included in the GCIM and the allocation to customers are net of any GCIM reward which is generated and retained by the utility.  However, GCIM benefits are calculated based on the total gas cost savings generated below a benchmark price plus 0.5% and are not exclusively related to hub services.  </w:t>
      </w:r>
    </w:p>
  </w:footnote>
  <w:footnote w:id="15">
    <w:p>
      <w:pPr>
        <w:pStyle w:val="FootnoteText"/>
        <w:spacing w:before="120" w:after="120"/>
        <w:ind w:end="0"/>
        <w:rPr/>
      </w:pPr>
      <w:r>
        <w:rPr>
          <w:rStyle w:val="FootnoteCharacters"/>
        </w:rPr>
        <w:footnoteRef/>
      </w:r>
      <w:r>
        <w:rPr>
          <w:sz w:val="22"/>
        </w:rPr>
        <w:t xml:space="preserve"> </w:t>
      </w:r>
      <w:r>
        <w:rPr>
          <w:sz w:val="22"/>
        </w:rPr>
        <w:t>Monitoring and Evaluation Report of ORA on SoCalGas’ GCIM A.99-06-027 issued September 30, 1999.</w:t>
      </w:r>
    </w:p>
  </w:footnote>
  <w:footnote w:id="16">
    <w:p>
      <w:pPr>
        <w:pStyle w:val="FootnoteText"/>
        <w:spacing w:before="120" w:after="120"/>
        <w:ind w:end="0"/>
        <w:rPr/>
      </w:pPr>
      <w:r>
        <w:rPr>
          <w:rStyle w:val="FootnoteCharacters"/>
        </w:rPr>
        <w:footnoteRef/>
      </w:r>
      <w:r>
        <w:rPr>
          <w:sz w:val="22"/>
        </w:rPr>
        <w:t xml:space="preserve"> </w:t>
      </w:r>
      <w:r>
        <w:rPr>
          <w:sz w:val="22"/>
        </w:rPr>
        <w:t>The establishment of a secondary market via an electronic bulletin board was also identified as a promising option.  This issue was addressed in the sections on transmission and storage unbundling.</w:t>
      </w:r>
    </w:p>
  </w:footnote>
  <w:footnote w:id="17">
    <w:p>
      <w:pPr>
        <w:pStyle w:val="FootnoteText"/>
        <w:spacing w:before="120" w:after="120"/>
        <w:ind w:end="0"/>
        <w:rPr/>
      </w:pPr>
      <w:r>
        <w:rPr>
          <w:rStyle w:val="FootnoteCharacters"/>
        </w:rPr>
        <w:footnoteRef/>
      </w:r>
      <w:r>
        <w:rPr>
          <w:sz w:val="22"/>
        </w:rPr>
        <w:t xml:space="preserve"> </w:t>
      </w:r>
      <w:r>
        <w:rPr>
          <w:sz w:val="22"/>
        </w:rPr>
        <w:t>The meter ownership program is limited to 500 customers per year for SoCalGas and 200 per year for SDG&amp;E.  The meter add-on program is limited to 1,500 customer per year for SoCalGas and 200 per year for SDG&amp;E. (Ex. 1, pp.71-72)</w:t>
      </w:r>
    </w:p>
  </w:footnote>
  <w:footnote w:id="18">
    <w:p>
      <w:pPr>
        <w:pStyle w:val="FootnoteText"/>
        <w:spacing w:before="120" w:after="120"/>
        <w:ind w:end="0"/>
        <w:rPr/>
      </w:pPr>
      <w:r>
        <w:rPr>
          <w:rStyle w:val="FootnoteCharacters"/>
        </w:rPr>
        <w:footnoteRef/>
      </w:r>
      <w:r>
        <w:rPr>
          <w:sz w:val="22"/>
        </w:rPr>
        <w:t xml:space="preserve"> </w:t>
      </w:r>
      <w:r>
        <w:rPr>
          <w:sz w:val="22"/>
        </w:rPr>
        <w:t>The Post-Interim Settlement does provide for a limited amount of unbundling of non-reliability storage for CTAs. (Ex. 100, p. 45)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288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3"/>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BodyText"/>
    <w:next w:val="BodyText"/>
    <w:qFormat/>
    <w:pPr>
      <w:keepNext w:val="true"/>
      <w:keepLines/>
      <w:numPr>
        <w:ilvl w:val="0"/>
        <w:numId w:val="2"/>
      </w:numPr>
      <w:spacing w:lineRule="auto" w:line="240" w:before="120" w:after="120"/>
      <w:ind w:firstLine="720" w:start="0" w:end="720"/>
      <w:outlineLvl w:val="0"/>
    </w:pPr>
    <w:rPr>
      <w:b/>
      <w:kern w:val="2"/>
      <w:sz w:val="28"/>
    </w:rPr>
  </w:style>
  <w:style w:type="paragraph" w:styleId="Heading2">
    <w:name w:val="heading 2"/>
    <w:basedOn w:val="BodyText"/>
    <w:next w:val="BodyText"/>
    <w:qFormat/>
    <w:pPr>
      <w:keepNext w:val="true"/>
      <w:numPr>
        <w:ilvl w:val="0"/>
        <w:numId w:val="2"/>
      </w:numPr>
      <w:spacing w:lineRule="auto" w:line="240" w:before="120" w:after="120"/>
      <w:ind w:firstLine="720" w:start="0" w:end="1440"/>
      <w:outlineLvl w:val="1"/>
    </w:pPr>
    <w:rPr>
      <w:b/>
    </w:rPr>
  </w:style>
  <w:style w:type="paragraph" w:styleId="Heading3">
    <w:name w:val="heading 3"/>
    <w:basedOn w:val="BodyText"/>
    <w:next w:val="BodyText"/>
    <w:qFormat/>
    <w:pPr>
      <w:keepNext w:val="true"/>
      <w:numPr>
        <w:ilvl w:val="0"/>
        <w:numId w:val="2"/>
      </w:numPr>
      <w:spacing w:lineRule="auto" w:line="240" w:before="120" w:after="120"/>
      <w:ind w:firstLine="720" w:start="0" w:end="1440"/>
      <w:outlineLvl w:val="2"/>
    </w:pPr>
    <w:rPr>
      <w:b/>
    </w:rPr>
  </w:style>
  <w:style w:type="paragraph" w:styleId="Heading4">
    <w:name w:val="heading 4"/>
    <w:basedOn w:val="BodyText"/>
    <w:next w:val="BodyText"/>
    <w:qFormat/>
    <w:pPr>
      <w:keepNext w:val="true"/>
      <w:numPr>
        <w:ilvl w:val="0"/>
        <w:numId w:val="2"/>
      </w:numPr>
      <w:spacing w:lineRule="auto" w:line="240" w:before="120" w:after="120"/>
      <w:ind w:firstLine="720" w:start="0" w:end="1440"/>
      <w:outlineLvl w:val="3"/>
    </w:pPr>
    <w:rPr>
      <w:i/>
    </w:rPr>
  </w:style>
  <w:style w:type="paragraph" w:styleId="Heading5">
    <w:name w:val="heading 5"/>
    <w:basedOn w:val="Normal"/>
    <w:next w:val="Normal"/>
    <w:qFormat/>
    <w:pPr>
      <w:numPr>
        <w:ilvl w:val="0"/>
        <w:numId w:val="2"/>
      </w:numPr>
      <w:spacing w:before="120" w:after="120"/>
      <w:outlineLvl w:val="4"/>
    </w:pPr>
    <w:rPr>
      <w:rFonts w:ascii="Arial" w:hAnsi="Arial" w:cs="Arial"/>
      <w:sz w:val="22"/>
    </w:rPr>
  </w:style>
  <w:style w:type="paragraph" w:styleId="Heading6">
    <w:name w:val="heading 6"/>
    <w:basedOn w:val="Normal"/>
    <w:next w:val="Normal"/>
    <w:qFormat/>
    <w:pPr>
      <w:numPr>
        <w:ilvl w:val="0"/>
        <w:numId w:val="2"/>
      </w:numPr>
      <w:spacing w:before="240" w:after="60"/>
      <w:outlineLvl w:val="5"/>
    </w:pPr>
    <w:rPr>
      <w:rFonts w:ascii="Arial" w:hAnsi="Arial" w:cs="Arial"/>
      <w:i/>
      <w:sz w:val="22"/>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i/>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b/>
      <w:sz w:val="32"/>
      <w:u w:val="single"/>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2"/>
      </w:numPr>
      <w:ind w:hanging="0" w:start="0" w:end="720"/>
      <w:outlineLvl w:val="9"/>
    </w:pPr>
    <w:rPr>
      <w:spacing w:val="-20"/>
      <w:sz w:val="24"/>
    </w:rPr>
  </w:style>
  <w:style w:type="paragraph" w:styleId="BodyText">
    <w:name w:val="Body Text"/>
    <w:pPr>
      <w:widowControl/>
      <w:tabs>
        <w:tab w:val="clear" w:pos="720"/>
        <w:tab w:val="left" w:pos="8370" w:leader="none"/>
      </w:tabs>
      <w:bidi w:val="0"/>
      <w:spacing w:lineRule="auto" w:line="360"/>
      <w:ind w:firstLine="720" w:start="0" w:end="0"/>
    </w:pPr>
    <w:rPr>
      <w:rFonts w:ascii="Arial" w:hAnsi="Arial" w:eastAsia="Times New Roman" w:cs="Arial"/>
      <w:color w:val="auto"/>
      <w:sz w:val="26"/>
      <w:szCs w:val="20"/>
      <w:lang w:val="en-US" w:eastAsia="zh-CN" w:bidi="hi-IN"/>
    </w:rPr>
  </w:style>
  <w:style w:type="paragraph" w:styleId="List">
    <w:name w:val="List"/>
    <w:basedOn w:val="BodyText"/>
    <w:pPr/>
    <w:rPr>
      <w:rFonts w:cs="NotoSans NF"/>
    </w:rPr>
  </w:style>
  <w:style w:type="paragraph" w:styleId="Caption">
    <w:name w:val="caption"/>
    <w:basedOn w:val="BodyText"/>
    <w:qFormat/>
    <w:pPr>
      <w:tabs>
        <w:tab w:val="left" w:pos="4320" w:leader="none"/>
        <w:tab w:val="left" w:pos="5040" w:leader="none"/>
        <w:tab w:val="left" w:pos="837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lineRule="exact" w:line="220"/>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clear" w:pos="720"/>
        <w:tab w:val="right" w:pos="9360" w:leader="dot"/>
      </w:tabs>
      <w:suppressAutoHyphens w:val="true"/>
      <w:spacing w:before="120" w:after="120"/>
      <w:ind w:hanging="245" w:start="245" w:end="1440"/>
    </w:pPr>
    <w:rPr>
      <w:b/>
      <w:caps/>
      <w:sz w:val="26"/>
      <w:lang w:val="en-CA"/>
    </w:rPr>
  </w:style>
  <w:style w:type="paragraph" w:styleId="TOC2">
    <w:name w:val="toc 2"/>
    <w:basedOn w:val="Normal"/>
    <w:next w:val="Normal"/>
    <w:pPr>
      <w:tabs>
        <w:tab w:val="clear" w:pos="720"/>
        <w:tab w:val="right" w:pos="9360" w:leader="dot"/>
      </w:tabs>
      <w:suppressAutoHyphens w:val="true"/>
      <w:spacing w:before="0" w:after="120"/>
      <w:ind w:hanging="288" w:start="720" w:end="1440"/>
    </w:pPr>
    <w:rPr>
      <w:smallCaps/>
      <w:lang w:val="en-CA"/>
    </w:rPr>
  </w:style>
  <w:style w:type="paragraph" w:styleId="TOC3">
    <w:name w:val="toc 3"/>
    <w:basedOn w:val="Normal"/>
    <w:next w:val="Normal"/>
    <w:pPr>
      <w:tabs>
        <w:tab w:val="clear" w:pos="720"/>
        <w:tab w:val="right" w:pos="9360" w:leader="dot"/>
      </w:tabs>
      <w:spacing w:before="0" w:after="120"/>
      <w:ind w:hanging="245" w:start="1109" w:end="1440"/>
    </w:pPr>
    <w:rPr>
      <w:lang w:val="en-CA"/>
    </w:rPr>
  </w:style>
  <w:style w:type="paragraph" w:styleId="TOC4">
    <w:name w:val="toc 4"/>
    <w:basedOn w:val="Normal"/>
    <w:next w:val="Normal"/>
    <w:pPr>
      <w:tabs>
        <w:tab w:val="clear" w:pos="720"/>
        <w:tab w:val="right" w:pos="9360" w:leader="dot"/>
      </w:tabs>
      <w:ind w:hanging="0" w:start="480" w:end="0"/>
    </w:pPr>
    <w:rPr>
      <w:sz w:val="18"/>
    </w:rPr>
  </w:style>
  <w:style w:type="paragraph" w:styleId="TOC5">
    <w:name w:val="toc 5"/>
    <w:basedOn w:val="Normal"/>
    <w:next w:val="Normal"/>
    <w:pPr>
      <w:tabs>
        <w:tab w:val="clear" w:pos="720"/>
        <w:tab w:val="right" w:pos="9360" w:leader="dot"/>
      </w:tabs>
      <w:ind w:hanging="0" w:start="720" w:end="0"/>
    </w:pPr>
    <w:rPr>
      <w:sz w:val="18"/>
    </w:rPr>
  </w:style>
  <w:style w:type="paragraph" w:styleId="TOC6">
    <w:name w:val="toc 6"/>
    <w:basedOn w:val="Normal"/>
    <w:next w:val="Normal"/>
    <w:pPr>
      <w:tabs>
        <w:tab w:val="clear" w:pos="720"/>
        <w:tab w:val="right" w:pos="9360" w:leader="dot"/>
      </w:tabs>
      <w:ind w:hanging="0" w:start="960" w:end="0"/>
    </w:pPr>
    <w:rPr>
      <w:sz w:val="18"/>
    </w:rPr>
  </w:style>
  <w:style w:type="paragraph" w:styleId="TOC7">
    <w:name w:val="toc 7"/>
    <w:basedOn w:val="Normal"/>
    <w:next w:val="Normal"/>
    <w:pPr>
      <w:tabs>
        <w:tab w:val="clear" w:pos="720"/>
        <w:tab w:val="right" w:pos="9360" w:leader="dot"/>
      </w:tabs>
      <w:ind w:hanging="0" w:start="1200" w:end="0"/>
    </w:pPr>
    <w:rPr>
      <w:sz w:val="18"/>
    </w:rPr>
  </w:style>
  <w:style w:type="paragraph" w:styleId="TOC8">
    <w:name w:val="toc 8"/>
    <w:basedOn w:val="Normal"/>
    <w:next w:val="Normal"/>
    <w:pPr>
      <w:tabs>
        <w:tab w:val="clear" w:pos="720"/>
        <w:tab w:val="right" w:pos="9360" w:leader="dot"/>
      </w:tabs>
      <w:ind w:hanging="0" w:start="1440" w:end="0"/>
    </w:pPr>
    <w:rPr>
      <w:sz w:val="18"/>
    </w:rPr>
  </w:style>
  <w:style w:type="paragraph" w:styleId="TOC9">
    <w:name w:val="toc 9"/>
    <w:basedOn w:val="Normal"/>
    <w:next w:val="Normal"/>
    <w:pPr>
      <w:tabs>
        <w:tab w:val="clear" w:pos="720"/>
        <w:tab w:val="right" w:pos="9360" w:leader="dot"/>
      </w:tabs>
      <w:ind w:hanging="0" w:start="1680" w:end="0"/>
    </w:pPr>
    <w:rPr>
      <w:sz w:val="18"/>
    </w:rPr>
  </w:style>
  <w:style w:type="paragraph" w:styleId="Header">
    <w:name w:val="header"/>
    <w:basedOn w:val="Normal"/>
    <w:pPr>
      <w:tabs>
        <w:tab w:val="clear" w:pos="720"/>
        <w:tab w:val="center" w:pos="432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clear" w:pos="720"/>
        <w:tab w:val="right" w:pos="8640" w:leader="dot"/>
      </w:tabs>
      <w:ind w:hanging="245" w:start="245" w:end="1440"/>
    </w:pPr>
    <w:rPr>
      <w:i/>
      <w:lang w:val="en-CA" w:eastAsia="en-CA"/>
    </w:rPr>
  </w:style>
  <w:style w:type="paragraph" w:styleId="ListNumber3">
    <w:name w:val="List Number 3"/>
    <w:basedOn w:val="Normal"/>
    <w:qFormat/>
    <w:pPr>
      <w:numPr>
        <w:ilvl w:val="0"/>
        <w:numId w:val="8"/>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Signature">
    <w:name w:val="Signature"/>
    <w:basedOn w:val="BodyText"/>
    <w:pPr>
      <w:keepNext w:val="true"/>
      <w:keepLines/>
      <w:spacing w:lineRule="auto" w:line="240"/>
      <w:ind w:firstLine="720" w:start="4320" w:end="0"/>
    </w:pPr>
    <w:rPr/>
  </w:style>
  <w:style w:type="paragraph" w:styleId="ListBullet">
    <w:name w:val="List Bullet"/>
    <w:basedOn w:val="Normal"/>
    <w:qFormat/>
    <w:pPr>
      <w:numPr>
        <w:ilvl w:val="0"/>
        <w:numId w:val="9"/>
      </w:numPr>
      <w:spacing w:before="0" w:after="120"/>
      <w:ind w:hanging="360" w:start="360" w:end="0"/>
    </w:pPr>
    <w:rPr/>
  </w:style>
  <w:style w:type="paragraph" w:styleId="BriefHeading">
    <w:name w:val="Brief Heading"/>
    <w:basedOn w:val="Normal"/>
    <w:qFormat/>
    <w:pPr>
      <w:jc w:val="center"/>
    </w:pPr>
    <w:rPr>
      <w:smallCaps/>
      <w:sz w:val="28"/>
    </w:rPr>
  </w:style>
  <w:style w:type="paragraph" w:styleId="BriefTitle">
    <w:name w:val="Brief Title"/>
    <w:basedOn w:val="Normal"/>
    <w:qFormat/>
    <w:pPr>
      <w:jc w:val="center"/>
    </w:pPr>
    <w:rPr>
      <w:b/>
      <w:sz w:val="28"/>
    </w:rPr>
  </w:style>
  <w:style w:type="paragraph" w:styleId="BodyTextIndent">
    <w:name w:val="Body Text Indent"/>
    <w:basedOn w:val="Normal"/>
    <w:pPr>
      <w:ind w:hanging="0" w:start="720" w:end="0"/>
    </w:pPr>
    <w:rPr>
      <w:sz w:val="28"/>
    </w:rPr>
  </w:style>
  <w:style w:type="paragraph" w:styleId="BodyTextIndent2">
    <w:name w:val="Body Text Indent 2"/>
    <w:basedOn w:val="Normal"/>
    <w:qFormat/>
    <w:pPr>
      <w:spacing w:lineRule="auto" w:line="360"/>
      <w:ind w:firstLine="720" w:start="0" w:end="0"/>
    </w:pPr>
    <w:rPr>
      <w:sz w:val="28"/>
    </w:rPr>
  </w:style>
  <w:style w:type="paragraph" w:styleId="BodyText2">
    <w:name w:val="Body Text 2"/>
    <w:basedOn w:val="Normal"/>
    <w:qFormat/>
    <w:pPr>
      <w:spacing w:lineRule="auto" w:line="360"/>
    </w:pPr>
    <w:rPr>
      <w:sz w:val="26"/>
    </w:rPr>
  </w:style>
  <w:style w:type="paragraph" w:styleId="BodyTextIndent3">
    <w:name w:val="Body Text Indent 3"/>
    <w:basedOn w:val="Normal"/>
    <w:qFormat/>
    <w:pPr>
      <w:spacing w:lineRule="auto" w:line="360"/>
      <w:ind w:firstLine="720" w:start="0" w:end="0"/>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ORA Brief.dot</Template>
  <TotalTime>2220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2000-06-13T20:15:00Z</dcterms:created>
  <dc:creator>Delia Desuyo</dc:creator>
  <dc:description>Template for long  briefs before FERC (with Table of Contents, Table of Authorities) If you don't need these tables, use the FERC Pleadings- Short template
Updated 3/27/95</dc:description>
  <cp:keywords>Template Legal</cp:keywords>
  <dc:language>en-CA</dc:language>
  <cp:lastModifiedBy>Delia Desuyo</cp:lastModifiedBy>
  <cp:lastPrinted>2000-07-10T12:08:00Z</cp:lastPrinted>
  <dcterms:modified xsi:type="dcterms:W3CDTF">2000-07-10T16:38:00Z</dcterms:modified>
  <cp:revision>377</cp:revision>
  <dc:subject/>
  <dc:title>GTE FCC Filing CC Docket No. 98-79 (ESL)</dc:title>
</cp:coreProperties>
</file>