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5.xml" ContentType="application/vnd.openxmlformats-officedocument.wordprocessingml.header+xml"/>
  <Override PartName="/word/media/image1.png" ContentType="image/png"/>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2.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rPr>
      </w:pPr>
      <w:r>
        <w:rPr>
          <w:sz w:val="26"/>
        </w:rPr>
      </w:r>
    </w:p>
    <w:p>
      <w:pPr>
        <w:pStyle w:val="Normal"/>
        <w:rPr>
          <w:sz w:val="26"/>
        </w:rPr>
      </w:pPr>
      <w:r>
        <w:rPr>
          <w:sz w:val="26"/>
        </w:rPr>
      </w:r>
    </w:p>
    <w:p>
      <w:pPr>
        <w:pStyle w:val="Normal"/>
        <w:rPr>
          <w:sz w:val="26"/>
        </w:rPr>
      </w:pPr>
      <w:r>
        <w:rPr>
          <w:sz w:val="26"/>
        </w:rPr>
        <w:t>July 12, 2001</w:t>
      </w:r>
    </w:p>
    <w:p>
      <w:pPr>
        <w:pStyle w:val="Normal"/>
        <w:jc w:val="end"/>
        <w:rPr>
          <w:sz w:val="26"/>
        </w:rPr>
      </w:pPr>
      <w:r>
        <w:rPr>
          <w:sz w:val="26"/>
        </w:rPr>
        <w:tab/>
        <w:tab/>
        <w:tab/>
        <w:tab/>
      </w:r>
    </w:p>
    <w:p>
      <w:pPr>
        <w:pStyle w:val="Normal"/>
        <w:jc w:val="end"/>
        <w:rPr>
          <w:b/>
          <w:sz w:val="26"/>
          <w:u w:val="single"/>
        </w:rPr>
      </w:pPr>
      <w:r>
        <w:rPr>
          <w:b/>
          <w:sz w:val="26"/>
          <w:u w:val="single"/>
        </w:rPr>
        <w:t>VIA FEDERAL EXPRESS</w:t>
      </w:r>
    </w:p>
    <w:p>
      <w:pPr>
        <w:pStyle w:val="Normal"/>
        <w:rPr>
          <w:sz w:val="26"/>
        </w:rPr>
      </w:pPr>
      <w:r>
        <w:rPr>
          <w:sz w:val="26"/>
        </w:rPr>
        <w:t>David P. Boergers, Secretary</w:t>
      </w:r>
    </w:p>
    <w:p>
      <w:pPr>
        <w:pStyle w:val="Normal"/>
        <w:rPr>
          <w:sz w:val="26"/>
        </w:rPr>
      </w:pPr>
      <w:r>
        <w:rPr>
          <w:sz w:val="26"/>
        </w:rPr>
        <w:t>Office of the Secretary</w:t>
      </w:r>
    </w:p>
    <w:p>
      <w:pPr>
        <w:pStyle w:val="Normal"/>
        <w:rPr>
          <w:sz w:val="26"/>
        </w:rPr>
      </w:pPr>
      <w:r>
        <w:rPr>
          <w:sz w:val="26"/>
        </w:rPr>
        <w:t>Docket Room</w:t>
      </w:r>
    </w:p>
    <w:p>
      <w:pPr>
        <w:pStyle w:val="Heading2"/>
        <w:numPr>
          <w:ilvl w:val="0"/>
          <w:numId w:val="0"/>
        </w:numPr>
        <w:spacing w:before="0" w:after="0"/>
        <w:ind w:hanging="0" w:start="0"/>
        <w:rPr>
          <w:b w:val="false"/>
        </w:rPr>
      </w:pPr>
      <w:r>
        <w:rPr>
          <w:b w:val="false"/>
        </w:rPr>
        <w:t>Federal Energy Regulatory Commission</w:t>
      </w:r>
    </w:p>
    <w:p>
      <w:pPr>
        <w:pStyle w:val="Normal"/>
        <w:rPr>
          <w:sz w:val="26"/>
        </w:rPr>
      </w:pPr>
      <w:r>
        <w:rPr>
          <w:sz w:val="26"/>
        </w:rPr>
        <w:t>888 First Street, N.E., Room 1A, East</w:t>
      </w:r>
    </w:p>
    <w:p>
      <w:pPr>
        <w:pStyle w:val="Heading2"/>
        <w:numPr>
          <w:ilvl w:val="0"/>
          <w:numId w:val="0"/>
        </w:numPr>
        <w:spacing w:before="0" w:after="0"/>
        <w:ind w:hanging="0" w:start="0"/>
        <w:rPr>
          <w:b w:val="false"/>
        </w:rPr>
      </w:pPr>
      <w:r>
        <w:rPr>
          <w:b w:val="false"/>
        </w:rPr>
        <w:t>Washington, D.C.  20002</w:t>
      </w:r>
    </w:p>
    <w:p>
      <w:pPr>
        <w:pStyle w:val="Normal"/>
        <w:rPr>
          <w:b/>
          <w:sz w:val="26"/>
        </w:rPr>
      </w:pPr>
      <w:r>
        <w:rPr>
          <w:b/>
          <w:sz w:val="26"/>
        </w:rPr>
      </w:r>
    </w:p>
    <w:p>
      <w:pPr>
        <w:pStyle w:val="Normal"/>
        <w:rPr>
          <w:sz w:val="26"/>
        </w:rPr>
      </w:pPr>
      <w:r>
        <w:rPr>
          <w:sz w:val="26"/>
        </w:rPr>
      </w:r>
    </w:p>
    <w:p>
      <w:pPr>
        <w:pStyle w:val="Normal"/>
        <w:ind w:hanging="720" w:start="720" w:end="0"/>
        <w:rPr/>
      </w:pPr>
      <w:r>
        <w:rPr>
          <w:sz w:val="26"/>
        </w:rPr>
        <w:t xml:space="preserve">Re: </w:t>
        <w:tab/>
      </w:r>
      <w:r>
        <w:rPr>
          <w:b/>
          <w:bCs/>
          <w:sz w:val="26"/>
          <w:u w:val="single"/>
        </w:rPr>
        <w:t>Public Utilities Commission of the State of California v. El Paso Natural Gas Company et al</w:t>
      </w:r>
      <w:r>
        <w:rPr>
          <w:sz w:val="26"/>
        </w:rPr>
        <w:t>., Docket No. RP00-241-000</w:t>
      </w:r>
    </w:p>
    <w:p>
      <w:pPr>
        <w:pStyle w:val="Normal"/>
        <w:ind w:hanging="720" w:start="720" w:end="0"/>
        <w:rPr>
          <w:b/>
          <w:bCs/>
          <w:sz w:val="26"/>
          <w:u w:val="single"/>
        </w:rPr>
      </w:pPr>
      <w:r>
        <w:rPr>
          <w:b/>
          <w:bCs/>
          <w:sz w:val="26"/>
          <w:u w:val="single"/>
        </w:rPr>
      </w:r>
    </w:p>
    <w:p>
      <w:pPr>
        <w:pStyle w:val="Normal"/>
        <w:rPr>
          <w:b/>
          <w:bCs/>
          <w:sz w:val="26"/>
          <w:u w:val="single"/>
        </w:rPr>
      </w:pPr>
      <w:r>
        <w:rPr>
          <w:b/>
          <w:bCs/>
          <w:sz w:val="26"/>
          <w:u w:val="single"/>
        </w:rPr>
      </w:r>
    </w:p>
    <w:p>
      <w:pPr>
        <w:pStyle w:val="Normal"/>
        <w:rPr>
          <w:sz w:val="26"/>
        </w:rPr>
      </w:pPr>
      <w:r>
        <w:rPr>
          <w:sz w:val="26"/>
        </w:rPr>
        <w:t>Dear Mr. Boergers:</w:t>
      </w:r>
    </w:p>
    <w:p>
      <w:pPr>
        <w:pStyle w:val="Normal"/>
        <w:rPr>
          <w:sz w:val="26"/>
        </w:rPr>
      </w:pPr>
      <w:r>
        <w:rPr>
          <w:sz w:val="26"/>
        </w:rPr>
      </w:r>
    </w:p>
    <w:p>
      <w:pPr>
        <w:pStyle w:val="Normal"/>
        <w:rPr/>
      </w:pPr>
      <w:r>
        <w:rPr>
          <w:sz w:val="26"/>
        </w:rPr>
        <w:t xml:space="preserve">Enclosed for filing in the above-docketed cases, please find an original and fourteen copies of the document entitled </w:t>
      </w:r>
      <w:r>
        <w:rPr>
          <w:b/>
          <w:bCs/>
          <w:sz w:val="26"/>
        </w:rPr>
        <w:t xml:space="preserve">“PREPARED DIRECT TESTIMONY OF ROBERT MARK POCTA (Exhibit PUC-44) AND ACCOMPANYING EXHIBITS (Exhibits PUC-16 through PUC-27 and PUC-45 through PUC-46)”. </w:t>
      </w:r>
    </w:p>
    <w:p>
      <w:pPr>
        <w:pStyle w:val="Normal"/>
        <w:rPr>
          <w:b/>
          <w:bCs/>
          <w:sz w:val="26"/>
        </w:rPr>
      </w:pPr>
      <w:r>
        <w:rPr>
          <w:b/>
          <w:bCs/>
          <w:sz w:val="26"/>
        </w:rPr>
      </w:r>
    </w:p>
    <w:p>
      <w:pPr>
        <w:pStyle w:val="Normal"/>
        <w:rPr>
          <w:sz w:val="26"/>
        </w:rPr>
      </w:pPr>
      <w:r>
        <w:rPr>
          <w:sz w:val="26"/>
        </w:rPr>
        <w:t>Thank you for your cooperation in this matter.</w:t>
      </w:r>
    </w:p>
    <w:p>
      <w:pPr>
        <w:pStyle w:val="Normal"/>
        <w:rPr>
          <w:sz w:val="26"/>
        </w:rPr>
      </w:pPr>
      <w:r>
        <w:rPr>
          <w:sz w:val="26"/>
        </w:rPr>
      </w:r>
    </w:p>
    <w:p>
      <w:pPr>
        <w:pStyle w:val="Normal"/>
        <w:rPr>
          <w:sz w:val="26"/>
        </w:rPr>
      </w:pPr>
      <w:r>
        <w:rPr>
          <w:sz w:val="26"/>
        </w:rPr>
        <w:t xml:space="preserve">Sincerely,  </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Harvey Y. Morris</w:t>
      </w:r>
    </w:p>
    <w:p>
      <w:pPr>
        <w:pStyle w:val="Normal"/>
        <w:rPr>
          <w:sz w:val="26"/>
        </w:rPr>
      </w:pPr>
      <w:r>
        <w:rPr>
          <w:sz w:val="26"/>
        </w:rPr>
        <w:t>Principal Counsel</w:t>
      </w:r>
    </w:p>
    <w:p>
      <w:pPr>
        <w:pStyle w:val="Normal"/>
        <w:rPr>
          <w:sz w:val="26"/>
        </w:rPr>
      </w:pPr>
      <w:r>
        <w:rPr>
          <w:sz w:val="26"/>
        </w:rPr>
      </w:r>
    </w:p>
    <w:p>
      <w:pPr>
        <w:pStyle w:val="Normal"/>
        <w:rPr>
          <w:sz w:val="26"/>
        </w:rPr>
      </w:pPr>
      <w:r>
        <w:rPr>
          <w:sz w:val="26"/>
        </w:rPr>
      </w:r>
    </w:p>
    <w:p>
      <w:pPr>
        <w:pStyle w:val="Normal"/>
        <w:rPr>
          <w:sz w:val="26"/>
        </w:rPr>
      </w:pPr>
      <w:r>
        <w:rPr>
          <w:sz w:val="26"/>
        </w:rPr>
        <w:t>HYM:ngs</w:t>
      </w:r>
    </w:p>
    <w:p>
      <w:pPr>
        <w:pStyle w:val="Normal"/>
        <w:rPr>
          <w:sz w:val="26"/>
        </w:rPr>
      </w:pPr>
      <w:r>
        <w:rPr>
          <w:sz w:val="26"/>
        </w:rPr>
      </w:r>
    </w:p>
    <w:p>
      <w:pPr>
        <w:pStyle w:val="Normal"/>
        <w:rPr>
          <w:sz w:val="26"/>
        </w:rPr>
      </w:pPr>
      <w:r>
        <w:rPr>
          <w:sz w:val="26"/>
        </w:rPr>
        <w:t>Enclosures (15)</w:t>
      </w:r>
    </w:p>
    <w:p>
      <w:pPr>
        <w:pStyle w:val="Heading2"/>
        <w:numPr>
          <w:ilvl w:val="0"/>
          <w:numId w:val="0"/>
        </w:numPr>
        <w:spacing w:before="0" w:after="0"/>
        <w:ind w:hanging="0" w:start="0"/>
        <w:rPr>
          <w:sz w:val="26"/>
        </w:rPr>
      </w:pPr>
      <w:r>
        <w:rPr>
          <w:sz w:val="26"/>
        </w:rPr>
      </w:r>
    </w:p>
    <w:p>
      <w:pPr>
        <w:pStyle w:val="BodyText"/>
        <w:tabs>
          <w:tab w:val="clear" w:pos="0"/>
        </w:tabs>
        <w:spacing w:lineRule="auto" w:line="240"/>
        <w:rPr/>
      </w:pPr>
      <w:r>
        <w:rPr/>
        <w:t>cc:</w:t>
        <w:tab/>
        <w:t xml:space="preserve">Hon. Curtis L. Wagner, Jr.  </w:t>
      </w:r>
    </w:p>
    <w:p>
      <w:pPr>
        <w:pStyle w:val="Heading2"/>
        <w:numPr>
          <w:ilvl w:val="0"/>
          <w:numId w:val="0"/>
        </w:numPr>
        <w:spacing w:before="0" w:after="0"/>
        <w:ind w:hanging="0" w:start="0"/>
        <w:rPr/>
      </w:pPr>
      <w:r>
        <w:rPr/>
        <w:tab/>
      </w:r>
      <w:r>
        <w:rPr>
          <w:b w:val="false"/>
          <w:bCs/>
        </w:rPr>
        <w:t>All Parties on Service List</w:t>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1440"/>
          <w:lnNumType w:countBy="1" w:restart="newPage" w:distance="283"/>
          <w:pgNumType w:start="1" w:fmt="decimal"/>
          <w:formProt w:val="false"/>
          <w:titlePg/>
          <w:textDirection w:val="lrTb"/>
          <w:docGrid w:type="default" w:linePitch="360" w:charSpace="0"/>
        </w:sectPr>
        <w:pStyle w:val="Heading"/>
        <w:jc w:val="start"/>
        <w:rPr>
          <w:b w:val="false"/>
          <w:bCs/>
        </w:rPr>
      </w:pPr>
      <w:r>
        <w:rPr>
          <w:b w:val="false"/>
          <w:bCs/>
        </w:rPr>
      </w:r>
    </w:p>
    <w:p>
      <w:pPr>
        <w:pStyle w:val="Heading"/>
        <w:rPr/>
      </w:pPr>
      <w:r>
        <w:rPr/>
        <w:t>UNITED STATES OF AMERICA</w:t>
      </w:r>
    </w:p>
    <w:p>
      <w:pPr>
        <w:pStyle w:val="Heading"/>
        <w:rPr/>
      </w:pPr>
      <w:r>
        <w:rPr/>
        <w:t>BEFORE THE</w:t>
      </w:r>
    </w:p>
    <w:p>
      <w:pPr>
        <w:pStyle w:val="Heading"/>
        <w:rPr/>
      </w:pPr>
      <w:r>
        <w:rPr/>
        <w:t>FEDERAL ENERGY REGULATORY COMMISSION</w:t>
      </w:r>
    </w:p>
    <w:p>
      <w:pPr>
        <w:pStyle w:val="Normal"/>
        <w:spacing w:lineRule="auto" w:line="360"/>
        <w:jc w:val="center"/>
        <w:rPr>
          <w:b/>
          <w:sz w:val="26"/>
        </w:rPr>
      </w:pPr>
      <w:r>
        <w:rPr>
          <w:b/>
          <w:sz w:val="26"/>
        </w:rPr>
      </w:r>
    </w:p>
    <w:p>
      <w:pPr>
        <w:pStyle w:val="Normal"/>
        <w:spacing w:lineRule="auto" w:line="360"/>
        <w:jc w:val="center"/>
        <w:rPr>
          <w:b/>
          <w:sz w:val="26"/>
        </w:rPr>
      </w:pPr>
      <w:r>
        <w:rPr>
          <w:b/>
          <w:sz w:val="26"/>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end w:val="single" w:sz="6" w:space="0" w:color="000000"/>
            </w:tcBorders>
          </w:tcPr>
          <w:p>
            <w:pPr>
              <w:pStyle w:val="Caption"/>
              <w:rPr/>
            </w:pPr>
            <w:r>
              <w:rPr/>
              <w:t>Public Utilities Commission of the</w:t>
            </w:r>
          </w:p>
          <w:p>
            <w:pPr>
              <w:pStyle w:val="Caption"/>
              <w:rPr/>
            </w:pPr>
            <w:r>
              <w:rPr/>
              <w:t>State of California</w:t>
            </w:r>
          </w:p>
          <w:p>
            <w:pPr>
              <w:pStyle w:val="Caption"/>
              <w:rPr/>
            </w:pPr>
            <w:r>
              <w:rPr/>
            </w:r>
          </w:p>
          <w:p>
            <w:pPr>
              <w:pStyle w:val="Caption"/>
              <w:rPr/>
            </w:pPr>
            <w:r>
              <w:rPr/>
              <w:t>v.</w:t>
            </w:r>
          </w:p>
        </w:tc>
        <w:tc>
          <w:tcPr>
            <w:tcW w:w="4068" w:type="dxa"/>
            <w:tcBorders/>
          </w:tcPr>
          <w:p>
            <w:pPr>
              <w:pStyle w:val="Caption"/>
              <w:snapToGrid w:val="false"/>
              <w:jc w:val="center"/>
              <w:rPr/>
            </w:pPr>
            <w:r>
              <w:rPr/>
            </w:r>
          </w:p>
          <w:p>
            <w:pPr>
              <w:pStyle w:val="Caption"/>
              <w:jc w:val="center"/>
              <w:rPr/>
            </w:pPr>
            <w:r>
              <w:rPr/>
            </w:r>
          </w:p>
          <w:p>
            <w:pPr>
              <w:pStyle w:val="Caption"/>
              <w:jc w:val="center"/>
              <w:rPr/>
            </w:pPr>
            <w:r>
              <w:rPr/>
            </w:r>
          </w:p>
          <w:p>
            <w:pPr>
              <w:pStyle w:val="Caption"/>
              <w:jc w:val="center"/>
              <w:rPr/>
            </w:pPr>
            <w:r>
              <w:rPr/>
              <w:t>Docket No. RP00-241-000</w:t>
            </w:r>
          </w:p>
        </w:tc>
      </w:tr>
      <w:tr>
        <w:trPr/>
        <w:tc>
          <w:tcPr>
            <w:tcW w:w="4428" w:type="dxa"/>
            <w:tcBorders>
              <w:end w:val="single" w:sz="6" w:space="0" w:color="000000"/>
            </w:tcBorders>
          </w:tcPr>
          <w:p>
            <w:pPr>
              <w:pStyle w:val="Caption"/>
              <w:snapToGrid w:val="false"/>
              <w:rPr/>
            </w:pPr>
            <w:r>
              <w:rPr/>
            </w:r>
          </w:p>
          <w:p>
            <w:pPr>
              <w:pStyle w:val="Caption"/>
              <w:rPr/>
            </w:pPr>
            <w:r>
              <w:rPr/>
              <w:t>El Paso Natural Gas Company,</w:t>
            </w:r>
          </w:p>
          <w:p>
            <w:pPr>
              <w:pStyle w:val="Caption"/>
              <w:rPr/>
            </w:pPr>
            <w:r>
              <w:rPr/>
              <w:t>El Paso Merchant Energy-Gas, L.P.,</w:t>
            </w:r>
          </w:p>
          <w:p>
            <w:pPr>
              <w:pStyle w:val="Caption"/>
              <w:rPr/>
            </w:pPr>
            <w:r>
              <w:rPr/>
              <w:t>and El Paso Merchant Energy</w:t>
            </w:r>
          </w:p>
          <w:p>
            <w:pPr>
              <w:pStyle w:val="Caption"/>
              <w:rPr/>
            </w:pPr>
            <w:r>
              <w:rPr/>
              <w:t>Company.</w:t>
            </w:r>
          </w:p>
          <w:p>
            <w:pPr>
              <w:pStyle w:val="Caption"/>
              <w:rPr/>
            </w:pPr>
            <w:r>
              <w:rPr/>
            </w:r>
          </w:p>
        </w:tc>
        <w:tc>
          <w:tcPr>
            <w:tcW w:w="4068" w:type="dxa"/>
            <w:tcBorders/>
          </w:tcPr>
          <w:p>
            <w:pPr>
              <w:pStyle w:val="Caption"/>
              <w:snapToGrid w:val="false"/>
              <w:jc w:val="center"/>
              <w:rPr/>
            </w:pPr>
            <w:r>
              <w:rPr/>
            </w:r>
          </w:p>
        </w:tc>
      </w:tr>
      <w:tr>
        <w:trPr/>
        <w:tc>
          <w:tcPr>
            <w:tcW w:w="4428" w:type="dxa"/>
            <w:tcBorders>
              <w:bottom w:val="single" w:sz="6" w:space="0" w:color="000000"/>
              <w:end w:val="single" w:sz="6" w:space="0" w:color="000000"/>
            </w:tcBorders>
          </w:tcPr>
          <w:p>
            <w:pPr>
              <w:pStyle w:val="Caption"/>
              <w:snapToGrid w:val="false"/>
              <w:rPr/>
            </w:pPr>
            <w:r>
              <w:rPr/>
            </w:r>
          </w:p>
        </w:tc>
        <w:tc>
          <w:tcPr>
            <w:tcW w:w="4068" w:type="dxa"/>
            <w:tcBorders/>
          </w:tcPr>
          <w:p>
            <w:pPr>
              <w:pStyle w:val="Caption"/>
              <w:snapToGrid w:val="false"/>
              <w:rPr/>
            </w:pPr>
            <w:r>
              <w:rPr/>
            </w:r>
          </w:p>
        </w:tc>
      </w:tr>
    </w:tbl>
    <w:p>
      <w:pPr>
        <w:pStyle w:val="Normal"/>
        <w:spacing w:lineRule="auto" w:line="360"/>
        <w:rPr>
          <w:b/>
          <w:sz w:val="26"/>
        </w:rPr>
      </w:pPr>
      <w:r>
        <w:rPr>
          <w:b/>
          <w:sz w:val="26"/>
        </w:rPr>
      </w:r>
    </w:p>
    <w:p>
      <w:pPr>
        <w:pStyle w:val="Normal"/>
        <w:spacing w:lineRule="auto" w:line="360"/>
        <w:rPr>
          <w:b/>
          <w:sz w:val="26"/>
        </w:rPr>
      </w:pPr>
      <w:r>
        <w:rPr>
          <w:b/>
          <w:sz w:val="26"/>
        </w:rPr>
      </w:r>
    </w:p>
    <w:p>
      <w:pPr>
        <w:pStyle w:val="Heading"/>
        <w:rPr/>
      </w:pPr>
      <w:r>
        <w:rPr/>
        <w:t xml:space="preserve">PREPARED DIRECT TESTIMONY OF   </w:t>
      </w:r>
    </w:p>
    <w:p>
      <w:pPr>
        <w:pStyle w:val="Normal"/>
        <w:jc w:val="center"/>
        <w:rPr/>
      </w:pPr>
      <w:r>
        <w:rPr>
          <w:b/>
          <w:smallCaps/>
          <w:sz w:val="28"/>
        </w:rPr>
        <w:t>ROBERT MARK POCTA</w:t>
      </w:r>
      <w:r>
        <w:rPr/>
        <w:t xml:space="preserve"> </w:t>
      </w:r>
      <w:r>
        <w:rPr>
          <w:b/>
          <w:bCs/>
          <w:sz w:val="28"/>
        </w:rPr>
        <w:t>(Exhibit PUC-44)</w:t>
      </w:r>
    </w:p>
    <w:p>
      <w:pPr>
        <w:pStyle w:val="Heading"/>
        <w:rPr/>
      </w:pPr>
      <w:r>
        <w:rPr/>
        <w:t xml:space="preserve">AND ACCOMPANYING EXHIBITS  </w:t>
      </w:r>
    </w:p>
    <w:p>
      <w:pPr>
        <w:pStyle w:val="Normal"/>
        <w:jc w:val="center"/>
        <w:rPr>
          <w:b/>
          <w:bCs/>
          <w:sz w:val="28"/>
        </w:rPr>
      </w:pPr>
      <w:r>
        <w:rPr>
          <w:b/>
          <w:bCs/>
          <w:sz w:val="28"/>
        </w:rPr>
        <w:t xml:space="preserve">(Exhibits PUC-16 through PUC-27 and </w:t>
      </w:r>
    </w:p>
    <w:p>
      <w:pPr>
        <w:pStyle w:val="Normal"/>
        <w:jc w:val="center"/>
        <w:rPr>
          <w:b/>
          <w:bCs/>
          <w:sz w:val="28"/>
        </w:rPr>
      </w:pPr>
      <w:r>
        <w:rPr>
          <w:b/>
          <w:bCs/>
          <w:sz w:val="28"/>
        </w:rPr>
        <w:t>PUC-45 through PUC-46)</w:t>
      </w:r>
    </w:p>
    <w:p>
      <w:pPr>
        <w:pStyle w:val="Heading"/>
        <w:rPr>
          <w:b w:val="false"/>
          <w:bCs/>
          <w:sz w:val="28"/>
        </w:rPr>
      </w:pPr>
      <w:r>
        <w:rPr>
          <w:b w:val="false"/>
          <w:bCs/>
          <w:sz w:val="28"/>
        </w:rPr>
      </w:r>
    </w:p>
    <w:p>
      <w:pPr>
        <w:pStyle w:val="Heading"/>
        <w:rPr/>
      </w:pPr>
      <w:r>
        <w:rPr/>
      </w:r>
    </w:p>
    <w:p>
      <w:pPr>
        <w:pStyle w:val="Heading"/>
        <w:rPr/>
      </w:pPr>
      <w:r>
        <w:rPr/>
      </w:r>
    </w:p>
    <w:p>
      <w:pPr>
        <w:pStyle w:val="Heading"/>
        <w:rPr/>
      </w:pPr>
      <w:r>
        <w:rPr/>
      </w:r>
    </w:p>
    <w:p>
      <w:pPr>
        <w:pStyle w:val="Heading"/>
        <w:rPr/>
      </w:pPr>
      <w:r>
        <w:rPr/>
      </w:r>
    </w:p>
    <w:p>
      <w:pPr>
        <w:pStyle w:val="Heading"/>
        <w:tabs>
          <w:tab w:val="clear" w:pos="720"/>
          <w:tab w:val="left" w:pos="5040" w:leader="none"/>
        </w:tabs>
        <w:ind w:start="4320" w:end="0"/>
        <w:jc w:val="start"/>
        <w:rPr>
          <w:sz w:val="26"/>
        </w:rPr>
      </w:pPr>
      <w:r>
        <w:rPr>
          <w:sz w:val="26"/>
        </w:rPr>
        <w:t>GARY M. COHEN</w:t>
      </w:r>
    </w:p>
    <w:p>
      <w:pPr>
        <w:pStyle w:val="Heading"/>
        <w:tabs>
          <w:tab w:val="clear" w:pos="720"/>
          <w:tab w:val="left" w:pos="5040" w:leader="none"/>
        </w:tabs>
        <w:ind w:start="4320" w:end="0"/>
        <w:jc w:val="start"/>
        <w:rPr>
          <w:sz w:val="26"/>
        </w:rPr>
      </w:pPr>
      <w:r>
        <w:rPr>
          <w:sz w:val="26"/>
        </w:rPr>
        <w:t>AROCLES AGUILAR</w:t>
      </w:r>
    </w:p>
    <w:p>
      <w:pPr>
        <w:pStyle w:val="Heading"/>
        <w:tabs>
          <w:tab w:val="clear" w:pos="720"/>
          <w:tab w:val="left" w:pos="5040" w:leader="none"/>
        </w:tabs>
        <w:ind w:start="4320" w:end="0"/>
        <w:jc w:val="start"/>
        <w:rPr>
          <w:sz w:val="26"/>
        </w:rPr>
      </w:pPr>
      <w:r>
        <w:rPr>
          <w:sz w:val="26"/>
        </w:rPr>
        <w:t>HARVEY Y. MORRIS</w:t>
      </w:r>
    </w:p>
    <w:p>
      <w:pPr>
        <w:pStyle w:val="Heading"/>
        <w:tabs>
          <w:tab w:val="clear" w:pos="720"/>
          <w:tab w:val="left" w:pos="5040" w:leader="none"/>
        </w:tabs>
        <w:ind w:start="4320" w:end="0"/>
        <w:jc w:val="start"/>
        <w:rPr>
          <w:sz w:val="26"/>
        </w:rPr>
      </w:pPr>
      <w:r>
        <w:rPr>
          <w:sz w:val="26"/>
        </w:rPr>
        <w:t>JONATHAN A. BROMSON</w:t>
      </w:r>
    </w:p>
    <w:p>
      <w:pPr>
        <w:pStyle w:val="Heading"/>
        <w:tabs>
          <w:tab w:val="clear" w:pos="720"/>
          <w:tab w:val="left" w:pos="5040" w:leader="none"/>
        </w:tabs>
        <w:ind w:start="1440" w:end="0"/>
        <w:rPr>
          <w:sz w:val="26"/>
        </w:rPr>
      </w:pPr>
      <w:r>
        <w:rPr>
          <w:sz w:val="26"/>
        </w:rPr>
      </w:r>
    </w:p>
    <w:p>
      <w:pPr>
        <w:pStyle w:val="Footer"/>
        <w:tabs>
          <w:tab w:val="clear" w:pos="4320"/>
          <w:tab w:val="clear" w:pos="8640"/>
        </w:tabs>
        <w:rPr/>
      </w:pPr>
      <w:r>
        <w:rPr/>
        <w:tab/>
        <w:tab/>
        <w:tab/>
        <w:tab/>
        <w:tab/>
        <w:tab/>
      </w:r>
      <w:r>
        <w:rPr>
          <w:sz w:val="26"/>
        </w:rPr>
        <w:t>Attorneys for the Public Utilities</w:t>
      </w:r>
    </w:p>
    <w:p>
      <w:pPr>
        <w:pStyle w:val="Footer"/>
        <w:tabs>
          <w:tab w:val="clear" w:pos="4320"/>
          <w:tab w:val="clear" w:pos="8640"/>
        </w:tabs>
        <w:rPr>
          <w:sz w:val="26"/>
        </w:rPr>
      </w:pPr>
      <w:r>
        <w:rPr>
          <w:sz w:val="26"/>
        </w:rPr>
        <w:tab/>
        <w:tab/>
        <w:tab/>
        <w:tab/>
        <w:tab/>
        <w:tab/>
        <w:t>Commission of the State of California</w:t>
      </w:r>
    </w:p>
    <w:p>
      <w:pPr>
        <w:pStyle w:val="Footer"/>
        <w:tabs>
          <w:tab w:val="clear" w:pos="4320"/>
          <w:tab w:val="clear" w:pos="8640"/>
        </w:tabs>
        <w:rPr>
          <w:sz w:val="26"/>
        </w:rPr>
      </w:pPr>
      <w:r>
        <w:rPr>
          <w:sz w:val="26"/>
        </w:rPr>
      </w:r>
    </w:p>
    <w:p>
      <w:pPr>
        <w:pStyle w:val="Footer"/>
        <w:tabs>
          <w:tab w:val="clear" w:pos="4320"/>
          <w:tab w:val="clear" w:pos="8640"/>
        </w:tabs>
        <w:rPr>
          <w:sz w:val="26"/>
        </w:rPr>
      </w:pPr>
      <w:r>
        <w:rPr>
          <w:sz w:val="26"/>
        </w:rPr>
        <w:tab/>
        <w:tab/>
        <w:tab/>
        <w:tab/>
        <w:tab/>
        <w:tab/>
        <w:t>505 Van Ness Avenue, Room 5138</w:t>
      </w:r>
    </w:p>
    <w:p>
      <w:pPr>
        <w:pStyle w:val="Footer"/>
        <w:tabs>
          <w:tab w:val="clear" w:pos="4320"/>
          <w:tab w:val="clear" w:pos="8640"/>
        </w:tabs>
        <w:rPr>
          <w:sz w:val="26"/>
        </w:rPr>
      </w:pPr>
      <w:r>
        <w:rPr>
          <w:sz w:val="26"/>
        </w:rPr>
        <w:tab/>
        <w:tab/>
        <w:tab/>
        <w:tab/>
        <w:tab/>
        <w:tab/>
        <w:t>San Francisco, CA  94102</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lnNumType w:countBy="1" w:restart="newPage" w:distance="283"/>
          <w:pgNumType w:start="1" w:fmt="decimal"/>
          <w:formProt w:val="false"/>
          <w:titlePg/>
          <w:textDirection w:val="lrTb"/>
          <w:docGrid w:type="default" w:linePitch="360" w:charSpace="0"/>
        </w:sectPr>
        <w:pStyle w:val="Footer"/>
        <w:tabs>
          <w:tab w:val="clear" w:pos="4320"/>
          <w:tab w:val="clear" w:pos="8640"/>
        </w:tabs>
        <w:rPr>
          <w:sz w:val="26"/>
        </w:rPr>
      </w:pPr>
      <w:r>
        <w:rPr>
          <w:sz w:val="26"/>
        </w:rPr>
        <w:t>Filed:  July 13, 2001</w:t>
        <w:tab/>
        <w:tab/>
        <w:tab/>
        <w:tab/>
        <w:t>Phone: (415) 703-1086</w:t>
      </w:r>
    </w:p>
    <w:p>
      <w:pPr>
        <w:pStyle w:val="Heading"/>
        <w:jc w:val="start"/>
        <w:rPr>
          <w:sz w:val="26"/>
        </w:rPr>
      </w:pPr>
      <w:r>
        <w:rPr>
          <w:sz w:val="26"/>
        </w:rPr>
      </w:r>
    </w:p>
    <w:p>
      <w:pPr>
        <w:pStyle w:val="Heading"/>
        <w:rPr/>
      </w:pPr>
      <w:r>
        <w:rPr/>
        <w:t>UNITED STATES OF AMERICA</w:t>
      </w:r>
    </w:p>
    <w:p>
      <w:pPr>
        <w:pStyle w:val="Heading"/>
        <w:rPr/>
      </w:pPr>
      <w:r>
        <w:rPr/>
        <w:t>BEFORE THE</w:t>
      </w:r>
    </w:p>
    <w:p>
      <w:pPr>
        <w:pStyle w:val="Heading"/>
        <w:rPr/>
      </w:pPr>
      <w:r>
        <w:rPr/>
        <w:t>FEDERAL ENERGY REGULATORY COMMISSION</w:t>
      </w:r>
    </w:p>
    <w:p>
      <w:pPr>
        <w:pStyle w:val="Normal"/>
        <w:spacing w:lineRule="auto" w:line="360"/>
        <w:jc w:val="center"/>
        <w:rPr>
          <w:b/>
          <w:sz w:val="26"/>
        </w:rPr>
      </w:pPr>
      <w:r>
        <w:rPr>
          <w:b/>
          <w:sz w:val="26"/>
        </w:rPr>
      </w:r>
    </w:p>
    <w:p>
      <w:pPr>
        <w:pStyle w:val="Normal"/>
        <w:spacing w:lineRule="auto" w:line="360" w:before="0" w:after="120"/>
        <w:rPr>
          <w:b/>
          <w:smallCaps/>
          <w:sz w:val="26"/>
        </w:rPr>
      </w:pPr>
      <w:r>
        <w:rPr>
          <w:b/>
          <w:smallCaps/>
          <w:sz w:val="26"/>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end w:val="single" w:sz="6" w:space="0" w:color="000000"/>
            </w:tcBorders>
          </w:tcPr>
          <w:p>
            <w:pPr>
              <w:pStyle w:val="Caption"/>
              <w:rPr/>
            </w:pPr>
            <w:r>
              <w:rPr/>
              <w:t>Public Utilities Commission of the</w:t>
            </w:r>
          </w:p>
          <w:p>
            <w:pPr>
              <w:pStyle w:val="Caption"/>
              <w:rPr/>
            </w:pPr>
            <w:r>
              <w:rPr/>
              <w:t>State of California</w:t>
            </w:r>
          </w:p>
          <w:p>
            <w:pPr>
              <w:pStyle w:val="Caption"/>
              <w:rPr/>
            </w:pPr>
            <w:r>
              <w:rPr/>
            </w:r>
          </w:p>
          <w:p>
            <w:pPr>
              <w:pStyle w:val="Caption"/>
              <w:rPr/>
            </w:pPr>
            <w:r>
              <w:rPr/>
              <w:t>v.</w:t>
            </w:r>
          </w:p>
        </w:tc>
        <w:tc>
          <w:tcPr>
            <w:tcW w:w="4068" w:type="dxa"/>
            <w:tcBorders/>
          </w:tcPr>
          <w:p>
            <w:pPr>
              <w:pStyle w:val="Caption"/>
              <w:snapToGrid w:val="false"/>
              <w:jc w:val="center"/>
              <w:rPr/>
            </w:pPr>
            <w:r>
              <w:rPr/>
            </w:r>
          </w:p>
          <w:p>
            <w:pPr>
              <w:pStyle w:val="Caption"/>
              <w:jc w:val="center"/>
              <w:rPr/>
            </w:pPr>
            <w:r>
              <w:rPr/>
            </w:r>
          </w:p>
          <w:p>
            <w:pPr>
              <w:pStyle w:val="Caption"/>
              <w:jc w:val="center"/>
              <w:rPr/>
            </w:pPr>
            <w:r>
              <w:rPr/>
            </w:r>
          </w:p>
          <w:p>
            <w:pPr>
              <w:pStyle w:val="Caption"/>
              <w:jc w:val="center"/>
              <w:rPr/>
            </w:pPr>
            <w:r>
              <w:rPr/>
              <w:t>Docket No. RP00-241-000</w:t>
            </w:r>
          </w:p>
        </w:tc>
      </w:tr>
      <w:tr>
        <w:trPr/>
        <w:tc>
          <w:tcPr>
            <w:tcW w:w="4428" w:type="dxa"/>
            <w:tcBorders>
              <w:end w:val="single" w:sz="6" w:space="0" w:color="000000"/>
            </w:tcBorders>
          </w:tcPr>
          <w:p>
            <w:pPr>
              <w:pStyle w:val="Caption"/>
              <w:snapToGrid w:val="false"/>
              <w:rPr/>
            </w:pPr>
            <w:r>
              <w:rPr/>
            </w:r>
          </w:p>
          <w:p>
            <w:pPr>
              <w:pStyle w:val="Caption"/>
              <w:rPr/>
            </w:pPr>
            <w:r>
              <w:rPr/>
              <w:t>El Paso Natural Gas Company,</w:t>
            </w:r>
          </w:p>
          <w:p>
            <w:pPr>
              <w:pStyle w:val="Caption"/>
              <w:rPr/>
            </w:pPr>
            <w:r>
              <w:rPr/>
              <w:t>El Paso Merchant Energy-Gas, L.P.,</w:t>
            </w:r>
          </w:p>
          <w:p>
            <w:pPr>
              <w:pStyle w:val="Caption"/>
              <w:rPr/>
            </w:pPr>
            <w:r>
              <w:rPr/>
              <w:t>and El Paso Merchant Energy</w:t>
            </w:r>
          </w:p>
          <w:p>
            <w:pPr>
              <w:pStyle w:val="Caption"/>
              <w:rPr/>
            </w:pPr>
            <w:r>
              <w:rPr/>
              <w:t>Company.</w:t>
            </w:r>
          </w:p>
          <w:p>
            <w:pPr>
              <w:pStyle w:val="Caption"/>
              <w:rPr/>
            </w:pPr>
            <w:r>
              <w:rPr/>
            </w:r>
          </w:p>
        </w:tc>
        <w:tc>
          <w:tcPr>
            <w:tcW w:w="4068" w:type="dxa"/>
            <w:tcBorders/>
          </w:tcPr>
          <w:p>
            <w:pPr>
              <w:pStyle w:val="Caption"/>
              <w:snapToGrid w:val="false"/>
              <w:jc w:val="center"/>
              <w:rPr/>
            </w:pPr>
            <w:r>
              <w:rPr/>
            </w:r>
          </w:p>
        </w:tc>
      </w:tr>
      <w:tr>
        <w:trPr/>
        <w:tc>
          <w:tcPr>
            <w:tcW w:w="4428" w:type="dxa"/>
            <w:tcBorders>
              <w:bottom w:val="single" w:sz="6" w:space="0" w:color="000000"/>
              <w:end w:val="single" w:sz="6" w:space="0" w:color="000000"/>
            </w:tcBorders>
          </w:tcPr>
          <w:p>
            <w:pPr>
              <w:pStyle w:val="Caption"/>
              <w:snapToGrid w:val="false"/>
              <w:rPr/>
            </w:pPr>
            <w:r>
              <w:rPr/>
            </w:r>
          </w:p>
        </w:tc>
        <w:tc>
          <w:tcPr>
            <w:tcW w:w="4068" w:type="dxa"/>
            <w:tcBorders/>
          </w:tcPr>
          <w:p>
            <w:pPr>
              <w:pStyle w:val="Caption"/>
              <w:snapToGrid w:val="false"/>
              <w:rPr/>
            </w:pPr>
            <w:r>
              <w:rPr/>
            </w:r>
          </w:p>
        </w:tc>
      </w:tr>
    </w:tbl>
    <w:p>
      <w:pPr>
        <w:pStyle w:val="Normal"/>
        <w:spacing w:lineRule="auto" w:line="360"/>
        <w:rPr>
          <w:b/>
          <w:sz w:val="26"/>
        </w:rPr>
      </w:pPr>
      <w:r>
        <w:rPr>
          <w:b/>
          <w:sz w:val="26"/>
        </w:rPr>
      </w:r>
    </w:p>
    <w:p>
      <w:pPr>
        <w:pStyle w:val="Heading"/>
        <w:rPr/>
      </w:pPr>
      <w:r>
        <w:rPr/>
        <w:t xml:space="preserve">PREPARED DIRECT TESTIMONY OF </w:t>
      </w:r>
    </w:p>
    <w:p>
      <w:pPr>
        <w:pStyle w:val="Heading"/>
        <w:rPr/>
      </w:pPr>
      <w:r>
        <w:rPr/>
        <w:t xml:space="preserve">ROBERT MARK POCTA </w:t>
      </w:r>
    </w:p>
    <w:p>
      <w:pPr>
        <w:pStyle w:val="Heading"/>
        <w:rPr/>
      </w:pPr>
      <w:r>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60" w:charSpace="0"/>
        </w:sectPr>
      </w:pPr>
    </w:p>
    <w:p>
      <w:pPr>
        <w:pStyle w:val="Normal"/>
        <w:numPr>
          <w:ilvl w:val="0"/>
          <w:numId w:val="35"/>
        </w:numPr>
        <w:tabs>
          <w:tab w:val="left" w:pos="0" w:leader="none"/>
          <w:tab w:val="left" w:pos="720" w:leader="none"/>
        </w:tabs>
        <w:spacing w:lineRule="auto" w:line="480"/>
        <w:rPr>
          <w:sz w:val="26"/>
        </w:rPr>
      </w:pPr>
      <w:r>
        <w:rPr>
          <w:sz w:val="26"/>
        </w:rPr>
        <w:t>Please state your name and business address.</w:t>
      </w:r>
    </w:p>
    <w:p>
      <w:pPr>
        <w:pStyle w:val="Normal"/>
        <w:numPr>
          <w:ilvl w:val="0"/>
          <w:numId w:val="16"/>
        </w:numPr>
        <w:tabs>
          <w:tab w:val="left" w:pos="720" w:leader="none"/>
        </w:tabs>
        <w:spacing w:lineRule="auto" w:line="480"/>
        <w:ind w:hanging="720" w:start="720" w:end="0"/>
        <w:rPr>
          <w:sz w:val="26"/>
        </w:rPr>
      </w:pPr>
      <w:r>
        <w:rPr>
          <w:sz w:val="26"/>
        </w:rPr>
        <w:t>My name is Robert Mark Pocta.  My business address is the California Public Utilities Commission, 505 Van Ness Avenue, San Francisco, California, 94102.</w:t>
      </w:r>
    </w:p>
    <w:p>
      <w:pPr>
        <w:pStyle w:val="Normal"/>
        <w:tabs>
          <w:tab w:val="left" w:pos="720" w:leader="none"/>
        </w:tabs>
        <w:spacing w:lineRule="auto" w:line="480"/>
        <w:rPr>
          <w:sz w:val="26"/>
        </w:rPr>
      </w:pPr>
      <w:r>
        <w:rPr>
          <w:sz w:val="26"/>
        </w:rPr>
      </w:r>
    </w:p>
    <w:p>
      <w:pPr>
        <w:pStyle w:val="Normal"/>
        <w:numPr>
          <w:ilvl w:val="0"/>
          <w:numId w:val="40"/>
        </w:numPr>
        <w:tabs>
          <w:tab w:val="left" w:pos="720" w:leader="none"/>
        </w:tabs>
        <w:spacing w:lineRule="auto" w:line="480"/>
        <w:ind w:hanging="720" w:start="720" w:end="0"/>
        <w:rPr>
          <w:sz w:val="26"/>
        </w:rPr>
      </w:pPr>
      <w:r>
        <w:rPr>
          <w:sz w:val="26"/>
        </w:rPr>
        <w:t>By whom are you employed and in what capacity?</w:t>
      </w:r>
    </w:p>
    <w:p>
      <w:pPr>
        <w:pStyle w:val="Normal"/>
        <w:numPr>
          <w:ilvl w:val="0"/>
          <w:numId w:val="17"/>
        </w:numPr>
        <w:tabs>
          <w:tab w:val="left" w:pos="720" w:leader="none"/>
        </w:tabs>
        <w:spacing w:lineRule="auto" w:line="480"/>
        <w:ind w:hanging="720" w:start="720" w:end="0"/>
        <w:rPr>
          <w:sz w:val="26"/>
        </w:rPr>
      </w:pPr>
      <w:r>
        <w:rPr>
          <w:sz w:val="26"/>
        </w:rPr>
        <w:t>I am employed by the California Public Utilities Commission (“CPUC”) in the Market Development Branch of the Office of Ratepayer Advocates (“ORA”) as a Program and Project Supervisor.</w:t>
      </w:r>
      <w:r>
        <w:br w:type="page"/>
      </w:r>
    </w:p>
    <w:p>
      <w:pPr>
        <w:pStyle w:val="Normal"/>
        <w:spacing w:lineRule="auto" w:line="480"/>
        <w:rPr>
          <w:sz w:val="26"/>
        </w:rPr>
      </w:pPr>
      <w:r>
        <w:rPr>
          <w:sz w:val="26"/>
        </w:rPr>
        <w:t>Q.</w:t>
        <w:tab/>
        <w:t>Please describe you professional qualifications.</w:t>
      </w:r>
    </w:p>
    <w:p>
      <w:pPr>
        <w:pStyle w:val="Normal"/>
        <w:spacing w:lineRule="auto" w:line="480"/>
        <w:ind w:hanging="720" w:start="720" w:end="0"/>
        <w:rPr/>
      </w:pPr>
      <w:r>
        <w:rPr/>
        <w:t>A.</w:t>
        <w:tab/>
      </w:r>
      <w:r>
        <w:rPr>
          <w:sz w:val="26"/>
        </w:rPr>
        <w:t>I graduated from Purdue University in May 1979, with a Bachelor of Science degree in Civil Engineering.  In 1982, I became registered as a Professional Civil Engineer in the State of California.</w:t>
      </w:r>
    </w:p>
    <w:p>
      <w:pPr>
        <w:pStyle w:val="Normal"/>
        <w:spacing w:lineRule="auto" w:line="480"/>
        <w:ind w:hanging="720" w:start="720" w:end="0"/>
        <w:rPr>
          <w:sz w:val="26"/>
        </w:rPr>
      </w:pPr>
      <w:r>
        <w:rPr>
          <w:sz w:val="26"/>
        </w:rPr>
      </w:r>
    </w:p>
    <w:p>
      <w:pPr>
        <w:pStyle w:val="BodyTextIndent3"/>
        <w:rPr/>
      </w:pPr>
      <w:r>
        <w:rPr/>
        <w:tab/>
        <w:t>I was employed by the California Department of Transportation from June 1979 to October 1980.  In November 1980, I transferred to the CPUC and worked in the Water Branch of the Public Staff Division until December 1984.  From January 1985 to August 1986, I worked in the CPUC’s Energy Operational Costs Branch on a number of energy-related rate applications.</w:t>
      </w:r>
    </w:p>
    <w:p>
      <w:pPr>
        <w:pStyle w:val="Normal"/>
        <w:spacing w:lineRule="auto" w:line="480"/>
        <w:ind w:hanging="720" w:start="720" w:end="0"/>
        <w:rPr>
          <w:sz w:val="26"/>
        </w:rPr>
      </w:pPr>
      <w:r>
        <w:rPr>
          <w:sz w:val="26"/>
        </w:rPr>
      </w:r>
    </w:p>
    <w:p>
      <w:pPr>
        <w:pStyle w:val="Normal"/>
        <w:spacing w:lineRule="auto" w:line="480"/>
        <w:ind w:hanging="720" w:start="720" w:end="0"/>
        <w:rPr>
          <w:sz w:val="26"/>
        </w:rPr>
      </w:pPr>
      <w:r>
        <w:rPr>
          <w:sz w:val="26"/>
        </w:rPr>
        <w:tab/>
        <w:t>I began to work in the Fuels Branch of the CPUC’s Public Staff Division in September 1986 and since then have served as a witness on various technical and policy issues, and as a project manager in numerous proceedings dealing with natural gas industry restructuring, natural gas policy, utility mergers, cost allocation, reasonableness reviews, capacity brokering, need for new interstate pipelines, natural gas vehicles, gas cost incentive regulation, and natural gas procurement.  I have testified as an expert witness many times before the CPUC in various proceedings and have testified before the California Energy Commission.  I have also submitted prepared testimony and appeared as an expert witness on behalf of the CPUC at the Federal Energy Regulatory Commission (“FERC”) in proceedings involving interstate natural gas pipeline companies during the 1980s.</w:t>
      </w:r>
    </w:p>
    <w:p>
      <w:pPr>
        <w:pStyle w:val="BodyText"/>
        <w:tabs>
          <w:tab w:val="left" w:pos="0" w:leader="none"/>
          <w:tab w:val="left" w:pos="720" w:leader="none"/>
        </w:tabs>
        <w:rPr>
          <w:sz w:val="26"/>
        </w:rPr>
      </w:pPr>
      <w:r>
        <w:rPr>
          <w:sz w:val="26"/>
        </w:rPr>
      </w:r>
    </w:p>
    <w:p>
      <w:pPr>
        <w:pStyle w:val="BodyText"/>
        <w:numPr>
          <w:ilvl w:val="0"/>
          <w:numId w:val="44"/>
        </w:numPr>
        <w:tabs>
          <w:tab w:val="left" w:pos="0" w:leader="none"/>
          <w:tab w:val="left" w:pos="720" w:leader="none"/>
        </w:tabs>
        <w:ind w:hanging="720" w:start="720" w:end="0"/>
        <w:rPr/>
      </w:pPr>
      <w:r>
        <w:rPr/>
        <w:t>What is the purpose of your testimony in this proceeding?</w:t>
      </w:r>
    </w:p>
    <w:p>
      <w:pPr>
        <w:pStyle w:val="BodyText"/>
        <w:numPr>
          <w:ilvl w:val="0"/>
          <w:numId w:val="28"/>
        </w:numPr>
        <w:tabs>
          <w:tab w:val="left" w:pos="0" w:leader="none"/>
          <w:tab w:val="left" w:pos="720" w:leader="none"/>
        </w:tabs>
        <w:ind w:hanging="720" w:start="720" w:end="0"/>
        <w:rPr/>
      </w:pPr>
      <w:r>
        <w:rPr/>
        <w:t xml:space="preserve">The purpose of my testimony is to demonstrate that El Paso Natural Gas Company (“El Paso”) and its marketing affiliates, El Paso Merchant Energy-Gas, L.P. and El Paso Merchant Energy Company (collectively, “El Paso Merchant”), have engaged in unduly discriminatory, preferential, unreasonable and anti-competitive behavior in the bidding for and execution of the contracts between El Paso and El Paso Merchant for 1,220 MMcf/d of firm El Paso capacity to California (the “El Paso-El Paso Contracts”) to the detriment of California gas and electric consumers.    </w:t>
      </w:r>
    </w:p>
    <w:p>
      <w:pPr>
        <w:pStyle w:val="BodyText"/>
        <w:rPr/>
      </w:pPr>
      <w:r>
        <w:rPr/>
      </w:r>
    </w:p>
    <w:p>
      <w:pPr>
        <w:pStyle w:val="BodyText"/>
        <w:tabs>
          <w:tab w:val="clear" w:pos="0"/>
          <w:tab w:val="left" w:pos="720" w:leader="none"/>
          <w:tab w:val="left" w:pos="1440" w:leader="none"/>
        </w:tabs>
        <w:ind w:start="720" w:end="0"/>
        <w:rPr/>
      </w:pPr>
      <w:r>
        <w:rPr/>
        <w:t xml:space="preserve">Responses to the discovery propounded to El Paso and its marketing affiliates in this proceeding clearly demonstrate that El Paso Merchant was given preferential treatment among other shippers who had also bid during the open season for the El Paso capacity to California.  Such treatment is unduly discriminatory and preferential and has afforded El Paso Merchant a competitive advantage over other shippers.  </w:t>
      </w:r>
    </w:p>
    <w:p>
      <w:pPr>
        <w:pStyle w:val="BodyText"/>
        <w:tabs>
          <w:tab w:val="clear" w:pos="0"/>
          <w:tab w:val="left" w:pos="720" w:leader="none"/>
          <w:tab w:val="left" w:pos="1440" w:leader="none"/>
        </w:tabs>
        <w:ind w:start="720" w:end="0"/>
        <w:rPr/>
      </w:pPr>
      <w:r>
        <w:rPr/>
      </w:r>
    </w:p>
    <w:p>
      <w:pPr>
        <w:pStyle w:val="BodyText"/>
        <w:numPr>
          <w:ilvl w:val="0"/>
          <w:numId w:val="8"/>
        </w:numPr>
        <w:tabs>
          <w:tab w:val="clear" w:pos="0"/>
          <w:tab w:val="left" w:pos="720" w:leader="none"/>
        </w:tabs>
        <w:ind w:hanging="1080" w:start="1080" w:end="0"/>
        <w:rPr/>
      </w:pPr>
      <w:r>
        <w:rPr/>
        <w:t>What evidence are you relying upon to support your testimony?</w:t>
      </w:r>
    </w:p>
    <w:p>
      <w:pPr>
        <w:pStyle w:val="BodyText"/>
        <w:numPr>
          <w:ilvl w:val="0"/>
          <w:numId w:val="41"/>
        </w:numPr>
        <w:tabs>
          <w:tab w:val="clear" w:pos="0"/>
          <w:tab w:val="left" w:pos="720" w:leader="none"/>
        </w:tabs>
        <w:ind w:hanging="720" w:start="720" w:end="0"/>
        <w:rPr/>
      </w:pPr>
      <w:r>
        <w:rPr/>
        <w:t xml:space="preserve">In addressing El Paso’s preferential treatment towards its affiliate, El Paso Merchant, in terms of the bidding and acquisition of 1,220 MMcf/d of firm El Paso capacity to California, I will adopt parts of the Prepared Direct Testimony of Sandra J. Rovetti, filed herein on May 8, 2001 and admitted into evidence on May 14, 2001 (the “Rovetti Testimony”), by restating the part of the Rovetti Testimony relevant to the limited issues concerning El Paso Merchant’s unfair bidding and acquisition of the 1,220 MMcf/d of firm El Paso capacity.  I will also refer to certain exhibits, which accompanied the Rovetti Testimony and are already admitted into evidence in this record, and which are relevant to these issues.  I will further adopt, by restating, pertinent parts of the Prepared Direct Testimony of Sandra J. Rovetti, which was filed herein on August 31, 2000 but excluded from the Rovetti Testimony admitted into evidence on May 14, 2001.  In addition, I will provide supplemental testimony and sponsor other exhibits addressing these issues.  </w:t>
      </w:r>
    </w:p>
    <w:p>
      <w:pPr>
        <w:pStyle w:val="Heading"/>
        <w:rPr>
          <w:u w:val="single"/>
        </w:rPr>
      </w:pPr>
      <w:r>
        <w:rPr>
          <w:u w:val="single"/>
        </w:rPr>
        <w:t>BACKGROUND</w:t>
      </w:r>
    </w:p>
    <w:p>
      <w:pPr>
        <w:pStyle w:val="Heading"/>
        <w:rPr>
          <w:u w:val="single"/>
        </w:rPr>
      </w:pPr>
      <w:r>
        <w:rPr>
          <w:u w:val="single"/>
        </w:rPr>
      </w:r>
    </w:p>
    <w:p>
      <w:pPr>
        <w:pStyle w:val="Heading"/>
        <w:rPr>
          <w:u w:val="single"/>
        </w:rPr>
      </w:pPr>
      <w:r>
        <w:rPr>
          <w:u w:val="single"/>
        </w:rPr>
      </w:r>
    </w:p>
    <w:p>
      <w:pPr>
        <w:pStyle w:val="BodyText"/>
        <w:numPr>
          <w:ilvl w:val="0"/>
          <w:numId w:val="5"/>
        </w:numPr>
        <w:tabs>
          <w:tab w:val="left" w:pos="0" w:leader="none"/>
          <w:tab w:val="left" w:pos="720" w:leader="none"/>
        </w:tabs>
        <w:ind w:hanging="720" w:start="720" w:end="0"/>
        <w:rPr/>
      </w:pPr>
      <w:r>
        <w:rPr/>
        <w:t>Please explain El Paso’s practice with regards to discounting its interruptible transportation (“IT”) rates.</w:t>
      </w:r>
    </w:p>
    <w:p>
      <w:pPr>
        <w:pStyle w:val="BodyText"/>
        <w:numPr>
          <w:ilvl w:val="0"/>
          <w:numId w:val="26"/>
        </w:numPr>
        <w:tabs>
          <w:tab w:val="left" w:pos="0" w:leader="none"/>
          <w:tab w:val="left" w:pos="720" w:leader="none"/>
        </w:tabs>
        <w:ind w:hanging="720" w:start="720" w:end="0"/>
        <w:rPr/>
      </w:pPr>
      <w:r>
        <w:rPr/>
        <w:t xml:space="preserve">In El Paso’s August 2, 2000 response to the CPUC’s Data Request No. 18 in this proceeding, El Paso has provided information showing that from February 1, 1994 to December 31, 1997, El Paso regularly offered substantial discounts to its IT rates to one or more California delivery points.  A true and correct copy of El Paso’s response identifying these discounted IT transactions is marked “Exhibit PUC-3” and accompanied the Rovetti Testimony.  As shown in Exhibit PUC-3, these discounts were made for Southwest basin purchases delivered to California delivery points at PG&amp;E-Topock, SoCal-Topock, Mojave Interconnect, and SoCal-Ehrenberg.  Also shown in Exhibit PUC-3, El Paso offered discounted IT rates as low as $0.04/MMBtu from the San Juan Basin and $0.01/MMBtu from the Permian Basin in July 1996.  Notably, El Paso’s practice of substantially discounting its IT rates ended on December 31, 1997.  El Paso has not made any discounted interruptible transportation to California available on its pipeline since January 1, 1998, the effective date of its contracts for more than 1,220 MMcf/d with Dynegy Marketing and Trade (“Dynegy”).  (Hereinafter, the “El Paso-Dynegy Contracts.”)   Moreover, in Exhibit PUC-3, El Paso itself admits that “EPNG did not offer discounted interruptible rates to the California borders for the time periods covered in 18b. and 18c. [1998-1999 and January 1, 2000-July 31, 2000].”  </w:t>
      </w:r>
    </w:p>
    <w:p>
      <w:pPr>
        <w:pStyle w:val="BodyText"/>
        <w:tabs>
          <w:tab w:val="left" w:pos="0" w:leader="none"/>
          <w:tab w:val="left" w:pos="630" w:leader="none"/>
          <w:tab w:val="left" w:pos="720" w:leader="none"/>
        </w:tabs>
        <w:ind w:hanging="720" w:start="720" w:end="0"/>
        <w:rPr/>
      </w:pPr>
      <w:r>
        <w:rPr/>
      </w:r>
    </w:p>
    <w:p>
      <w:pPr>
        <w:pStyle w:val="BodyText"/>
        <w:tabs>
          <w:tab w:val="clear" w:pos="0"/>
          <w:tab w:val="left" w:pos="630" w:leader="none"/>
          <w:tab w:val="left" w:pos="720" w:leader="none"/>
        </w:tabs>
        <w:ind w:start="720" w:end="0"/>
        <w:rPr/>
      </w:pPr>
      <w:r>
        <w:rPr/>
        <w:t xml:space="preserve">The 1998-1999 time period was when the El Paso-Dynegy Contracts were in effect.  Effective January 1, 2000, El Paso had three contracts (i.e., Block I, Block II and Block III contracts) with Enron North America Corp. (“Enron”) for 1,220 MMcf/d of firm capacity to California.  (Hereinafter, the “El Paso-Enron Contracts.”)  The FERC limited the access of the “Block II” contract in the El Paso-Enron Contracts (i.e., almost half of the 1,220 MMcf/d), such that Enron could not access the SoCal-Topock delivery point with its Block II capacity rights.  </w:t>
      </w:r>
      <w:r>
        <w:rPr>
          <w:u w:val="single"/>
        </w:rPr>
        <w:t>See</w:t>
      </w:r>
      <w:r>
        <w:rPr/>
        <w:t xml:space="preserve"> </w:t>
      </w:r>
      <w:r>
        <w:rPr>
          <w:u w:val="single"/>
        </w:rPr>
        <w:t>El Paso Natural Gas Company,</w:t>
      </w:r>
      <w:r>
        <w:rPr/>
        <w:t xml:space="preserve"> 90 FERC ¶61,050 at 61,219 (2000).  In February, 2000, Enron terminated the El Paso-Enron Contracts, and El Paso and El Paso Merchant subsequently entered into the El Paso-El Paso Contracts (effective March 1, 2000).  Therefore, El Paso stopped discounting its IT rates to California during the time period of its contracts with Dynegy, Enron, and El Paso Merchant.     </w:t>
      </w:r>
    </w:p>
    <w:p>
      <w:pPr>
        <w:pStyle w:val="Heading"/>
        <w:rPr>
          <w:u w:val="single"/>
        </w:rPr>
      </w:pPr>
      <w:r>
        <w:rPr>
          <w:u w:val="single"/>
        </w:rPr>
      </w:r>
    </w:p>
    <w:p>
      <w:pPr>
        <w:pStyle w:val="Heading"/>
        <w:rPr>
          <w:u w:val="single"/>
        </w:rPr>
      </w:pPr>
      <w:r>
        <w:rPr>
          <w:u w:val="single"/>
        </w:rPr>
        <w:t>EL PASO’S PREFERENTIAL OPEN SEASON</w:t>
      </w:r>
    </w:p>
    <w:p>
      <w:pPr>
        <w:pStyle w:val="Normal"/>
        <w:rPr>
          <w:b/>
          <w:smallCaps/>
          <w:sz w:val="28"/>
          <w:u w:val="single"/>
        </w:rPr>
      </w:pPr>
      <w:r>
        <w:rPr>
          <w:b/>
          <w:smallCaps/>
          <w:sz w:val="28"/>
          <w:u w:val="single"/>
        </w:rPr>
      </w:r>
    </w:p>
    <w:p>
      <w:pPr>
        <w:pStyle w:val="Normal"/>
        <w:rPr>
          <w:b/>
          <w:smallCaps/>
          <w:sz w:val="28"/>
        </w:rPr>
      </w:pPr>
      <w:r>
        <w:rPr>
          <w:b/>
          <w:smallCaps/>
          <w:sz w:val="28"/>
        </w:rPr>
      </w:r>
    </w:p>
    <w:p>
      <w:pPr>
        <w:pStyle w:val="BodyText"/>
        <w:ind w:hanging="720" w:start="720" w:end="0"/>
        <w:rPr/>
      </w:pPr>
      <w:r>
        <w:rPr/>
        <w:t>Q.</w:t>
        <w:tab/>
        <w:t>With Enron’s termination of the El Paso-Enron Contracts, what did El Paso do with the 1,220 MMcf/d of unsubscribed capacity?</w:t>
      </w:r>
    </w:p>
    <w:p>
      <w:pPr>
        <w:pStyle w:val="BodyText"/>
        <w:ind w:hanging="720" w:start="720" w:end="0"/>
        <w:rPr/>
      </w:pPr>
      <w:r>
        <w:rPr/>
        <w:t>A.</w:t>
        <w:tab/>
        <w:t xml:space="preserve">El Paso posted its unsubscribed capacity for an open season from February 7 –14, 2000.  In El Paso’s May 9, 2000 data responses to the CPUC, El Paso provided a printout of its “Open Posting of Available Capacity to California” (hereinafter, “Open Posting”), a true and correct copy of which is marked “Exhibit PUC-12,” and accompanied the Rovetti Testimony. </w:t>
      </w:r>
    </w:p>
    <w:p>
      <w:pPr>
        <w:pStyle w:val="BodyText"/>
        <w:ind w:hanging="720" w:start="720" w:end="0"/>
        <w:rPr/>
      </w:pPr>
      <w:r>
        <w:rPr/>
        <w:t>Q.</w:t>
        <w:tab/>
        <w:t>Was there a material difference between the contracts, which El Paso offered in the February 7-14, 2001 open season, compared to the El Paso-Dynegy Contracts and the El Paso-Enron Contracts?</w:t>
      </w:r>
    </w:p>
    <w:p>
      <w:pPr>
        <w:pStyle w:val="BodyText"/>
        <w:ind w:hanging="720" w:start="720" w:end="0"/>
        <w:rPr/>
      </w:pPr>
      <w:r>
        <w:rPr/>
        <w:t>A.</w:t>
        <w:tab/>
        <w:t xml:space="preserve">Yes.  There were special provisions in the El Paso-Dynegy Contracts and the El Paso-Enron Contracts which removed El Paso’s incentive to compete with Dynegy and Enron by discounting IT rates.  El Paso and Dynegy both conceded that the Revenue Reduction Mechanism (“RRM”) in the El Paso-Dynegy Contracts was designed to remove El Paso’s incentive to compete by discounting IT rates, and the FERC explicitly found that the RRM removed El Paso’s incentive to compete.  </w:t>
      </w:r>
      <w:r>
        <w:rPr>
          <w:u w:val="single"/>
        </w:rPr>
        <w:t>El Paso Natural Gas Company</w:t>
      </w:r>
      <w:r>
        <w:rPr/>
        <w:t xml:space="preserve">, 83 FERC ¶ 61,286 at 62,196 (1998) </w:t>
      </w:r>
      <w:r>
        <w:rPr>
          <w:u w:val="single"/>
        </w:rPr>
        <w:t>reh’g</w:t>
      </w:r>
      <w:r>
        <w:rPr/>
        <w:t xml:space="preserve"> </w:t>
      </w:r>
      <w:r>
        <w:rPr>
          <w:u w:val="single"/>
        </w:rPr>
        <w:t>order</w:t>
      </w:r>
      <w:r>
        <w:rPr/>
        <w:t>, 88 FERC ¶ 61,139 at 61,411 (1999).</w:t>
      </w:r>
    </w:p>
    <w:p>
      <w:pPr>
        <w:pStyle w:val="BodyText"/>
        <w:ind w:hanging="720" w:start="720" w:end="0"/>
        <w:rPr/>
      </w:pPr>
      <w:r>
        <w:rPr/>
        <w:tab/>
      </w:r>
    </w:p>
    <w:p>
      <w:pPr>
        <w:pStyle w:val="BodyText"/>
        <w:ind w:hanging="720" w:start="720" w:end="0"/>
        <w:rPr/>
      </w:pPr>
      <w:r>
        <w:rPr/>
        <w:tab/>
        <w:t xml:space="preserve">In the El Paso-Enron Contacts, there was a profit-sharing provision which resulted in higher revenues for El Paso at the end of the year based upon how high the basis differentials were.  </w:t>
      </w:r>
      <w:r>
        <w:rPr>
          <w:u w:val="single"/>
        </w:rPr>
        <w:t>El Paso Natural Gas Company</w:t>
      </w:r>
      <w:r>
        <w:rPr/>
        <w:t>, 90 FERC ¶ 61,050 at 61,214 (2000).  This special feature took away El Paso’s incentive to discount IT rates, which would have put downward pressure on the basis differentials.</w:t>
      </w:r>
    </w:p>
    <w:p>
      <w:pPr>
        <w:pStyle w:val="BodyText"/>
        <w:ind w:hanging="720" w:start="720" w:end="0"/>
        <w:rPr/>
      </w:pPr>
      <w:r>
        <w:rPr/>
        <w:tab/>
      </w:r>
    </w:p>
    <w:p>
      <w:pPr>
        <w:pStyle w:val="BodyText"/>
        <w:ind w:hanging="720" w:start="720" w:end="0"/>
        <w:rPr/>
      </w:pPr>
      <w:r>
        <w:rPr/>
        <w:tab/>
        <w:t xml:space="preserve">In the February 7-14, 2000 open season, El Paso offered allegedly </w:t>
      </w:r>
      <w:r>
        <w:rPr>
          <w:u w:val="single"/>
        </w:rPr>
        <w:t>pro</w:t>
      </w:r>
      <w:r>
        <w:rPr/>
        <w:t xml:space="preserve"> </w:t>
      </w:r>
      <w:r>
        <w:rPr>
          <w:u w:val="single"/>
        </w:rPr>
        <w:t>forma</w:t>
      </w:r>
      <w:r>
        <w:rPr/>
        <w:t xml:space="preserve"> contracts, which did not contain special features affecting El Paso’s incentive to discount IT rates, such as the RRM or the profit-sharing mechanism.  As El Paso stated in its April 24, 2000 Answer (pp. 1-2) to the CPUC’s Complaint, the contracts signed by El Paso Merchant followed “the form prescribed by El Paso’s tariff and contain no terms or conditions requiring Commission approval.”</w:t>
      </w:r>
    </w:p>
    <w:p>
      <w:pPr>
        <w:pStyle w:val="BodyText"/>
        <w:ind w:hanging="720" w:start="720" w:end="0"/>
        <w:rPr/>
      </w:pPr>
      <w:r>
        <w:rPr/>
      </w:r>
    </w:p>
    <w:p>
      <w:pPr>
        <w:pStyle w:val="BodyText"/>
        <w:numPr>
          <w:ilvl w:val="0"/>
          <w:numId w:val="42"/>
        </w:numPr>
        <w:rPr/>
      </w:pPr>
      <w:r>
        <w:rPr/>
        <w:t xml:space="preserve">Is there anything objectionable to El Paso using its purportedly </w:t>
      </w:r>
      <w:r>
        <w:rPr>
          <w:u w:val="single"/>
        </w:rPr>
        <w:t>pro</w:t>
      </w:r>
      <w:r>
        <w:rPr/>
        <w:t xml:space="preserve"> </w:t>
      </w:r>
      <w:r>
        <w:rPr>
          <w:u w:val="single"/>
        </w:rPr>
        <w:t>forma</w:t>
      </w:r>
      <w:r>
        <w:rPr/>
        <w:t xml:space="preserve"> contracts?</w:t>
      </w:r>
    </w:p>
    <w:p>
      <w:pPr>
        <w:pStyle w:val="BodyText"/>
        <w:numPr>
          <w:ilvl w:val="0"/>
          <w:numId w:val="38"/>
        </w:numPr>
        <w:rPr/>
      </w:pPr>
      <w:r>
        <w:rPr/>
        <w:t>No.  It simply meant that unaffiliated shippers would not bid for all 1,220 MMcf/d of El Paso capacity, because they could not use all of it and El Paso would still have had an incentive to discount IT rates in order to obtain additional revenues.  No unaffiliated marketer could risk paying for all of that capacity without removing El Paso’s incentive to compete, which is why there were these special provisions in the El Paso-Dynegy Contracts and the El Paso-Enron Contracts.</w:t>
      </w:r>
    </w:p>
    <w:p>
      <w:pPr>
        <w:pStyle w:val="BodyText"/>
        <w:rPr/>
      </w:pPr>
      <w:r>
        <w:rPr/>
      </w:r>
    </w:p>
    <w:p>
      <w:pPr>
        <w:pStyle w:val="BodyText"/>
        <w:numPr>
          <w:ilvl w:val="0"/>
          <w:numId w:val="15"/>
        </w:numPr>
        <w:rPr/>
      </w:pPr>
      <w:r>
        <w:rPr/>
        <w:t>Did this have the same effect on an affiliated marketer, such as El Paso Merchant?</w:t>
      </w:r>
    </w:p>
    <w:p>
      <w:pPr>
        <w:pStyle w:val="BodyText"/>
        <w:numPr>
          <w:ilvl w:val="0"/>
          <w:numId w:val="21"/>
        </w:numPr>
        <w:rPr/>
      </w:pPr>
      <w:r>
        <w:rPr/>
        <w:t>No.  El Paso Merchant could already count on the fact that its affiliate, El Paso, would not compete by discounting IT rates if El Paso Merchant obtained the 1,220 MMcf/d.  It did not need a profit sharing mechanism, like in the El Paso-Enron Contracts, where El Paso received 25% of the profits based upon how high the basis differentials were.  As affiliates, the same shareholders received 100% of the profits based upon how high the basis differentials were.  Consequently, El Paso Merchant had to know that it was against El Paso’s economic interest to compete with El Paso Merchant by discounting IT rates if El Paso Merchant acquired the 1,220 MMcf/d.  Therefore, El Paso Merchant was the only shipper, who could bid for all of the capacity.</w:t>
      </w:r>
    </w:p>
    <w:p>
      <w:pPr>
        <w:pStyle w:val="BodyText"/>
        <w:rPr/>
      </w:pPr>
      <w:r>
        <w:rPr/>
      </w:r>
    </w:p>
    <w:p>
      <w:pPr>
        <w:pStyle w:val="BodyText"/>
        <w:numPr>
          <w:ilvl w:val="0"/>
          <w:numId w:val="19"/>
        </w:numPr>
        <w:rPr/>
      </w:pPr>
      <w:r>
        <w:rPr/>
        <w:t>Was there anything in El Paso’s open season rules, which biased the open season in favor of El Paso Merchant?</w:t>
      </w:r>
    </w:p>
    <w:p>
      <w:pPr>
        <w:pStyle w:val="BodyText"/>
        <w:numPr>
          <w:ilvl w:val="0"/>
          <w:numId w:val="33"/>
        </w:numPr>
        <w:rPr/>
      </w:pPr>
      <w:r>
        <w:rPr/>
        <w:t>Yes.  El Paso’s rules biased the open season in favor of the “total package” bid.  According to El Paso’s Open Posting bid evaluation process (p. 6), if a total package bid equals or exceed the $37.5 million revenue threshold set by El Paso, then partial package bids could only prevail in the open season if in aggregate they exceeded the value of the total package bid to El Paso.</w:t>
      </w:r>
    </w:p>
    <w:p>
      <w:pPr>
        <w:pStyle w:val="BodyText"/>
        <w:rPr/>
      </w:pPr>
      <w:r>
        <w:rPr/>
      </w:r>
    </w:p>
    <w:p>
      <w:pPr>
        <w:pStyle w:val="BodyText"/>
        <w:numPr>
          <w:ilvl w:val="0"/>
          <w:numId w:val="37"/>
        </w:numPr>
        <w:rPr/>
      </w:pPr>
      <w:r>
        <w:rPr/>
        <w:t>Why was this disadvantageous to unaffiliated shippers?</w:t>
      </w:r>
    </w:p>
    <w:p>
      <w:pPr>
        <w:pStyle w:val="BodyText"/>
        <w:numPr>
          <w:ilvl w:val="0"/>
          <w:numId w:val="43"/>
        </w:numPr>
        <w:rPr/>
      </w:pPr>
      <w:r>
        <w:rPr/>
        <w:t>This was disadvantageous for two reasons.  First, as I explained above, none of the unaffiliated shippers could bid for the total package.  Therefore, even if they submitted partial package bids at reasonably high rates, their success was totally dependant upon the amount of other partial package bids (i.e. the number of and volumes in the partial package bids and the rates submitted) by other shippers.  A total package bidder could control its own destiny while the partial package bidder’s success was at the mercy of others.</w:t>
      </w:r>
    </w:p>
    <w:p>
      <w:pPr>
        <w:pStyle w:val="BodyText"/>
        <w:ind w:start="720" w:end="0"/>
        <w:rPr/>
      </w:pPr>
      <w:r>
        <w:rPr/>
      </w:r>
    </w:p>
    <w:p>
      <w:pPr>
        <w:pStyle w:val="BodyText"/>
        <w:ind w:start="720" w:end="0"/>
        <w:rPr/>
      </w:pPr>
      <w:r>
        <w:rPr/>
        <w:t>Second, partial package bidders would not value the capacity as much if they did not know whether El Paso would compete by discounting IT rates, (as El Paso had regularly done from February, 1994 – December, 1997).  Only El Paso Merchant knew El Paso would not compete by discounting IT rates.  In short, the unaffiliated shippers did not have a fair chance of acquiring the capacity during the open season.</w:t>
      </w:r>
    </w:p>
    <w:p>
      <w:pPr>
        <w:pStyle w:val="BodyText"/>
        <w:ind w:start="720" w:end="0"/>
        <w:rPr/>
      </w:pPr>
      <w:r>
        <w:rPr/>
      </w:r>
    </w:p>
    <w:p>
      <w:pPr>
        <w:pStyle w:val="BodyText"/>
        <w:numPr>
          <w:ilvl w:val="0"/>
          <w:numId w:val="20"/>
        </w:numPr>
        <w:rPr/>
      </w:pPr>
      <w:r>
        <w:rPr/>
        <w:t>What were the results of the open season?</w:t>
      </w:r>
    </w:p>
    <w:p>
      <w:pPr>
        <w:pStyle w:val="BodyText"/>
        <w:numPr>
          <w:ilvl w:val="0"/>
          <w:numId w:val="7"/>
        </w:numPr>
        <w:rPr/>
      </w:pPr>
      <w:r>
        <w:rPr/>
        <w:t xml:space="preserve">In El Paso’s May 9, 2000 data response to the CPUC’s Data Request No. 4, El Paso provided the results of El Paso’s open season.  A true and correct copy of El Paso’s response is marked “Exhibit PUC-13” and accompanied the Rovetti Testimony.  El Paso Merchant was the one and only “total package” bidder and was awarded all of the capacity.  El Paso Merchant bid a daily reservation rate of $.04/MMBtu for Block I capacity, $.065/MMBtu for Block II capacity, and $.14/MMBtu for Block III capacity.  </w:t>
      </w:r>
    </w:p>
    <w:p>
      <w:pPr>
        <w:pStyle w:val="BodyText"/>
        <w:rPr/>
      </w:pPr>
      <w:r>
        <w:rPr/>
      </w:r>
    </w:p>
    <w:p>
      <w:pPr>
        <w:pStyle w:val="BodyText"/>
        <w:ind w:start="720" w:end="0"/>
        <w:rPr/>
      </w:pPr>
      <w:r>
        <w:rPr/>
        <w:t xml:space="preserve">There were 24 shippers who submitted partial bids, and none of them were awarded any capacity.  </w:t>
      </w:r>
      <w:r>
        <w:rPr>
          <w:rStyle w:val="LineNumber"/>
        </w:rPr>
        <w:t>El Paso did not award capacity to two shippers, who even bid higher daily reservation rates for Block III capacity (i.e. $.1480/MMBtu and $.175/MMBtu) than El Paso Merchant (i.e. $.14/MMBtu), because they were partial package bidders and the aggregate of all partial package bidders was less than El Paso’s minimum threshold.</w:t>
      </w:r>
    </w:p>
    <w:p>
      <w:pPr>
        <w:pStyle w:val="BodyText"/>
        <w:ind w:start="720" w:end="0"/>
        <w:rPr>
          <w:rStyle w:val="LineNumber"/>
        </w:rPr>
      </w:pPr>
      <w:r>
        <w:rPr/>
      </w:r>
    </w:p>
    <w:p>
      <w:pPr>
        <w:pStyle w:val="BodyText"/>
        <w:numPr>
          <w:ilvl w:val="0"/>
          <w:numId w:val="9"/>
        </w:numPr>
        <w:rPr>
          <w:rStyle w:val="LineNumber"/>
        </w:rPr>
      </w:pPr>
      <w:r>
        <w:rPr>
          <w:rStyle w:val="LineNumber"/>
        </w:rPr>
        <w:t xml:space="preserve">Did El Paso provide a copy of the El Paso–El Paso Contracts to the CPUC?  </w:t>
      </w:r>
    </w:p>
    <w:p>
      <w:pPr>
        <w:pStyle w:val="BodyText"/>
        <w:numPr>
          <w:ilvl w:val="0"/>
          <w:numId w:val="2"/>
        </w:numPr>
        <w:ind w:hanging="720" w:start="720" w:end="0"/>
        <w:rPr>
          <w:rStyle w:val="LineNumber"/>
        </w:rPr>
      </w:pPr>
      <w:r>
        <w:rPr>
          <w:rStyle w:val="LineNumber"/>
        </w:rPr>
        <w:t>Yes.  In its May 9, 2000 data response to the CPUC, El Paso provided copies of the three El Paso–El Paso Contracts, which are marked “Exhibit PUC-14” and accompanied by Rovetti Testimony.  The first contract is the Block I Contract (with a 9LBM code on the top of each page).  It is dated February 15, 2000 on the first page, but signed by El Paso Vice President A. W. Clark on February 28, 2000.  The second contract is the Block II Contract (with a 9LBN code on the top of each page).  It is dated February 16, 2000 on the first page, but signed by El Paso Vice President A. W. Clark on February 28, 2000.  The third contract is the Block III Contract (with a 9LBP code on the top of each page).  The Block III Contract is dated February 17, 2000 on the first page, but it is signed by El Paso Vice President A. W. Clark on February 28, 2000.</w:t>
      </w:r>
    </w:p>
    <w:p>
      <w:pPr>
        <w:pStyle w:val="BodyText"/>
        <w:rPr>
          <w:rStyle w:val="LineNumber"/>
        </w:rPr>
      </w:pPr>
      <w:r>
        <w:rPr/>
      </w:r>
    </w:p>
    <w:p>
      <w:pPr>
        <w:pStyle w:val="BodyText"/>
        <w:numPr>
          <w:ilvl w:val="0"/>
          <w:numId w:val="29"/>
        </w:numPr>
        <w:rPr>
          <w:rStyle w:val="LineNumber"/>
        </w:rPr>
      </w:pPr>
      <w:r>
        <w:rPr>
          <w:rStyle w:val="LineNumber"/>
        </w:rPr>
        <w:t>Why are the dates on the front pages of these contracts different from the signature dates?</w:t>
      </w:r>
    </w:p>
    <w:p>
      <w:pPr>
        <w:pStyle w:val="BodyText"/>
        <w:numPr>
          <w:ilvl w:val="0"/>
          <w:numId w:val="11"/>
        </w:numPr>
        <w:ind w:hanging="720" w:start="720" w:end="-180"/>
        <w:rPr>
          <w:rStyle w:val="LineNumber"/>
        </w:rPr>
      </w:pPr>
      <w:r>
        <w:rPr>
          <w:rStyle w:val="LineNumber"/>
        </w:rPr>
        <w:t>In El Paso’s August 2, 2000 data response to the CPUC’s Data Request No. 15, a true and correct copy of which is marked “Exhibit PUC-15” and accompanied the Rovetti Testimony, Jerry W. Strange explained that the February 15-17 dates commemorated the electronically binding dates, and the February 28, 2000 date simply reflected the actual date El Paso signed the contracts.</w:t>
      </w:r>
    </w:p>
    <w:p>
      <w:pPr>
        <w:pStyle w:val="BodyText"/>
        <w:rPr>
          <w:rStyle w:val="LineNumber"/>
        </w:rPr>
      </w:pPr>
      <w:r>
        <w:rPr/>
      </w:r>
    </w:p>
    <w:p>
      <w:pPr>
        <w:pStyle w:val="BodyText"/>
        <w:numPr>
          <w:ilvl w:val="0"/>
          <w:numId w:val="23"/>
        </w:numPr>
        <w:rPr>
          <w:rStyle w:val="LineNumber"/>
        </w:rPr>
      </w:pPr>
      <w:r>
        <w:rPr>
          <w:rStyle w:val="LineNumber"/>
        </w:rPr>
        <w:t>Who is Jerry W. Strange?</w:t>
      </w:r>
    </w:p>
    <w:p>
      <w:pPr>
        <w:pStyle w:val="BodyText"/>
        <w:numPr>
          <w:ilvl w:val="0"/>
          <w:numId w:val="14"/>
        </w:numPr>
        <w:rPr>
          <w:rStyle w:val="LineNumber"/>
        </w:rPr>
      </w:pPr>
      <w:r>
        <w:rPr>
          <w:rStyle w:val="LineNumber"/>
        </w:rPr>
        <w:t xml:space="preserve">As he explained in El Paso’s August 2, 2000 data response to the CPUC’s Data Request Nos. 11 and 12, a true and correct copy of which is marked “Exhibit PUC-16” and attached hereto, Mr. Strange is El Paso’s Director of its Transportation Marketing Department and he reports to A. W. Clark, El Paso’s Vice President of Marketing.  As El Paso also explained in its August 2, 2000 data response to the CPUC’s Data Request No. 14 (a true and correct copy of which is marked “Exhibit PUC-17” and attached hereto), the officers of El Paso are also the same as the officers of its affiliate, Mojave Pipeline Company, which operates the Mojave Pipeline (“Mojave”). </w:t>
      </w:r>
    </w:p>
    <w:p>
      <w:pPr>
        <w:pStyle w:val="Heading"/>
        <w:rPr>
          <w:rStyle w:val="LineNumber"/>
          <w:u w:val="single"/>
        </w:rPr>
      </w:pPr>
      <w:r>
        <w:rPr/>
      </w:r>
    </w:p>
    <w:p>
      <w:pPr>
        <w:pStyle w:val="Heading"/>
        <w:rPr/>
      </w:pPr>
      <w:r>
        <w:rPr>
          <w:rStyle w:val="LineNumber"/>
          <w:u w:val="single"/>
        </w:rPr>
        <w:t xml:space="preserve">MOJAVE’S SECRETLY NEGOTIATED </w:t>
        <w:br/>
        <w:t>DISCOUNT FOR EL PASO MERCHANT</w:t>
      </w:r>
    </w:p>
    <w:p>
      <w:pPr>
        <w:pStyle w:val="Heading"/>
        <w:rPr>
          <w:rStyle w:val="LineNumber"/>
          <w:u w:val="single"/>
        </w:rPr>
      </w:pPr>
      <w:r>
        <w:rPr/>
      </w:r>
    </w:p>
    <w:p>
      <w:pPr>
        <w:pStyle w:val="Heading"/>
        <w:rPr>
          <w:rStyle w:val="LineNumber"/>
          <w:u w:val="single"/>
        </w:rPr>
      </w:pPr>
      <w:r>
        <w:rPr/>
      </w:r>
    </w:p>
    <w:p>
      <w:pPr>
        <w:pStyle w:val="BodyText"/>
        <w:numPr>
          <w:ilvl w:val="0"/>
          <w:numId w:val="6"/>
        </w:numPr>
        <w:rPr>
          <w:rStyle w:val="LineNumber"/>
        </w:rPr>
      </w:pPr>
      <w:r>
        <w:rPr>
          <w:rStyle w:val="LineNumber"/>
        </w:rPr>
        <w:t>Where is Mojave located and what markets does it serve?</w:t>
      </w:r>
    </w:p>
    <w:p>
      <w:pPr>
        <w:pStyle w:val="BodyText"/>
        <w:numPr>
          <w:ilvl w:val="0"/>
          <w:numId w:val="39"/>
        </w:numPr>
        <w:tabs>
          <w:tab w:val="left" w:pos="0" w:leader="none"/>
          <w:tab w:val="left" w:pos="720" w:leader="none"/>
        </w:tabs>
        <w:ind w:hanging="720" w:start="720" w:end="0"/>
        <w:rPr>
          <w:rStyle w:val="LineNumber"/>
        </w:rPr>
      </w:pPr>
      <w:r>
        <w:rPr>
          <w:rStyle w:val="LineNumber"/>
        </w:rPr>
        <w:t>Mojave is an interstate pipeline, which interconnects with El Paso near the California border at Topock, and serves the enhanced oil recovery (“EOR”) market in California.  Mojave also interconnects with Southern California Gas Company (“SoCal”) at Wheeler Ridge in Southern California, so Mojave provides access to SoCal’s territory for El Paso shippers who also transport over Mojave.</w:t>
      </w:r>
    </w:p>
    <w:p>
      <w:pPr>
        <w:pStyle w:val="BodyText"/>
        <w:rPr>
          <w:rStyle w:val="LineNumber"/>
        </w:rPr>
      </w:pPr>
      <w:r>
        <w:rPr/>
      </w:r>
    </w:p>
    <w:p>
      <w:pPr>
        <w:pStyle w:val="BodyText"/>
        <w:numPr>
          <w:ilvl w:val="0"/>
          <w:numId w:val="30"/>
        </w:numPr>
        <w:rPr>
          <w:rStyle w:val="LineNumber"/>
        </w:rPr>
      </w:pPr>
      <w:r>
        <w:rPr>
          <w:rStyle w:val="LineNumber"/>
        </w:rPr>
        <w:t>Did Mojave announce a new discount for its IT rates to SoCal’s Wheeler Ridge interconnection after the open season for the 1,220 MMcf/d El Paso capacity had ended on February 14, 2000?</w:t>
      </w:r>
    </w:p>
    <w:p>
      <w:pPr>
        <w:pStyle w:val="BodyText"/>
        <w:numPr>
          <w:ilvl w:val="0"/>
          <w:numId w:val="25"/>
        </w:numPr>
        <w:ind w:hanging="720" w:start="720" w:end="-360"/>
        <w:rPr>
          <w:rStyle w:val="LineNumber"/>
        </w:rPr>
      </w:pPr>
      <w:r>
        <w:rPr>
          <w:rStyle w:val="LineNumber"/>
        </w:rPr>
        <w:t xml:space="preserve">Yes.  On February 18, 2000, Jerry W. Strange, Director of Transportation Marketing, announced Mojave’s tiered IT discount, effective March 1, 2000 through June 2001, inclusive of all charges and surcharges and exclusive of fuel.  The discount was from El Paso at Topock to the Mojave delivery point at SoCal-Wheeler Ridge.  The tiered discount favors El Paso Merchant, who had a significant amount of El Paso firm capacity to California, because for average day monthly throughput (MMBtu/d) of 1-50,000 the rate was $.04/MMBtu, for 50,001-100,000 it was $.03/MMBtu, and for 100,001 and above, it was  $.02/MMBtu.  A true and correct copy of Mojave’s February 18, 2000 notice is marked “Exhibit PUC-18” and attached hereto.  </w:t>
      </w:r>
    </w:p>
    <w:p>
      <w:pPr>
        <w:pStyle w:val="BodyText"/>
        <w:ind w:end="-360"/>
        <w:rPr>
          <w:rStyle w:val="LineNumber"/>
        </w:rPr>
      </w:pPr>
      <w:r>
        <w:rPr/>
      </w:r>
    </w:p>
    <w:p>
      <w:pPr>
        <w:pStyle w:val="BodyText"/>
        <w:numPr>
          <w:ilvl w:val="0"/>
          <w:numId w:val="34"/>
        </w:numPr>
        <w:ind w:hanging="720" w:start="720" w:end="-360"/>
        <w:rPr>
          <w:rStyle w:val="LineNumber"/>
        </w:rPr>
      </w:pPr>
      <w:r>
        <w:rPr>
          <w:rStyle w:val="LineNumber"/>
        </w:rPr>
        <w:t>What was the effective date and term of the El Paso–El Paso Contracts?</w:t>
      </w:r>
    </w:p>
    <w:p>
      <w:pPr>
        <w:pStyle w:val="BodyText"/>
        <w:numPr>
          <w:ilvl w:val="0"/>
          <w:numId w:val="46"/>
        </w:numPr>
        <w:rPr>
          <w:rStyle w:val="LineNumber"/>
        </w:rPr>
      </w:pPr>
      <w:r>
        <w:rPr>
          <w:rStyle w:val="LineNumber"/>
        </w:rPr>
        <w:t>The effective date was March 1, 2000 and the term was 15 months through May 31, 2001.</w:t>
      </w:r>
    </w:p>
    <w:p>
      <w:pPr>
        <w:pStyle w:val="BodyText"/>
        <w:rPr>
          <w:rStyle w:val="LineNumber"/>
        </w:rPr>
      </w:pPr>
      <w:r>
        <w:rPr/>
      </w:r>
    </w:p>
    <w:p>
      <w:pPr>
        <w:pStyle w:val="BodyText"/>
        <w:numPr>
          <w:ilvl w:val="0"/>
          <w:numId w:val="10"/>
        </w:numPr>
        <w:rPr>
          <w:rStyle w:val="LineNumber"/>
        </w:rPr>
      </w:pPr>
      <w:r>
        <w:rPr>
          <w:rStyle w:val="LineNumber"/>
        </w:rPr>
        <w:t>Did El Paso Merchant know of this Mojave IT rate discount during the open season before it was publicly announced on February 18, 2000 after the open season had already ended?</w:t>
      </w:r>
    </w:p>
    <w:p>
      <w:pPr>
        <w:pStyle w:val="BodyText"/>
        <w:numPr>
          <w:ilvl w:val="0"/>
          <w:numId w:val="4"/>
        </w:numPr>
        <w:rPr>
          <w:rStyle w:val="LineNumber"/>
        </w:rPr>
      </w:pPr>
      <w:r>
        <w:rPr>
          <w:rStyle w:val="LineNumber"/>
        </w:rPr>
        <w:t xml:space="preserve">The circumstantial evidence was already very strong that Mojave’s tiered discount was to benefit El Paso Merchant, and that El Paso Merchant knew about this discount during the open season.  However, there is no need to speculate.  After the FERC ordered El Paso Merchant to respond to the CPUC’s data requests, among El Paso Merchant’s July 28, 2000 responses to the CPUC was a copy of a </w:t>
      </w:r>
      <w:r>
        <w:rPr>
          <w:rStyle w:val="LineNumber"/>
          <w:u w:val="single"/>
        </w:rPr>
        <w:t>February 9, 2000</w:t>
      </w:r>
      <w:r>
        <w:rPr>
          <w:rStyle w:val="LineNumber"/>
        </w:rPr>
        <w:t xml:space="preserve"> e-mail from El Paso Merchant’s Vice President, Robin Cox, to Jim Brooks and others.  </w:t>
      </w:r>
    </w:p>
    <w:p>
      <w:pPr>
        <w:pStyle w:val="BodyText"/>
        <w:ind w:start="720" w:end="0"/>
        <w:rPr/>
      </w:pPr>
      <w:r>
        <w:rPr>
          <w:rStyle w:val="LineNumber"/>
        </w:rPr>
        <w:t>According to this e-mail:</w:t>
      </w:r>
    </w:p>
    <w:p>
      <w:pPr>
        <w:pStyle w:val="BodyText"/>
        <w:rPr/>
      </w:pPr>
      <w:r>
        <w:rPr>
          <w:rStyle w:val="LineNumber"/>
        </w:rPr>
        <w:tab/>
        <w:t>“Mojave is willing to offer something along this offer.</w:t>
      </w:r>
    </w:p>
    <w:p>
      <w:pPr>
        <w:pStyle w:val="BodyText"/>
        <w:ind w:start="720" w:end="0"/>
        <w:rPr/>
      </w:pPr>
      <w:r>
        <w:rPr>
          <w:rStyle w:val="LineNumber"/>
        </w:rPr>
        <w:tab/>
        <w:t xml:space="preserve">0-50,000/d avg. month </w:t>
        <w:tab/>
        <w:t>.04</w:t>
      </w:r>
    </w:p>
    <w:p>
      <w:pPr>
        <w:pStyle w:val="BodyText"/>
        <w:ind w:start="720" w:end="0"/>
        <w:rPr/>
      </w:pPr>
      <w:r>
        <w:rPr>
          <w:rStyle w:val="LineNumber"/>
        </w:rPr>
        <w:tab/>
        <w:t>50-100,000/d  “      “</w:t>
        <w:tab/>
        <w:tab/>
        <w:t>.03</w:t>
      </w:r>
    </w:p>
    <w:p>
      <w:pPr>
        <w:pStyle w:val="BodyText"/>
        <w:ind w:start="720" w:end="0"/>
        <w:rPr/>
      </w:pPr>
      <w:r>
        <w:rPr>
          <w:rStyle w:val="LineNumber"/>
        </w:rPr>
        <w:tab/>
        <w:t xml:space="preserve">100,000+        “      “ </w:t>
        <w:tab/>
        <w:t>.02</w:t>
      </w:r>
    </w:p>
    <w:p>
      <w:pPr>
        <w:pStyle w:val="BodyText"/>
        <w:ind w:start="720" w:end="0"/>
        <w:rPr/>
      </w:pPr>
      <w:r>
        <w:rPr>
          <w:rStyle w:val="LineNumber"/>
        </w:rPr>
        <w:tab/>
        <w:t xml:space="preserve">plus fuel  </w:t>
      </w:r>
    </w:p>
    <w:p>
      <w:pPr>
        <w:pStyle w:val="BodyText"/>
        <w:ind w:start="720" w:end="0"/>
        <w:rPr>
          <w:rStyle w:val="LineNumber"/>
          <w:b/>
        </w:rPr>
      </w:pPr>
      <w:r>
        <w:rPr>
          <w:rStyle w:val="LineNumber"/>
          <w:b/>
        </w:rPr>
        <w:t xml:space="preserve">I will not officially request this discount until next Wednesday assuming we win capacity.  After it is posted, it will be available [sic] to everyone.”  </w:t>
      </w:r>
      <w:r>
        <w:rPr>
          <w:rStyle w:val="LineNumber"/>
        </w:rPr>
        <w:t>[Emphasis added]</w:t>
      </w:r>
    </w:p>
    <w:p>
      <w:pPr>
        <w:pStyle w:val="BodyText"/>
        <w:ind w:start="720" w:end="0"/>
        <w:rPr/>
      </w:pPr>
      <w:r>
        <w:rPr>
          <w:rStyle w:val="LineNumber"/>
        </w:rPr>
        <w:t>A true and correct copy of this e-mail is marked “Exhibit PUC-19” and attached hereto.</w:t>
      </w:r>
    </w:p>
    <w:p>
      <w:pPr>
        <w:pStyle w:val="BodyText"/>
        <w:ind w:start="720" w:end="0"/>
        <w:rPr>
          <w:rStyle w:val="LineNumber"/>
        </w:rPr>
      </w:pPr>
      <w:r>
        <w:rPr/>
      </w:r>
    </w:p>
    <w:p>
      <w:pPr>
        <w:pStyle w:val="BodyText"/>
        <w:rPr/>
      </w:pPr>
      <w:r>
        <w:rPr>
          <w:rStyle w:val="LineNumber"/>
        </w:rPr>
        <w:t>Q.</w:t>
        <w:tab/>
        <w:t>Hadn’t Mojave previously discounted its IT rates to Wheeler Ridge?</w:t>
      </w:r>
    </w:p>
    <w:p>
      <w:pPr>
        <w:pStyle w:val="BodyText"/>
        <w:ind w:hanging="720" w:start="720" w:end="0"/>
        <w:rPr/>
      </w:pPr>
      <w:r>
        <w:rPr>
          <w:rStyle w:val="LineNumber"/>
        </w:rPr>
        <w:t>A.</w:t>
        <w:tab/>
        <w:t xml:space="preserve">Yes.  However, for the 18 months prior to March 1, 2000, the discounted IT rate was $.04/MMBtu for all volumes.  This was confirmed by El Paso’s August 2, 2000 data response to the CPUC’s Data Request No. 26, which included a document entitled “Mojave Pipeline Wheeler Ridge Historic Discounts,” a true and correct copy of which is marked “Exhibit PUC-20” and attached hereto.  According to this document, from September, 1998 to February, 2000, the Mojave IT rate discount to Wheeler Ridge was always $.04/MMBtu.  It was only in Mojave’s February 18, 2000 posting that Mojave first announced a tiered discount, which cut in half the IT rate to $.02/MMBtu for volumes of 101,000 MMBtu and above.  This document also confirms that the new, tiered discount was first posted by Mojave on February 18, 2000.  </w:t>
      </w:r>
    </w:p>
    <w:p>
      <w:pPr>
        <w:pStyle w:val="BodyText"/>
        <w:ind w:hanging="720" w:start="720" w:end="0"/>
        <w:rPr>
          <w:rStyle w:val="LineNumber"/>
        </w:rPr>
      </w:pPr>
      <w:r>
        <w:rPr/>
      </w:r>
    </w:p>
    <w:p>
      <w:pPr>
        <w:pStyle w:val="BodyText"/>
        <w:ind w:hanging="720" w:start="720" w:end="0"/>
        <w:rPr/>
      </w:pPr>
      <w:r>
        <w:rPr>
          <w:rStyle w:val="LineNumber"/>
        </w:rPr>
        <w:t>Q.</w:t>
        <w:tab/>
        <w:t>Was this Mojave discount information significant for shippers bidding for the El Paso capacity?</w:t>
      </w:r>
    </w:p>
    <w:p>
      <w:pPr>
        <w:pStyle w:val="BodyText"/>
        <w:ind w:hanging="720" w:start="720" w:end="0"/>
        <w:rPr/>
      </w:pPr>
      <w:r>
        <w:rPr>
          <w:rStyle w:val="LineNumber"/>
        </w:rPr>
        <w:t>A.</w:t>
        <w:tab/>
        <w:t xml:space="preserve">Yes.  The basis differentials between the SoCal border prices and natural gas prices in the San Juan Basin were relatively high.  The San Juan Basin supplies access SoCal at its Topock delivery point.  Consequently, there are significant curtailments, even for El Paso firm shippers with a primary SoCal–Topock delivery point.  In </w:t>
      </w:r>
      <w:r>
        <w:rPr>
          <w:rStyle w:val="LineNumber"/>
          <w:u w:val="single"/>
        </w:rPr>
        <w:t xml:space="preserve">Amoco Energy Trading Corporation, et al. v. El Paso Natural Gas Company, </w:t>
      </w:r>
      <w:r>
        <w:rPr>
          <w:rStyle w:val="LineNumber"/>
        </w:rPr>
        <w:t>FERC Docket No. RP99-507-000, this is one of the major problems being addressed.  Accompanying my testimony and marked “Exhibit PUC-21”, are relevant excerpts of SoCal’s June 30, 2000 initial comments in that case, which evidences curtailments averaging 25% at that delivery point. Accompanying my testimony and marked “Exhibit PUC-22”, are relevant excerpts of El Paso Merchant’s June 30, 2000 initial comments in that case, which evidence the high demand to SoCal’s delivery point due to the “strength of the market” behind that point.  Accompanying my testimony and marked “Exhibit PUC-23”, are relevant excerpts of El Paso’s June 30, 2000 initial comments in that case, which evidence how SoCal’s market at Topock is the most attractive California delivery point for El Paso shippers.</w:t>
      </w:r>
    </w:p>
    <w:p>
      <w:pPr>
        <w:pStyle w:val="BodyText"/>
        <w:ind w:hanging="720" w:start="720" w:end="0"/>
        <w:rPr>
          <w:rStyle w:val="LineNumber"/>
        </w:rPr>
      </w:pPr>
      <w:r>
        <w:rPr/>
      </w:r>
    </w:p>
    <w:p>
      <w:pPr>
        <w:pStyle w:val="BodyText"/>
        <w:ind w:hanging="720" w:start="720" w:end="0"/>
        <w:rPr/>
      </w:pPr>
      <w:r>
        <w:rPr>
          <w:rStyle w:val="LineNumber"/>
        </w:rPr>
        <w:tab/>
        <w:t xml:space="preserve">The reason that this Mojave discount was critical information during the open season was that in </w:t>
      </w:r>
      <w:r>
        <w:rPr>
          <w:rStyle w:val="LineNumber"/>
          <w:u w:val="single"/>
        </w:rPr>
        <w:t>El Paso Natural Gas Company</w:t>
      </w:r>
      <w:r>
        <w:rPr>
          <w:rStyle w:val="LineNumber"/>
        </w:rPr>
        <w:t>, 90 FERC ¶ 61,050 at 61,219 (2000), the FERC had ruled that the Block II capacity, almost 50% of the 1,220 MMcf/d at issue, could not be used to access the heavily constrained SoCal–Topock delivery point.  This decreased the value of the capacity, and Enron thereafter terminated its contracts with El Paso.  El Paso Merchant cannot dispute this fact, because in its July 28, 2000 data responses to the CPUC, El Paso Merchant provided a February 2, 2000 e-mail (sent to Robin Cox and others from Mark T. Mitchell) admitting that this reduced the value of the capacity.  A true and correct copy of this February 2, 2000 e-mail is marked “Exhibit PUC-24” and attached hereto.</w:t>
      </w:r>
    </w:p>
    <w:p>
      <w:pPr>
        <w:pStyle w:val="BodyText"/>
        <w:ind w:hanging="720" w:start="720" w:end="0"/>
        <w:rPr>
          <w:rStyle w:val="LineNumber"/>
        </w:rPr>
      </w:pPr>
      <w:r>
        <w:rPr/>
      </w:r>
    </w:p>
    <w:p>
      <w:pPr>
        <w:pStyle w:val="BodyText"/>
        <w:ind w:hanging="720" w:start="720" w:end="0"/>
        <w:rPr/>
      </w:pPr>
      <w:r>
        <w:rPr>
          <w:rStyle w:val="LineNumber"/>
        </w:rPr>
        <w:tab/>
        <w:t>El Paso Merchant therefore viewed Mojave as an alternate route for using its El Paso capacity, particularly the Block II capacity, to reach the Southern California market.  However, the Mojave $.04/MMBtu IT rate (plus fuel) was an incremental charge that El Paso firm shippers (with San Juan Basin supplies) had to incur to reach SoCal’s territory if they could not do so at the SoCal–Topock delivery point on El Paso.  El Paso Merchant was the only bidder that knew during the open season that for large volumes (i.e., 100,001 MMBtu and above), Mojave’s IT rate discount would be only $.02/MMBtu, so the El Paso capacity, including the Block II capacity, was more valuable.  After all, the Block II rate for El Paso Merchant was only $.065/MMBtu to transport gas all the way from New Mexico and Texas to California on El Paso.  To only pay $.02/MMBtu on Mojave, instead of $.04/MMBtu as an IT rate, was a very significant piece of information.</w:t>
      </w:r>
    </w:p>
    <w:p>
      <w:pPr>
        <w:pStyle w:val="BodyText"/>
        <w:rPr>
          <w:rStyle w:val="LineNumber"/>
        </w:rPr>
      </w:pPr>
      <w:r>
        <w:rPr/>
      </w:r>
    </w:p>
    <w:p>
      <w:pPr>
        <w:pStyle w:val="BodyText"/>
        <w:numPr>
          <w:ilvl w:val="0"/>
          <w:numId w:val="32"/>
        </w:numPr>
        <w:rPr>
          <w:rStyle w:val="LineNumber"/>
        </w:rPr>
      </w:pPr>
      <w:r>
        <w:rPr>
          <w:rStyle w:val="LineNumber"/>
        </w:rPr>
        <w:t>Did El Paso Merchant intend to take advantage of this Mojave discount?</w:t>
      </w:r>
    </w:p>
    <w:p>
      <w:pPr>
        <w:pStyle w:val="BodyText"/>
        <w:numPr>
          <w:ilvl w:val="0"/>
          <w:numId w:val="22"/>
        </w:numPr>
        <w:rPr>
          <w:rStyle w:val="LineNumber"/>
        </w:rPr>
      </w:pPr>
      <w:r>
        <w:rPr>
          <w:rStyle w:val="LineNumber"/>
        </w:rPr>
        <w:t xml:space="preserve">In El Paso Merchant’s April 24, 2000 Answer (p.32) to the CPUC’s Complaint, El Paso Merchant admitted that the Mojave IT discount would help for flowing gas into the SoCal system in light of the Block II restrictions at the SoCal–Topock delivery point.  El Paso Merchant claimed in its April 24, 2000 Answer that “to date” it had not transported gas using the Mojave discount.  It is not clear if El Paso Merchant used this discount in March, 2000.  In El Paso’s August 2, 2000 data responses to the CPUC, there is a March 20, 2000 letter from Robin B. Cox of El Paso Merchant to Jerry W. Strange of Mojave, where Mr. Cox states that “this month EPME requested and received a discount on Mojave to SoCal–Wheeler Ridge in order to potentially help our load factor on El Paso Natural Gas”.  A true and correct copy of this March 20, 2000 letter is marked “Exhibit PUC-25” and attached hereto.  </w:t>
      </w:r>
    </w:p>
    <w:p>
      <w:pPr>
        <w:pStyle w:val="BodyText"/>
        <w:rPr>
          <w:rStyle w:val="LineNumber"/>
        </w:rPr>
      </w:pPr>
      <w:r>
        <w:rPr/>
      </w:r>
    </w:p>
    <w:p>
      <w:pPr>
        <w:pStyle w:val="BodyText"/>
        <w:ind w:start="720" w:end="0"/>
        <w:rPr/>
      </w:pPr>
      <w:r>
        <w:rPr>
          <w:rStyle w:val="LineNumber"/>
        </w:rPr>
        <w:t xml:space="preserve">In El Paso’s August 17, 2000 response to the CPUC’s Data Request 17-c, which asked for the delivery points that El Paso Merchant used each month under the Block I Contract (i.e., 9LBM), Block II Contract (i.e., 9LBN), and Block III Contract (i.e., 9LBP), El Paso listed the Mojave delivery point as being used by El Paso Merchant for Block I capacity in June and July 2000, for Block II capacity in March, April and June 2000, and for Block III capacity in March, April, May, and June, 2000.  A true and correct copy of this data response is marked “Exhibit PUC-26” and attached hereto.  </w:t>
      </w:r>
    </w:p>
    <w:p>
      <w:pPr>
        <w:pStyle w:val="BodyText"/>
        <w:ind w:start="720" w:end="0"/>
        <w:rPr>
          <w:rStyle w:val="LineNumber"/>
        </w:rPr>
      </w:pPr>
      <w:r>
        <w:rPr/>
      </w:r>
    </w:p>
    <w:p>
      <w:pPr>
        <w:pStyle w:val="BodyText"/>
        <w:ind w:start="720" w:end="0"/>
        <w:rPr/>
      </w:pPr>
      <w:r>
        <w:rPr>
          <w:rStyle w:val="LineNumber"/>
        </w:rPr>
        <w:t xml:space="preserve">It appears that El Paso Merchant took advantage of the Mojave IT discount rate to Wheeler Ridge.  In El Paso Merchant’s July 28, 2000 response to the CPUC’s Data Request No. 7, which requested confirmation of El Paso’s use of the February 18, 2000 Mojave IT discount rate, one of the documents which El Paso Merchant provided in response to this data request was a Mojave July 14, 2000 invoice for 134,011 MMBtu of El Paso Merchant’s IT volumes in June, 2000.  A true and correct copy of relevant excerpts of El Paso Merchant’s response to the CPUC’s Data Request No. 7 is marked “Exhibit PUC-27” and attached hereto. </w:t>
      </w:r>
    </w:p>
    <w:p>
      <w:pPr>
        <w:pStyle w:val="BodyText"/>
        <w:ind w:start="720" w:end="0"/>
        <w:rPr>
          <w:rStyle w:val="LineNumber"/>
        </w:rPr>
      </w:pPr>
      <w:r>
        <w:rPr/>
      </w:r>
    </w:p>
    <w:p>
      <w:pPr>
        <w:pStyle w:val="BodyText"/>
        <w:numPr>
          <w:ilvl w:val="0"/>
          <w:numId w:val="27"/>
        </w:numPr>
        <w:tabs>
          <w:tab w:val="left" w:pos="0" w:leader="none"/>
          <w:tab w:val="left" w:pos="720" w:leader="none"/>
        </w:tabs>
        <w:ind w:hanging="720" w:start="720" w:end="0"/>
        <w:rPr/>
      </w:pPr>
      <w:r>
        <w:rPr/>
        <w:t>Did parties, other than El Paso Merchant, know of the new Mojave discount during the open season between February 7-14, 2000?</w:t>
      </w:r>
    </w:p>
    <w:p>
      <w:pPr>
        <w:pStyle w:val="BodyText"/>
        <w:numPr>
          <w:ilvl w:val="0"/>
          <w:numId w:val="31"/>
        </w:numPr>
        <w:tabs>
          <w:tab w:val="left" w:pos="0" w:leader="none"/>
          <w:tab w:val="left" w:pos="720" w:leader="none"/>
        </w:tabs>
        <w:ind w:hanging="720" w:start="720" w:end="0"/>
        <w:rPr/>
      </w:pPr>
      <w:r>
        <w:rPr/>
        <w:t xml:space="preserve">No.  During the open season, El Paso Merchant negotiated lower rates for large volumes utilizing Mojave’s IT rates to Wheeler Ridge, and no party, other than El Paso Merchant, knew about this discount until </w:t>
      </w:r>
      <w:r>
        <w:rPr>
          <w:u w:val="single"/>
        </w:rPr>
        <w:t>after</w:t>
      </w:r>
      <w:r>
        <w:rPr/>
        <w:t xml:space="preserve"> the deadline for bids during the open season for the El Paso capacity (i.e., after February 14, 2000).  Mojave did not post the discount until February 18, 2000, after the open season had ended.  </w:t>
      </w:r>
      <w:r>
        <w:rPr>
          <w:u w:val="single"/>
        </w:rPr>
        <w:t>See</w:t>
      </w:r>
      <w:r>
        <w:rPr/>
        <w:t xml:space="preserve"> Ex. PUC-18, attached hereto.  In Mojave’s data response to FERC Enforcement Staff’s Data Request No. 4 (dated September 15, 2000), Mojave conceded that it had not communicated the discount referred to in Mr. Cox’s February 9, 2000 e-mail to any other shipper during the open season.  A true and correct copy of Mojave’s data response is marked “Exhibit PUC-45” and attached hereto.  </w:t>
      </w:r>
    </w:p>
    <w:p>
      <w:pPr>
        <w:pStyle w:val="BodyText"/>
        <w:rPr/>
      </w:pPr>
      <w:r>
        <w:rPr/>
      </w:r>
    </w:p>
    <w:p>
      <w:pPr>
        <w:pStyle w:val="BodyText"/>
        <w:numPr>
          <w:ilvl w:val="0"/>
          <w:numId w:val="3"/>
        </w:numPr>
        <w:ind w:hanging="720" w:start="720" w:end="0"/>
        <w:rPr/>
      </w:pPr>
      <w:r>
        <w:rPr/>
        <w:t>Mojave claims in this data response that this discount was not communicated to El Paso Merchant until February 18, 2000.  Is Mojave’s claim credible?</w:t>
      </w:r>
    </w:p>
    <w:p>
      <w:pPr>
        <w:pStyle w:val="BodyText"/>
        <w:numPr>
          <w:ilvl w:val="0"/>
          <w:numId w:val="36"/>
        </w:numPr>
        <w:tabs>
          <w:tab w:val="left" w:pos="0" w:leader="none"/>
          <w:tab w:val="left" w:pos="720" w:leader="none"/>
        </w:tabs>
        <w:ind w:hanging="720" w:start="720" w:end="0"/>
        <w:rPr/>
      </w:pPr>
      <w:r>
        <w:rPr/>
        <w:t xml:space="preserve">No.  It is clear that this discount information had been negotiated between El Paso Merchant and Mojave during the open season (i.e. by February 9, 2000).  According to the February 9, 2000 transcript of the telephone conversation between Mr. Cox of El Paso Merchant and Mr. Rodman of Mojave, they had agreed to a discount of $.02 per 100,001 MMBtu (or greater), a discount of $.03 per 50,000 to 100,000 MMBtu, and a discount of $.04 per less than 50,000 MMBtu.  A true and correct copy of transcripts of two telephone conversations between Mr. Cox and Mr. Rodman on February 7 and 9, 2000, which was filed herein by El Paso Merchant on November 3, 2000, is marked “Exhibit PUC-46” and attached hereto.  Not only was this precisely the discount posted by Mojave on February 18, 2000, Mr. Cox’s February 9, 2000 e-mail to Jim Brooks and others confirmed El Paso Merchant’s understanding on that date that Mojave was “willing” to make that discount offer.  </w:t>
      </w:r>
      <w:r>
        <w:rPr>
          <w:u w:val="single"/>
        </w:rPr>
        <w:t>See</w:t>
      </w:r>
      <w:r>
        <w:rPr/>
        <w:t xml:space="preserve"> Ex. PUC-19.</w:t>
      </w:r>
    </w:p>
    <w:p>
      <w:pPr>
        <w:pStyle w:val="BodyText"/>
        <w:ind w:start="360" w:end="0"/>
        <w:rPr/>
      </w:pPr>
      <w:r>
        <w:rPr/>
      </w:r>
    </w:p>
    <w:p>
      <w:pPr>
        <w:pStyle w:val="BodyText"/>
        <w:numPr>
          <w:ilvl w:val="0"/>
          <w:numId w:val="45"/>
        </w:numPr>
        <w:tabs>
          <w:tab w:val="left" w:pos="0" w:leader="none"/>
          <w:tab w:val="left" w:pos="720" w:leader="none"/>
        </w:tabs>
        <w:ind w:hanging="1080" w:start="1080" w:end="0"/>
        <w:rPr/>
      </w:pPr>
      <w:r>
        <w:rPr/>
        <w:t>Didn’t Mojave post this discount, so that others could take advantage of it?</w:t>
      </w:r>
    </w:p>
    <w:p>
      <w:pPr>
        <w:pStyle w:val="BodyText"/>
        <w:ind w:hanging="720" w:start="720" w:end="0"/>
        <w:rPr/>
      </w:pPr>
      <w:r>
        <w:rPr/>
        <w:t>A.</w:t>
        <w:tab/>
        <w:t xml:space="preserve">Mojave’s subsequent posting of the discount to others on February 18, 2000 was irrelevant, because that was </w:t>
      </w:r>
      <w:r>
        <w:rPr>
          <w:u w:val="single"/>
        </w:rPr>
        <w:t>four days after</w:t>
      </w:r>
      <w:r>
        <w:rPr/>
        <w:t xml:space="preserve"> the open season for the capacity was over.  Therefore, none of the other 24 bidders or other potential bidders knew of Mojave’s new discount during the open season and could factor it into their bids.  Only El Paso Merchant had this information before the February 14, 2000 deadline for the bids in the open season.  Moreover, there can be no doubt as to the materiality of this information during the open season.  In the February 7, 2000 transcript of the telephone call between Mr. Cox and Mr. Rodman (p. 3), Mr. Cox from El Paso Merchant stated:</w:t>
      </w:r>
    </w:p>
    <w:p>
      <w:pPr>
        <w:pStyle w:val="Quotation"/>
        <w:rPr/>
      </w:pPr>
      <w:r>
        <w:rPr/>
        <w:t>“</w:t>
      </w:r>
      <w:r>
        <w:rPr>
          <w:u w:val="single"/>
        </w:rPr>
        <w:t>in order to bid on this capacity</w:t>
      </w:r>
      <w:r>
        <w:rPr/>
        <w:t xml:space="preserve">, we’re going to need some </w:t>
      </w:r>
      <w:r>
        <w:rPr>
          <w:u w:val="single"/>
        </w:rPr>
        <w:t>rate certainty</w:t>
      </w:r>
      <w:r>
        <w:rPr/>
        <w:t xml:space="preserve"> on, um Mojave – to go to, uh, Wheeler Ridge, even it its – </w:t>
      </w:r>
      <w:r>
        <w:rPr>
          <w:u w:val="single"/>
        </w:rPr>
        <w:t>even if</w:t>
      </w:r>
      <w:r>
        <w:rPr/>
        <w:t xml:space="preserve">, you know, </w:t>
      </w:r>
      <w:r>
        <w:rPr>
          <w:u w:val="single"/>
        </w:rPr>
        <w:t>we can’t even schedule it</w:t>
      </w:r>
      <w:r>
        <w:rPr/>
        <w:t xml:space="preserve">, we still need to know what a rate certainty could be …its </w:t>
      </w:r>
      <w:r>
        <w:rPr>
          <w:u w:val="single"/>
        </w:rPr>
        <w:t>critical</w:t>
      </w:r>
      <w:r>
        <w:rPr/>
        <w:t xml:space="preserve"> that we know what our, uh, uh, discount is going to be, for this, for this specific term.”  (Emphasis added).  </w:t>
      </w:r>
      <w:r>
        <w:rPr>
          <w:u w:val="single"/>
        </w:rPr>
        <w:t>See</w:t>
      </w:r>
      <w:r>
        <w:rPr/>
        <w:t xml:space="preserve"> Exhibit </w:t>
        <w:br/>
        <w:t xml:space="preserve">PUC-46.  </w:t>
      </w:r>
    </w:p>
    <w:p>
      <w:pPr>
        <w:pStyle w:val="BodyText"/>
        <w:tabs>
          <w:tab w:val="clear" w:pos="0"/>
          <w:tab w:val="left" w:pos="720" w:leader="none"/>
        </w:tabs>
        <w:ind w:start="720" w:end="0"/>
        <w:rPr/>
      </w:pPr>
      <w:r>
        <w:rPr/>
        <w:t>Therefore, according to El Paso Merchant it was “critical” that it knew this discount information “in order to bid on this capacity”, even if El Paso Merchant never used the discount (“even if …we can’t even schedule it”).</w:t>
      </w:r>
    </w:p>
    <w:p>
      <w:pPr>
        <w:pStyle w:val="BodyText"/>
        <w:rPr/>
      </w:pPr>
      <w:r>
        <w:rPr/>
      </w:r>
    </w:p>
    <w:p>
      <w:pPr>
        <w:pStyle w:val="BodyText"/>
        <w:numPr>
          <w:ilvl w:val="0"/>
          <w:numId w:val="12"/>
        </w:numPr>
        <w:tabs>
          <w:tab w:val="left" w:pos="0" w:leader="none"/>
          <w:tab w:val="left" w:pos="720" w:leader="none"/>
        </w:tabs>
        <w:ind w:hanging="720" w:start="720" w:end="0"/>
        <w:rPr/>
      </w:pPr>
      <w:r>
        <w:rPr/>
        <w:t>Does this delay in posting the Mojave discount show that the pipeline operating personnel at El Paso/Mojave worked in conjunction with marketing personnel at El Paso Merchant.</w:t>
      </w:r>
    </w:p>
    <w:p>
      <w:pPr>
        <w:pStyle w:val="BodyText"/>
        <w:numPr>
          <w:ilvl w:val="0"/>
          <w:numId w:val="18"/>
        </w:numPr>
        <w:tabs>
          <w:tab w:val="left" w:pos="0" w:leader="none"/>
          <w:tab w:val="left" w:pos="720" w:leader="none"/>
        </w:tabs>
        <w:ind w:hanging="720" w:start="720" w:end="0"/>
        <w:rPr/>
      </w:pPr>
      <w:r>
        <w:rPr/>
        <w:t xml:space="preserve">Yes.  In fact, it was deliberate that El Paso Merchant and El Paso/Mojave did not share this discount information with other bidders and potential bidders during the open season.  The transcripts of the telephone conversations establishes that El Paso Merchant made clear to Mr. Rodman that El Paso Merchant did not want the discount posted until after February 14, 2000.  In the February 9, 2000 transcript (p. 2), after Mr. Rodman stated that he would post the discount, El Paso Merchant’s Vice President, Mr. Cox, stated: “Can you post it </w:t>
      </w:r>
      <w:r>
        <w:rPr>
          <w:u w:val="single"/>
        </w:rPr>
        <w:t>later</w:t>
      </w:r>
      <w:r>
        <w:rPr/>
        <w:t xml:space="preserve"> though?  Like, can you post it like, uh, next </w:t>
      </w:r>
      <w:r>
        <w:rPr>
          <w:u w:val="single"/>
        </w:rPr>
        <w:t>Tuesday</w:t>
      </w:r>
      <w:r>
        <w:rPr/>
        <w:t xml:space="preserve"> [February 15, 2000] or </w:t>
      </w:r>
      <w:r>
        <w:rPr>
          <w:u w:val="single"/>
        </w:rPr>
        <w:t>Wednesday</w:t>
      </w:r>
      <w:r>
        <w:rPr/>
        <w:t xml:space="preserve"> [February 16, 2000]?”  (Emphasis added).  When Mr. Rodman again referred to putting it out “as a published discount,” Mr. Cox replied: “We’re not, we’re not wanting to do that, you know, we’ll…we officially request this like next Wednesday.”  And Mr. Rodman responded: “Oh, ok.”  </w:t>
      </w:r>
      <w:r>
        <w:rPr>
          <w:u w:val="single"/>
        </w:rPr>
        <w:t>See</w:t>
      </w:r>
      <w:r>
        <w:rPr/>
        <w:t xml:space="preserve"> Exhibit PUC-46.</w:t>
      </w:r>
    </w:p>
    <w:p>
      <w:pPr>
        <w:pStyle w:val="BodyText"/>
        <w:ind w:start="360" w:end="0"/>
        <w:rPr/>
      </w:pPr>
      <w:r>
        <w:rPr/>
      </w:r>
    </w:p>
    <w:p>
      <w:pPr>
        <w:pStyle w:val="BodyText"/>
        <w:tabs>
          <w:tab w:val="clear" w:pos="0"/>
          <w:tab w:val="left" w:pos="720" w:leader="none"/>
        </w:tabs>
        <w:ind w:start="720" w:end="0"/>
        <w:rPr/>
      </w:pPr>
      <w:r>
        <w:rPr/>
        <w:t>The evidence clearly establishes that the two affiliates, El Paso Merchant and El Paso/Mojave, shared material information during the open season involving 1,220 MMcf/d of El Paso capacity, and this information was not shared contemporaneously with other potential shippers.  Indeed, the information was deliberately delayed until after the last day of the open season (i.e., after February 14, 2000), so that other bidders for the El Paso capacity would not know of this related discount on Mojave until it was too late to factor it into their bids.</w:t>
      </w:r>
    </w:p>
    <w:p>
      <w:pPr>
        <w:pStyle w:val="BodyText"/>
        <w:rPr/>
      </w:pPr>
      <w:r>
        <w:rPr/>
      </w:r>
    </w:p>
    <w:p>
      <w:pPr>
        <w:pStyle w:val="BodyText"/>
        <w:numPr>
          <w:ilvl w:val="0"/>
          <w:numId w:val="24"/>
        </w:numPr>
        <w:rPr/>
      </w:pPr>
      <w:r>
        <w:rPr/>
        <w:t>Does this conclude your testimony?</w:t>
      </w:r>
    </w:p>
    <w:p>
      <w:pPr>
        <w:pStyle w:val="BodyText"/>
        <w:numPr>
          <w:ilvl w:val="0"/>
          <w:numId w:val="13"/>
        </w:numPr>
        <w:ind w:hanging="1080" w:start="1080" w:end="0"/>
        <w:rPr/>
      </w:pPr>
      <w:r>
        <w:rPr/>
        <w:t xml:space="preserve">Yes.  It does.  </w:t>
      </w:r>
    </w:p>
    <w:p>
      <w:pPr>
        <w:sectPr>
          <w:type w:val="continuous"/>
          <w:pgSz w:w="12240" w:h="15840"/>
          <w:pgMar w:left="1800" w:right="1800" w:gutter="0" w:header="720" w:top="1440" w:footer="720" w:bottom="1440"/>
          <w:lnNumType w:countBy="1" w:restart="newPage" w:distance="283"/>
          <w:formProt w:val="false"/>
          <w:textDirection w:val="lrTb"/>
          <w:docGrid w:type="default" w:linePitch="360" w:charSpace="0"/>
        </w:sectPr>
      </w:pPr>
    </w:p>
    <w:p>
      <w:pPr>
        <w:pStyle w:val="Heading"/>
        <w:rPr/>
      </w:pPr>
      <w:r>
        <w:rPr/>
      </w:r>
    </w:p>
    <w:p>
      <w:pPr>
        <w:pStyle w:val="Heading"/>
        <w:spacing w:before="0" w:after="240"/>
        <w:rPr/>
      </w:pPr>
      <w:r>
        <w:rPr/>
        <w:t>AFFIDAVIT</w:t>
      </w:r>
    </w:p>
    <w:tbl>
      <w:tblPr>
        <w:tblW w:w="9918" w:type="dxa"/>
        <w:jc w:val="start"/>
        <w:tblInd w:w="0" w:type="dxa"/>
        <w:tblLayout w:type="fixed"/>
        <w:tblCellMar>
          <w:top w:w="0" w:type="dxa"/>
          <w:start w:w="108" w:type="dxa"/>
          <w:bottom w:w="0" w:type="dxa"/>
          <w:end w:w="108" w:type="dxa"/>
        </w:tblCellMar>
      </w:tblPr>
      <w:tblGrid>
        <w:gridCol w:w="5418"/>
        <w:gridCol w:w="450"/>
        <w:gridCol w:w="4050"/>
      </w:tblGrid>
      <w:tr>
        <w:trPr/>
        <w:tc>
          <w:tcPr>
            <w:tcW w:w="5418" w:type="dxa"/>
            <w:tcBorders/>
          </w:tcPr>
          <w:p>
            <w:pPr>
              <w:pStyle w:val="Normal"/>
              <w:rPr>
                <w:sz w:val="26"/>
              </w:rPr>
            </w:pPr>
            <w:r>
              <w:rPr>
                <w:sz w:val="26"/>
              </w:rPr>
              <w:t>STATE OF CALIFORNIA</w:t>
              <w:br/>
              <w:br/>
              <w:t>CITY AND COUNTY OF SAN FRANCISCO</w:t>
            </w:r>
          </w:p>
          <w:p>
            <w:pPr>
              <w:pStyle w:val="Normal"/>
              <w:rPr>
                <w:sz w:val="26"/>
              </w:rPr>
            </w:pPr>
            <w:r>
              <w:rPr>
                <w:sz w:val="26"/>
              </w:rPr>
            </w:r>
          </w:p>
        </w:tc>
        <w:tc>
          <w:tcPr>
            <w:tcW w:w="450" w:type="dxa"/>
            <w:tcBorders/>
          </w:tcPr>
          <w:p>
            <w:pPr>
              <w:pStyle w:val="Normal"/>
              <w:rPr>
                <w:sz w:val="26"/>
              </w:rPr>
            </w:pPr>
            <w:r>
              <w:rPr>
                <w:sz w:val="26"/>
              </w:rPr>
              <w:t>)</w:t>
              <w:br/>
              <w:t>)</w:t>
              <w:br/>
              <w:t>)</w:t>
            </w:r>
          </w:p>
        </w:tc>
        <w:tc>
          <w:tcPr>
            <w:tcW w:w="4050" w:type="dxa"/>
            <w:tcBorders/>
          </w:tcPr>
          <w:p>
            <w:pPr>
              <w:pStyle w:val="Normal"/>
              <w:jc w:val="center"/>
              <w:rPr>
                <w:sz w:val="26"/>
              </w:rPr>
            </w:pPr>
            <w:r>
              <w:rPr>
                <w:sz w:val="26"/>
              </w:rPr>
              <w:br/>
              <w:t>ss.</w:t>
            </w:r>
          </w:p>
        </w:tc>
      </w:tr>
    </w:tbl>
    <w:p>
      <w:pPr>
        <w:pStyle w:val="Normal"/>
        <w:spacing w:lineRule="auto" w:line="480"/>
        <w:ind w:firstLine="1440" w:end="0"/>
        <w:rPr>
          <w:sz w:val="26"/>
        </w:rPr>
      </w:pPr>
      <w:r>
        <w:rPr>
          <w:sz w:val="26"/>
        </w:rPr>
      </w:r>
    </w:p>
    <w:p>
      <w:pPr>
        <w:pStyle w:val="BodyTextIndent2"/>
        <w:rPr>
          <w:sz w:val="26"/>
        </w:rPr>
      </w:pPr>
      <w:r>
        <w:rPr>
          <w:sz w:val="26"/>
        </w:rPr>
        <w:t>ROBERT MARK POCTA, being first duly sworn, on oath, declares under penalty of perjury that he is the ROBERT MARK POCTA identified in the foregoing prepared testimony; that he caused to be prepared such testimony; that the answers appearing therein are true to the best of his knowledge and belief; and that if asked the questions appearing therein, his answers would, under oath, be the same.</w:t>
      </w:r>
    </w:p>
    <w:p>
      <w:pPr>
        <w:pStyle w:val="Normal"/>
        <w:spacing w:lineRule="auto" w:line="480"/>
        <w:ind w:firstLine="1440" w:end="0"/>
        <w:rPr>
          <w:sz w:val="26"/>
        </w:rPr>
      </w:pPr>
      <w:r>
        <w:rPr>
          <w:sz w:val="26"/>
        </w:rPr>
        <w:t xml:space="preserve">Executed at San Francisco, California this 11th day of July, 2001.  </w:t>
      </w:r>
    </w:p>
    <w:p>
      <w:pPr>
        <w:pStyle w:val="Normal"/>
        <w:spacing w:lineRule="auto" w:line="480"/>
        <w:ind w:start="5040" w:end="0"/>
        <w:rPr>
          <w:sz w:val="26"/>
        </w:rPr>
      </w:pPr>
      <w:r>
        <w:rPr>
          <w:sz w:val="26"/>
        </w:rPr>
      </w:r>
    </w:p>
    <w:p>
      <w:pPr>
        <w:pStyle w:val="Normal"/>
        <w:spacing w:before="0" w:after="120"/>
        <w:ind w:hanging="360" w:start="5040" w:end="0"/>
        <w:rPr>
          <w:sz w:val="26"/>
        </w:rPr>
      </w:pPr>
      <w:r>
        <w:rPr>
          <w:sz w:val="26"/>
        </w:rPr>
        <w:t>_____________________________</w:t>
      </w:r>
    </w:p>
    <w:p>
      <w:pPr>
        <w:pStyle w:val="Normal"/>
        <w:spacing w:before="0" w:after="120"/>
        <w:ind w:start="5040" w:end="0"/>
        <w:rPr>
          <w:sz w:val="26"/>
        </w:rPr>
      </w:pPr>
      <w:r>
        <w:rPr>
          <w:sz w:val="26"/>
        </w:rPr>
        <w:t xml:space="preserve">  </w:t>
      </w:r>
      <w:r>
        <w:rPr>
          <w:sz w:val="26"/>
        </w:rPr>
        <w:t>ROBERT MARK POCTA</w:t>
      </w:r>
    </w:p>
    <w:p>
      <w:pPr>
        <w:pStyle w:val="Normal"/>
        <w:spacing w:lineRule="auto" w:line="480"/>
        <w:ind w:start="5040" w:end="0"/>
        <w:rPr>
          <w:sz w:val="26"/>
        </w:rPr>
      </w:pPr>
      <w:r>
        <w:rPr>
          <w:sz w:val="26"/>
        </w:rPr>
      </w:r>
    </w:p>
    <w:p>
      <w:pPr>
        <w:pStyle w:val="BodyText"/>
        <w:spacing w:before="0" w:after="260"/>
        <w:rPr/>
      </w:pPr>
      <w:r>
        <w:rPr/>
        <w:t>Subscribed and sworn to before me this</w:t>
        <w:br/>
        <w:t xml:space="preserve"> ____ day of _____________, 2001</w:t>
      </w:r>
    </w:p>
    <w:p>
      <w:pPr>
        <w:pStyle w:val="Normal"/>
        <w:spacing w:lineRule="auto" w:line="480"/>
        <w:rPr>
          <w:sz w:val="26"/>
        </w:rPr>
      </w:pPr>
      <w:r>
        <w:rPr>
          <w:sz w:val="26"/>
        </w:rPr>
        <w:t>________________________</w:t>
      </w:r>
    </w:p>
    <w:p>
      <w:pPr>
        <w:sectPr>
          <w:headerReference w:type="default" r:id="rId14"/>
          <w:footerReference w:type="default" r:id="rId15"/>
          <w:type w:val="nextPage"/>
          <w:pgSz w:w="12240" w:h="15840"/>
          <w:pgMar w:left="1800" w:right="1800" w:gutter="0" w:header="720" w:top="1440" w:footer="720" w:bottom="1440"/>
          <w:lnNumType w:countBy="1" w:restart="newPage" w:distance="283"/>
          <w:pgNumType w:fmt="decimal"/>
          <w:formProt w:val="false"/>
          <w:textDirection w:val="lrTb"/>
          <w:docGrid w:type="default" w:linePitch="360" w:charSpace="0"/>
        </w:sectPr>
        <w:pStyle w:val="Normal"/>
        <w:spacing w:lineRule="auto" w:line="480"/>
        <w:rPr>
          <w:sz w:val="26"/>
        </w:rPr>
      </w:pPr>
      <w:r>
        <w:rPr>
          <w:sz w:val="26"/>
        </w:rPr>
        <w:t>NOTARY PUBLIC</w:t>
      </w:r>
    </w:p>
    <w:p>
      <w:pPr>
        <w:pStyle w:val="Heading"/>
        <w:rPr>
          <w:sz w:val="26"/>
        </w:rPr>
      </w:pPr>
      <w:r>
        <w:rPr>
          <w:sz w:val="26"/>
        </w:rPr>
      </w:r>
    </w:p>
    <w:p>
      <w:pPr>
        <w:pStyle w:val="Heading"/>
        <w:rPr>
          <w:u w:val="single"/>
        </w:rPr>
      </w:pPr>
      <w:r>
        <w:rPr>
          <w:u w:val="single"/>
        </w:rPr>
        <w:t xml:space="preserve">CERTIFICATE OF SERVICE  </w:t>
      </w:r>
    </w:p>
    <w:p>
      <w:pPr>
        <w:pStyle w:val="BodyText"/>
        <w:rPr>
          <w:u w:val="single"/>
        </w:rPr>
      </w:pPr>
      <w:r>
        <w:rPr>
          <w:u w:val="single"/>
        </w:rPr>
      </w:r>
    </w:p>
    <w:p>
      <w:pPr>
        <w:pStyle w:val="BodyText"/>
        <w:rPr/>
      </w:pPr>
      <w:r>
        <w:rPr/>
        <w:tab/>
        <w:t xml:space="preserve">I hereby certify that I have this day served the foregoing document by sending via overnight courier and e-mail a copy to each active party and by sending via first class mail, a copy thereof properly addressed to all known parties on the official service list in this proceeding.   </w:t>
      </w:r>
    </w:p>
    <w:p>
      <w:pPr>
        <w:pStyle w:val="BodyText"/>
        <w:rPr/>
      </w:pPr>
      <w:r>
        <w:rPr/>
        <w:tab/>
        <w:t xml:space="preserve">Dated at San Francisco, California, this 12th day of July, 2001.  </w:t>
      </w:r>
    </w:p>
    <w:p>
      <w:pPr>
        <w:pStyle w:val="BodyText"/>
        <w:rPr/>
      </w:pPr>
      <w:r>
        <w:rPr/>
      </w:r>
    </w:p>
    <w:p>
      <w:pPr>
        <w:pStyle w:val="BodyText"/>
        <w:spacing w:lineRule="auto" w:line="240"/>
        <w:rPr/>
      </w:pPr>
      <w:r>
        <w:rPr/>
        <w:tab/>
        <w:tab/>
        <w:tab/>
        <w:tab/>
        <w:tab/>
      </w:r>
    </w:p>
    <w:p>
      <w:pPr>
        <w:pStyle w:val="BodyText"/>
        <w:spacing w:lineRule="auto" w:line="240"/>
        <w:rPr>
          <w:b/>
          <w:u w:val="single"/>
        </w:rPr>
      </w:pPr>
      <w:r>
        <w:rPr/>
        <w:tab/>
        <w:tab/>
        <w:tab/>
        <w:tab/>
        <w:tab/>
      </w:r>
      <w:r>
        <w:rPr>
          <w:u w:val="single"/>
        </w:rPr>
        <w:tab/>
        <w:tab/>
        <w:tab/>
        <w:tab/>
        <w:tab/>
        <w:tab/>
      </w:r>
    </w:p>
    <w:p>
      <w:pPr>
        <w:pStyle w:val="Normal"/>
        <w:rPr/>
      </w:pPr>
      <w:r>
        <w:rPr>
          <w:b/>
          <w:sz w:val="26"/>
        </w:rPr>
        <w:tab/>
        <w:tab/>
        <w:tab/>
        <w:tab/>
        <w:tab/>
        <w:tab/>
      </w:r>
      <w:r>
        <w:rPr>
          <w:bCs/>
          <w:sz w:val="26"/>
        </w:rPr>
        <w:t xml:space="preserve">HARVEY Y. MORRIS    </w:t>
      </w:r>
    </w:p>
    <w:p>
      <w:pPr>
        <w:pStyle w:val="Normal"/>
        <w:rPr>
          <w:bCs/>
          <w:sz w:val="26"/>
        </w:rPr>
      </w:pPr>
      <w:r>
        <w:rPr>
          <w:bCs/>
          <w:sz w:val="26"/>
        </w:rPr>
      </w:r>
    </w:p>
    <w:sectPr>
      <w:headerReference w:type="default" r:id="rId16"/>
      <w:headerReference w:type="first" r:id="rId17"/>
      <w:footerReference w:type="default" r:id="rId18"/>
      <w:footerReference w:type="first" r:id="rId19"/>
      <w:type w:val="nextPage"/>
      <w:pgSz w:w="12240" w:h="15840"/>
      <w:pgMar w:left="1800" w:right="1440" w:gutter="0" w:header="720" w:top="1440" w:footer="720" w:bottom="144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2763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8"/>
      </w:rPr>
      <w:t>Exhibit PUC-44</w:t>
    </w:r>
  </w:p>
  <w:p>
    <w:pPr>
      <w:pStyle w:val="Header"/>
      <w:rPr>
        <w:sz w:val="28"/>
      </w:rPr>
    </w:pPr>
    <w:r>
      <w:rPr>
        <w:sz w:val="28"/>
      </w:rPr>
    </w:r>
  </w:p>
  <w:p>
    <w:pPr>
      <w:pStyle w:val="Header"/>
      <w:rPr>
        <w:b/>
        <w:sz w:val="28"/>
      </w:rPr>
    </w:pPr>
    <w:r>
      <w:rPr>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double" w:sz="6" w:space="1" w:color="000000"/>
      </w:pBdr>
      <w:tabs>
        <w:tab w:val="clear" w:pos="720"/>
        <w:tab w:val="left" w:pos="7200" w:leader="none"/>
        <w:tab w:val="right" w:pos="11070" w:leader="none"/>
      </w:tabs>
      <w:ind w:end="90"/>
      <w:rPr/>
    </w:pPr>
    <w:r>
      <w:rPr>
        <w:rFonts w:cs="Arial" w:ascii="Arial" w:hAnsi="Arial"/>
        <w:sz w:val="16"/>
      </w:rPr>
      <w:t>STATE OF CALIFORNIA</w:t>
    </w:r>
    <w:r>
      <w:rPr>
        <w:rFonts w:cs="Arial" w:ascii="Arial" w:hAnsi="Arial"/>
      </w:rPr>
      <w:tab/>
      <w:t xml:space="preserve">     </w:t>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8"/>
      </w:rPr>
      <w:t>Exhibit PUC-44</w:t>
    </w:r>
  </w:p>
  <w:p>
    <w:pPr>
      <w:pStyle w:val="Header"/>
      <w:rPr>
        <w:sz w:val="28"/>
      </w:rPr>
    </w:pPr>
    <w:r>
      <w:rPr>
        <w:sz w:val="28"/>
      </w:rPr>
    </w:r>
  </w:p>
  <w:p>
    <w:pPr>
      <w:pStyle w:val="Header"/>
      <w:rPr>
        <w:b/>
        <w:sz w:val="28"/>
      </w:rPr>
    </w:pPr>
    <w:r>
      <w:rPr>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8"/>
      </w:rPr>
      <w:t>Exhibit PUC-44</w:t>
    </w:r>
  </w:p>
  <w:p>
    <w:pPr>
      <w:pStyle w:val="Header"/>
      <w:rPr>
        <w:sz w:val="28"/>
      </w:rPr>
    </w:pPr>
    <w:r>
      <w:rPr>
        <w:sz w:val="28"/>
      </w:rPr>
    </w:r>
  </w:p>
  <w:p>
    <w:pPr>
      <w:pStyle w:val="Header"/>
      <w:rPr>
        <w:b/>
        <w:sz w:val="28"/>
      </w:rPr>
    </w:pPr>
    <w:r>
      <w:rPr>
        <w:b/>
        <w:sz w:val="2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rPr>
    </w:pPr>
    <w:r>
      <w:rPr/>
      <w:tab/>
      <w:tab/>
    </w:r>
  </w:p>
  <w:p>
    <w:pPr>
      <w:pStyle w:val="Header"/>
      <w:rPr>
        <w:sz w:val="28"/>
      </w:rPr>
    </w:pPr>
    <w:r>
      <w:rPr>
        <w:sz w:val="28"/>
      </w:rPr>
    </w:r>
  </w:p>
  <w:p>
    <w:pPr>
      <w:pStyle w:val="Header"/>
      <w:rPr>
        <w:b/>
        <w:sz w:val="28"/>
      </w:rPr>
    </w:pPr>
    <w:r>
      <w:rPr>
        <w:b/>
        <w:sz w:val="28"/>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p>
    <w:pPr>
      <w:pStyle w:val="Header"/>
      <w:rPr>
        <w:sz w:val="28"/>
      </w:rPr>
    </w:pPr>
    <w:r>
      <w:rPr>
        <w:sz w:val="28"/>
      </w:rPr>
    </w:r>
  </w:p>
  <w:p>
    <w:pPr>
      <w:pStyle w:val="Header"/>
      <w:rPr>
        <w:b/>
        <w:sz w:val="28"/>
      </w:rPr>
    </w:pPr>
    <w:r>
      <w:rPr>
        <w:b/>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7"/>
      <w:numFmt w:val="upperLetter"/>
      <w:lvlText w:val="%1."/>
      <w:lvlJc w:val="start"/>
      <w:pPr>
        <w:tabs>
          <w:tab w:val="num" w:pos="720"/>
        </w:tabs>
        <w:ind w:start="720" w:hanging="360"/>
      </w:pPr>
      <w:rPr/>
    </w:lvl>
  </w:abstractNum>
  <w:abstractNum w:abstractNumId="4">
    <w:lvl w:ilvl="0">
      <w:start w:val="1"/>
      <w:numFmt w:val="upperLetter"/>
      <w:lvlText w:val="%1."/>
      <w:lvlJc w:val="start"/>
      <w:pPr>
        <w:tabs>
          <w:tab w:val="num" w:pos="720"/>
        </w:tabs>
        <w:ind w:start="720" w:hanging="720"/>
      </w:pPr>
      <w:rPr/>
    </w:lvl>
  </w:abstractNum>
  <w:abstractNum w:abstractNumId="5">
    <w:lvl w:ilvl="0">
      <w:start w:val="17"/>
      <w:numFmt w:val="upperLetter"/>
      <w:lvlText w:val="%1."/>
      <w:lvlJc w:val="start"/>
      <w:pPr>
        <w:tabs>
          <w:tab w:val="num" w:pos="480"/>
        </w:tabs>
        <w:ind w:start="480" w:hanging="480"/>
      </w:pPr>
      <w:rPr/>
    </w:lvl>
  </w:abstractNum>
  <w:abstractNum w:abstractNumId="6">
    <w:lvl w:ilvl="0">
      <w:start w:val="17"/>
      <w:numFmt w:val="upperLetter"/>
      <w:lvlText w:val="%1."/>
      <w:lvlJc w:val="start"/>
      <w:pPr>
        <w:tabs>
          <w:tab w:val="num" w:pos="720"/>
        </w:tabs>
        <w:ind w:start="720" w:hanging="720"/>
      </w:pPr>
      <w:rPr/>
    </w:lvl>
  </w:abstractNum>
  <w:abstractNum w:abstractNumId="7">
    <w:lvl w:ilvl="0">
      <w:start w:val="1"/>
      <w:numFmt w:val="upperLetter"/>
      <w:lvlText w:val="%1."/>
      <w:lvlJc w:val="start"/>
      <w:pPr>
        <w:tabs>
          <w:tab w:val="num" w:pos="720"/>
        </w:tabs>
        <w:ind w:start="720" w:hanging="720"/>
      </w:pPr>
      <w:rPr/>
    </w:lvl>
  </w:abstractNum>
  <w:abstractNum w:abstractNumId="8">
    <w:lvl w:ilvl="0">
      <w:start w:val="17"/>
      <w:numFmt w:val="upperLetter"/>
      <w:lvlText w:val="%1."/>
      <w:lvlJc w:val="start"/>
      <w:pPr>
        <w:tabs>
          <w:tab w:val="num" w:pos="720"/>
        </w:tabs>
        <w:ind w:start="1080" w:hanging="720"/>
      </w:pPr>
      <w:rPr/>
    </w:lvl>
  </w:abstractNum>
  <w:abstractNum w:abstractNumId="9">
    <w:lvl w:ilvl="0">
      <w:start w:val="17"/>
      <w:numFmt w:val="upperLetter"/>
      <w:lvlText w:val="%1."/>
      <w:lvlJc w:val="start"/>
      <w:pPr>
        <w:tabs>
          <w:tab w:val="num" w:pos="720"/>
        </w:tabs>
        <w:ind w:start="720" w:hanging="720"/>
      </w:pPr>
      <w:rPr/>
    </w:lvl>
  </w:abstractNum>
  <w:abstractNum w:abstractNumId="10">
    <w:lvl w:ilvl="0">
      <w:start w:val="17"/>
      <w:numFmt w:val="upperLetter"/>
      <w:lvlText w:val="%1."/>
      <w:lvlJc w:val="start"/>
      <w:pPr>
        <w:tabs>
          <w:tab w:val="num" w:pos="720"/>
        </w:tabs>
        <w:ind w:start="720" w:hanging="720"/>
      </w:pPr>
      <w:rPr/>
    </w:lvl>
  </w:abstractNum>
  <w:abstractNum w:abstractNumId="11">
    <w:lvl w:ilvl="0">
      <w:start w:val="1"/>
      <w:numFmt w:val="upperLetter"/>
      <w:lvlText w:val="%1."/>
      <w:lvlJc w:val="start"/>
      <w:pPr>
        <w:tabs>
          <w:tab w:val="num" w:pos="720"/>
        </w:tabs>
        <w:ind w:start="720" w:hanging="720"/>
      </w:pPr>
      <w:rPr/>
    </w:lvl>
  </w:abstractNum>
  <w:abstractNum w:abstractNumId="12">
    <w:lvl w:ilvl="0">
      <w:start w:val="17"/>
      <w:numFmt w:val="upperLetter"/>
      <w:lvlText w:val="%1."/>
      <w:lvlJc w:val="start"/>
      <w:pPr>
        <w:tabs>
          <w:tab w:val="num" w:pos="1080"/>
        </w:tabs>
        <w:ind w:start="1080" w:hanging="720"/>
      </w:pPr>
      <w:rPr/>
    </w:lvl>
  </w:abstractNum>
  <w:abstractNum w:abstractNumId="13">
    <w:lvl w:ilvl="0">
      <w:start w:val="1"/>
      <w:numFmt w:val="upperLetter"/>
      <w:lvlText w:val="%1."/>
      <w:lvlJc w:val="start"/>
      <w:pPr>
        <w:tabs>
          <w:tab w:val="num" w:pos="720"/>
        </w:tabs>
        <w:ind w:start="1080" w:hanging="720"/>
      </w:pPr>
      <w:rPr/>
    </w:lvl>
  </w:abstractNum>
  <w:abstractNum w:abstractNumId="14">
    <w:lvl w:ilvl="0">
      <w:start w:val="1"/>
      <w:numFmt w:val="upperLetter"/>
      <w:lvlText w:val="%1."/>
      <w:lvlJc w:val="start"/>
      <w:pPr>
        <w:tabs>
          <w:tab w:val="num" w:pos="720"/>
        </w:tabs>
        <w:ind w:start="720" w:hanging="720"/>
      </w:pPr>
      <w:rPr/>
    </w:lvl>
  </w:abstractNum>
  <w:abstractNum w:abstractNumId="15">
    <w:lvl w:ilvl="0">
      <w:start w:val="17"/>
      <w:numFmt w:val="upperLetter"/>
      <w:lvlText w:val="%1."/>
      <w:lvlJc w:val="start"/>
      <w:pPr>
        <w:tabs>
          <w:tab w:val="num" w:pos="720"/>
        </w:tabs>
        <w:ind w:start="720" w:hanging="720"/>
      </w:pPr>
      <w:rPr/>
    </w:lvl>
  </w:abstractNum>
  <w:abstractNum w:abstractNumId="16">
    <w:lvl w:ilvl="0">
      <w:start w:val="1"/>
      <w:numFmt w:val="upperLetter"/>
      <w:lvlText w:val="%1."/>
      <w:lvlJc w:val="start"/>
      <w:pPr>
        <w:tabs>
          <w:tab w:val="num" w:pos="360"/>
        </w:tabs>
        <w:ind w:start="360" w:hanging="360"/>
      </w:pPr>
      <w:rPr/>
    </w:lvl>
  </w:abstractNum>
  <w:abstractNum w:abstractNumId="17">
    <w:lvl w:ilvl="0">
      <w:start w:val="1"/>
      <w:numFmt w:val="upperLetter"/>
      <w:lvlText w:val="%1."/>
      <w:lvlJc w:val="start"/>
      <w:pPr>
        <w:tabs>
          <w:tab w:val="num" w:pos="405"/>
        </w:tabs>
        <w:ind w:start="405" w:hanging="405"/>
      </w:pPr>
      <w:rPr/>
    </w:lvl>
  </w:abstractNum>
  <w:abstractNum w:abstractNumId="18">
    <w:lvl w:ilvl="0">
      <w:start w:val="1"/>
      <w:numFmt w:val="upperLetter"/>
      <w:lvlText w:val="%1."/>
      <w:lvlJc w:val="start"/>
      <w:pPr>
        <w:tabs>
          <w:tab w:val="num" w:pos="1440"/>
        </w:tabs>
        <w:ind w:start="1440" w:hanging="1080"/>
      </w:pPr>
      <w:rPr/>
    </w:lvl>
  </w:abstractNum>
  <w:abstractNum w:abstractNumId="19">
    <w:lvl w:ilvl="0">
      <w:start w:val="17"/>
      <w:numFmt w:val="upperLetter"/>
      <w:lvlText w:val="%1."/>
      <w:lvlJc w:val="start"/>
      <w:pPr>
        <w:tabs>
          <w:tab w:val="num" w:pos="720"/>
        </w:tabs>
        <w:ind w:start="720" w:hanging="720"/>
      </w:pPr>
      <w:rPr/>
    </w:lvl>
  </w:abstractNum>
  <w:abstractNum w:abstractNumId="20">
    <w:lvl w:ilvl="0">
      <w:start w:val="17"/>
      <w:numFmt w:val="upperLetter"/>
      <w:lvlText w:val="%1."/>
      <w:lvlJc w:val="start"/>
      <w:pPr>
        <w:tabs>
          <w:tab w:val="num" w:pos="720"/>
        </w:tabs>
        <w:ind w:start="720" w:hanging="720"/>
      </w:pPr>
      <w:rPr/>
    </w:lvl>
  </w:abstractNum>
  <w:abstractNum w:abstractNumId="21">
    <w:lvl w:ilvl="0">
      <w:start w:val="1"/>
      <w:numFmt w:val="upperLetter"/>
      <w:lvlText w:val="%1."/>
      <w:lvlJc w:val="start"/>
      <w:pPr>
        <w:tabs>
          <w:tab w:val="num" w:pos="720"/>
        </w:tabs>
        <w:ind w:start="720" w:hanging="720"/>
      </w:pPr>
      <w:rPr/>
    </w:lvl>
  </w:abstractNum>
  <w:abstractNum w:abstractNumId="22">
    <w:lvl w:ilvl="0">
      <w:start w:val="1"/>
      <w:numFmt w:val="upperLetter"/>
      <w:lvlText w:val="%1."/>
      <w:lvlJc w:val="start"/>
      <w:pPr>
        <w:tabs>
          <w:tab w:val="num" w:pos="720"/>
        </w:tabs>
        <w:ind w:start="720" w:hanging="720"/>
      </w:pPr>
      <w:rPr/>
    </w:lvl>
  </w:abstractNum>
  <w:abstractNum w:abstractNumId="23">
    <w:lvl w:ilvl="0">
      <w:start w:val="17"/>
      <w:numFmt w:val="upperLetter"/>
      <w:lvlText w:val="%1."/>
      <w:lvlJc w:val="start"/>
      <w:pPr>
        <w:tabs>
          <w:tab w:val="num" w:pos="720"/>
        </w:tabs>
        <w:ind w:start="720" w:hanging="720"/>
      </w:pPr>
      <w:rPr/>
    </w:lvl>
  </w:abstractNum>
  <w:abstractNum w:abstractNumId="24">
    <w:lvl w:ilvl="0">
      <w:start w:val="17"/>
      <w:numFmt w:val="upperLetter"/>
      <w:lvlText w:val="%1."/>
      <w:lvlJc w:val="start"/>
      <w:pPr>
        <w:tabs>
          <w:tab w:val="num" w:pos="720"/>
        </w:tabs>
        <w:ind w:start="720" w:hanging="720"/>
      </w:pPr>
      <w:rPr/>
    </w:lvl>
  </w:abstractNum>
  <w:abstractNum w:abstractNumId="25">
    <w:lvl w:ilvl="0">
      <w:start w:val="1"/>
      <w:numFmt w:val="upperLetter"/>
      <w:lvlText w:val="%1."/>
      <w:lvlJc w:val="start"/>
      <w:pPr>
        <w:tabs>
          <w:tab w:val="num" w:pos="720"/>
        </w:tabs>
        <w:ind w:start="720" w:hanging="720"/>
      </w:pPr>
      <w:rPr/>
    </w:lvl>
  </w:abstractNum>
  <w:abstractNum w:abstractNumId="26">
    <w:lvl w:ilvl="0">
      <w:start w:val="1"/>
      <w:numFmt w:val="upperLetter"/>
      <w:lvlText w:val="%1."/>
      <w:lvlJc w:val="start"/>
      <w:pPr>
        <w:tabs>
          <w:tab w:val="num" w:pos="360"/>
        </w:tabs>
        <w:ind w:start="360" w:hanging="360"/>
      </w:pPr>
      <w:rPr/>
    </w:lvl>
  </w:abstractNum>
  <w:abstractNum w:abstractNumId="27">
    <w:lvl w:ilvl="0">
      <w:start w:val="17"/>
      <w:numFmt w:val="upperLetter"/>
      <w:lvlText w:val="%1."/>
      <w:lvlJc w:val="start"/>
      <w:pPr>
        <w:tabs>
          <w:tab w:val="num" w:pos="1080"/>
        </w:tabs>
        <w:ind w:start="1080" w:hanging="720"/>
      </w:pPr>
      <w:rPr/>
    </w:lvl>
  </w:abstractNum>
  <w:abstractNum w:abstractNumId="28">
    <w:lvl w:ilvl="0">
      <w:start w:val="1"/>
      <w:numFmt w:val="upperLetter"/>
      <w:lvlText w:val="%1."/>
      <w:lvlJc w:val="start"/>
      <w:pPr>
        <w:tabs>
          <w:tab w:val="num" w:pos="825"/>
        </w:tabs>
        <w:ind w:start="825" w:hanging="405"/>
      </w:pPr>
      <w:rPr/>
    </w:lvl>
  </w:abstractNum>
  <w:abstractNum w:abstractNumId="29">
    <w:lvl w:ilvl="0">
      <w:start w:val="17"/>
      <w:numFmt w:val="upperLetter"/>
      <w:lvlText w:val="%1."/>
      <w:lvlJc w:val="start"/>
      <w:pPr>
        <w:tabs>
          <w:tab w:val="num" w:pos="720"/>
        </w:tabs>
        <w:ind w:start="720" w:hanging="720"/>
      </w:pPr>
      <w:rPr/>
    </w:lvl>
  </w:abstractNum>
  <w:abstractNum w:abstractNumId="30">
    <w:lvl w:ilvl="0">
      <w:start w:val="17"/>
      <w:numFmt w:val="upperLetter"/>
      <w:lvlText w:val="%1."/>
      <w:lvlJc w:val="start"/>
      <w:pPr>
        <w:tabs>
          <w:tab w:val="num" w:pos="720"/>
        </w:tabs>
        <w:ind w:start="720" w:hanging="720"/>
      </w:pPr>
      <w:rPr/>
    </w:lvl>
  </w:abstractNum>
  <w:abstractNum w:abstractNumId="31">
    <w:lvl w:ilvl="0">
      <w:start w:val="1"/>
      <w:numFmt w:val="upperLetter"/>
      <w:lvlText w:val="%1."/>
      <w:lvlJc w:val="start"/>
      <w:pPr>
        <w:tabs>
          <w:tab w:val="num" w:pos="1080"/>
        </w:tabs>
        <w:ind w:start="1080" w:hanging="360"/>
      </w:pPr>
      <w:rPr/>
    </w:lvl>
  </w:abstractNum>
  <w:abstractNum w:abstractNumId="32">
    <w:lvl w:ilvl="0">
      <w:start w:val="17"/>
      <w:numFmt w:val="upperLetter"/>
      <w:lvlText w:val="%1."/>
      <w:lvlJc w:val="start"/>
      <w:pPr>
        <w:tabs>
          <w:tab w:val="num" w:pos="720"/>
        </w:tabs>
        <w:ind w:start="720" w:hanging="720"/>
      </w:pPr>
      <w:rPr/>
    </w:lvl>
  </w:abstractNum>
  <w:abstractNum w:abstractNumId="33">
    <w:lvl w:ilvl="0">
      <w:start w:val="1"/>
      <w:numFmt w:val="upperLetter"/>
      <w:lvlText w:val="%1."/>
      <w:lvlJc w:val="start"/>
      <w:pPr>
        <w:tabs>
          <w:tab w:val="num" w:pos="720"/>
        </w:tabs>
        <w:ind w:start="720" w:hanging="720"/>
      </w:pPr>
      <w:rPr/>
    </w:lvl>
  </w:abstractNum>
  <w:abstractNum w:abstractNumId="34">
    <w:lvl w:ilvl="0">
      <w:start w:val="17"/>
      <w:numFmt w:val="upperLetter"/>
      <w:lvlText w:val="%1."/>
      <w:lvlJc w:val="start"/>
      <w:pPr>
        <w:tabs>
          <w:tab w:val="num" w:pos="720"/>
        </w:tabs>
        <w:ind w:start="720" w:hanging="720"/>
      </w:pPr>
      <w:rPr/>
    </w:lvl>
  </w:abstractNum>
  <w:abstractNum w:abstractNumId="35">
    <w:lvl w:ilvl="0">
      <w:start w:val="17"/>
      <w:numFmt w:val="upperLetter"/>
      <w:lvlText w:val="%1."/>
      <w:lvlJc w:val="start"/>
      <w:pPr>
        <w:tabs>
          <w:tab w:val="num" w:pos="420"/>
        </w:tabs>
        <w:ind w:start="420" w:hanging="420"/>
      </w:pPr>
      <w:rPr/>
    </w:lvl>
  </w:abstractNum>
  <w:abstractNum w:abstractNumId="36">
    <w:lvl w:ilvl="0">
      <w:start w:val="1"/>
      <w:numFmt w:val="upperLetter"/>
      <w:lvlText w:val="%1."/>
      <w:lvlJc w:val="start"/>
      <w:pPr>
        <w:tabs>
          <w:tab w:val="num" w:pos="1080"/>
        </w:tabs>
        <w:ind w:start="1080" w:hanging="720"/>
      </w:pPr>
      <w:rPr/>
    </w:lvl>
  </w:abstractNum>
  <w:abstractNum w:abstractNumId="37">
    <w:lvl w:ilvl="0">
      <w:start w:val="17"/>
      <w:numFmt w:val="upperLetter"/>
      <w:lvlText w:val="%1."/>
      <w:lvlJc w:val="start"/>
      <w:pPr>
        <w:tabs>
          <w:tab w:val="num" w:pos="720"/>
        </w:tabs>
        <w:ind w:start="720" w:hanging="720"/>
      </w:pPr>
      <w:rPr/>
    </w:lvl>
  </w:abstractNum>
  <w:abstractNum w:abstractNumId="38">
    <w:lvl w:ilvl="0">
      <w:start w:val="1"/>
      <w:numFmt w:val="upperLetter"/>
      <w:lvlText w:val="%1."/>
      <w:lvlJc w:val="start"/>
      <w:pPr>
        <w:tabs>
          <w:tab w:val="num" w:pos="720"/>
        </w:tabs>
        <w:ind w:start="720" w:hanging="720"/>
      </w:pPr>
      <w:rPr/>
    </w:lvl>
  </w:abstractNum>
  <w:abstractNum w:abstractNumId="39">
    <w:lvl w:ilvl="0">
      <w:start w:val="1"/>
      <w:numFmt w:val="upperLetter"/>
      <w:lvlText w:val="%1."/>
      <w:lvlJc w:val="start"/>
      <w:pPr>
        <w:tabs>
          <w:tab w:val="num" w:pos="360"/>
        </w:tabs>
        <w:ind w:start="360" w:hanging="360"/>
      </w:pPr>
      <w:rPr/>
    </w:lvl>
  </w:abstractNum>
  <w:abstractNum w:abstractNumId="40">
    <w:lvl w:ilvl="0">
      <w:start w:val="17"/>
      <w:numFmt w:val="upperLetter"/>
      <w:lvlText w:val="%1."/>
      <w:lvlJc w:val="start"/>
      <w:pPr>
        <w:tabs>
          <w:tab w:val="num" w:pos="360"/>
        </w:tabs>
        <w:ind w:start="360" w:hanging="360"/>
      </w:pPr>
      <w:rPr/>
    </w:lvl>
  </w:abstractNum>
  <w:abstractNum w:abstractNumId="41">
    <w:lvl w:ilvl="0">
      <w:start w:val="1"/>
      <w:numFmt w:val="upperLetter"/>
      <w:lvlText w:val="%1."/>
      <w:lvlJc w:val="start"/>
      <w:pPr>
        <w:tabs>
          <w:tab w:val="num" w:pos="1080"/>
        </w:tabs>
        <w:ind w:start="1080" w:hanging="720"/>
      </w:pPr>
      <w:rPr/>
    </w:lvl>
  </w:abstractNum>
  <w:abstractNum w:abstractNumId="42">
    <w:lvl w:ilvl="0">
      <w:start w:val="17"/>
      <w:numFmt w:val="upperLetter"/>
      <w:lvlText w:val="%1."/>
      <w:lvlJc w:val="start"/>
      <w:pPr>
        <w:tabs>
          <w:tab w:val="num" w:pos="720"/>
        </w:tabs>
        <w:ind w:start="720" w:hanging="720"/>
      </w:pPr>
      <w:rPr/>
    </w:lvl>
  </w:abstractNum>
  <w:abstractNum w:abstractNumId="43">
    <w:lvl w:ilvl="0">
      <w:start w:val="1"/>
      <w:numFmt w:val="upperLetter"/>
      <w:lvlText w:val="%1."/>
      <w:lvlJc w:val="start"/>
      <w:pPr>
        <w:tabs>
          <w:tab w:val="num" w:pos="720"/>
        </w:tabs>
        <w:ind w:start="720" w:hanging="720"/>
      </w:pPr>
      <w:rPr/>
    </w:lvl>
  </w:abstractNum>
  <w:abstractNum w:abstractNumId="44">
    <w:lvl w:ilvl="0">
      <w:start w:val="17"/>
      <w:numFmt w:val="upperLetter"/>
      <w:lvlText w:val="%1."/>
      <w:lvlJc w:val="start"/>
      <w:pPr>
        <w:tabs>
          <w:tab w:val="num" w:pos="360"/>
        </w:tabs>
        <w:ind w:start="360" w:hanging="360"/>
      </w:pPr>
      <w:rPr/>
    </w:lvl>
  </w:abstractNum>
  <w:abstractNum w:abstractNumId="45">
    <w:lvl w:ilvl="0">
      <w:start w:val="17"/>
      <w:numFmt w:val="upperLetter"/>
      <w:lvlText w:val="%1."/>
      <w:lvlJc w:val="start"/>
      <w:pPr>
        <w:tabs>
          <w:tab w:val="num" w:pos="720"/>
        </w:tabs>
        <w:ind w:start="1080" w:hanging="720"/>
      </w:pPr>
      <w:rPr/>
    </w:lvl>
  </w:abstractNum>
  <w:abstractNum w:abstractNumId="46">
    <w:lvl w:ilvl="0">
      <w:start w:val="1"/>
      <w:numFmt w:val="upperLetter"/>
      <w:lvlText w:val="%1."/>
      <w:lvlJc w:val="start"/>
      <w:pPr>
        <w:tabs>
          <w:tab w:val="num" w:pos="720"/>
        </w:tabs>
        <w:ind w:start="720" w:hanging="720"/>
      </w:pPr>
      <w:rPr/>
    </w:lvl>
  </w:abstractNum>
  <w:abstractNum w:abstractNumId="4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BodyText"/>
    <w:next w:val="BodyText"/>
    <w:qFormat/>
    <w:pPr>
      <w:keepNext w:val="true"/>
      <w:keepLines/>
      <w:numPr>
        <w:ilvl w:val="0"/>
        <w:numId w:val="1"/>
      </w:numPr>
      <w:spacing w:lineRule="auto" w:line="240" w:before="120" w:after="120"/>
      <w:ind w:hanging="0" w:start="0" w:end="720"/>
      <w:outlineLvl w:val="0"/>
    </w:pPr>
    <w:rPr>
      <w:b/>
      <w:smallCaps/>
      <w:kern w:val="2"/>
    </w:rPr>
  </w:style>
  <w:style w:type="paragraph" w:styleId="Heading2">
    <w:name w:val="heading 2"/>
    <w:basedOn w:val="BodyText"/>
    <w:next w:val="BodyText"/>
    <w:qFormat/>
    <w:pPr>
      <w:keepNext w:val="true"/>
      <w:numPr>
        <w:ilvl w:val="1"/>
        <w:numId w:val="1"/>
      </w:numPr>
      <w:spacing w:lineRule="auto" w:line="240" w:before="120" w:after="120"/>
      <w:ind w:hanging="0" w:start="0" w:end="1440"/>
      <w:outlineLvl w:val="1"/>
    </w:pPr>
    <w:rPr>
      <w:b/>
    </w:rPr>
  </w:style>
  <w:style w:type="paragraph" w:styleId="Heading3">
    <w:name w:val="heading 3"/>
    <w:basedOn w:val="BodyText"/>
    <w:next w:val="BodyText"/>
    <w:qFormat/>
    <w:pPr>
      <w:keepNext w:val="true"/>
      <w:numPr>
        <w:ilvl w:val="2"/>
        <w:numId w:val="1"/>
      </w:numPr>
      <w:spacing w:lineRule="auto" w:line="240" w:before="120" w:after="120"/>
      <w:ind w:hanging="0" w:start="0" w:end="1440"/>
      <w:outlineLvl w:val="2"/>
    </w:pPr>
    <w:rPr>
      <w:b/>
    </w:rPr>
  </w:style>
  <w:style w:type="paragraph" w:styleId="Heading4">
    <w:name w:val="heading 4"/>
    <w:basedOn w:val="BodyText"/>
    <w:next w:val="BodyText"/>
    <w:qFormat/>
    <w:pPr>
      <w:keepNext w:val="true"/>
      <w:numPr>
        <w:ilvl w:val="3"/>
        <w:numId w:val="1"/>
      </w:numPr>
      <w:spacing w:lineRule="auto" w:line="240" w:before="120" w:after="120"/>
      <w:ind w:hanging="0" w:start="0" w:end="1440"/>
      <w:outlineLvl w:val="3"/>
    </w:pPr>
    <w:rPr>
      <w:i/>
    </w:rPr>
  </w:style>
  <w:style w:type="paragraph" w:styleId="Heading5">
    <w:name w:val="heading 5"/>
    <w:basedOn w:val="Normal"/>
    <w:next w:val="Normal"/>
    <w:qFormat/>
    <w:pPr>
      <w:numPr>
        <w:ilvl w:val="4"/>
        <w:numId w:val="1"/>
      </w:numPr>
      <w:spacing w:before="120" w:after="12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u w:val="none"/>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jc w:val="center"/>
    </w:pPr>
    <w:rPr>
      <w:b/>
      <w:smallCaps/>
      <w:sz w:val="28"/>
    </w:rPr>
  </w:style>
  <w:style w:type="paragraph" w:styleId="BodyText">
    <w:name w:val="Body Text"/>
    <w:pPr>
      <w:widowControl/>
      <w:tabs>
        <w:tab w:val="clear" w:pos="720"/>
        <w:tab w:val="left" w:pos="0" w:leader="none"/>
      </w:tabs>
      <w:bidi w:val="0"/>
      <w:spacing w:lineRule="auto" w:line="480"/>
    </w:pPr>
    <w:rPr>
      <w:rFonts w:ascii="Times New Roman" w:hAnsi="Times New Roman" w:eastAsia="Times New Roman" w:cs="Times New Roman"/>
      <w:color w:val="auto"/>
      <w:sz w:val="26"/>
      <w:szCs w:val="20"/>
      <w:lang w:val="en-US" w:bidi="ar-SA" w:eastAsia="zh-CN"/>
    </w:rPr>
  </w:style>
  <w:style w:type="paragraph" w:styleId="List">
    <w:name w:val="List"/>
    <w:basedOn w:val="BodyText"/>
    <w:pPr/>
    <w:rPr>
      <w:rFonts w:cs="NotoSans NF"/>
    </w:rPr>
  </w:style>
  <w:style w:type="paragraph" w:styleId="Caption">
    <w:name w:val="caption"/>
    <w:basedOn w:val="BodyText"/>
    <w:qFormat/>
    <w:pPr>
      <w:tabs>
        <w:tab w:val="left" w:pos="0" w:leader="none"/>
        <w:tab w:val="left" w:pos="4320" w:leader="none"/>
        <w:tab w:val="left" w:pos="504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keepNext w:val="true"/>
      <w:tabs>
        <w:tab w:val="clear" w:pos="720"/>
        <w:tab w:val="right" w:pos="8640" w:leader="dot"/>
      </w:tabs>
      <w:suppressAutoHyphens w:val="true"/>
      <w:spacing w:before="120" w:after="120"/>
      <w:ind w:hanging="245" w:start="245" w:end="1440"/>
    </w:pPr>
    <w:rPr>
      <w:b/>
      <w:caps/>
      <w:sz w:val="26"/>
      <w:lang w:val="en-CA" w:eastAsia="en-CA"/>
    </w:rPr>
  </w:style>
  <w:style w:type="paragraph" w:styleId="TOC2">
    <w:name w:val="toc 2"/>
    <w:basedOn w:val="Normal"/>
    <w:next w:val="Normal"/>
    <w:pPr>
      <w:tabs>
        <w:tab w:val="clear" w:pos="720"/>
        <w:tab w:val="right" w:pos="8640" w:leader="dot"/>
      </w:tabs>
      <w:suppressAutoHyphens w:val="true"/>
      <w:spacing w:before="0" w:after="120"/>
      <w:ind w:hanging="288" w:start="720" w:end="1440"/>
    </w:pPr>
    <w:rPr>
      <w:smallCaps/>
      <w:lang w:val="en-CA" w:eastAsia="en-CA"/>
    </w:rPr>
  </w:style>
  <w:style w:type="paragraph" w:styleId="TOC3">
    <w:name w:val="toc 3"/>
    <w:basedOn w:val="Normal"/>
    <w:next w:val="Normal"/>
    <w:pPr>
      <w:tabs>
        <w:tab w:val="clear" w:pos="720"/>
        <w:tab w:val="right" w:pos="8640" w:leader="dot"/>
      </w:tabs>
      <w:spacing w:before="0" w:after="120"/>
      <w:ind w:hanging="245" w:start="1109" w:end="1440"/>
    </w:pPr>
    <w:rPr>
      <w:lang w:val="en-CA" w:eastAsia="en-CA"/>
    </w:rPr>
  </w:style>
  <w:style w:type="paragraph" w:styleId="TOC4">
    <w:name w:val="toc 4"/>
    <w:basedOn w:val="Normal"/>
    <w:next w:val="Normal"/>
    <w:pPr>
      <w:tabs>
        <w:tab w:val="clear" w:pos="720"/>
        <w:tab w:val="right" w:pos="8640" w:leader="dot"/>
      </w:tabs>
      <w:ind w:hanging="0" w:start="480" w:end="0"/>
    </w:pPr>
    <w:rPr>
      <w:sz w:val="18"/>
    </w:rPr>
  </w:style>
  <w:style w:type="paragraph" w:styleId="TOC5">
    <w:name w:val="toc 5"/>
    <w:basedOn w:val="Normal"/>
    <w:next w:val="Normal"/>
    <w:pPr>
      <w:tabs>
        <w:tab w:val="clear" w:pos="720"/>
        <w:tab w:val="right" w:pos="8640" w:leader="dot"/>
      </w:tabs>
      <w:ind w:hanging="0" w:start="720" w:end="0"/>
    </w:pPr>
    <w:rPr>
      <w:sz w:val="18"/>
    </w:rPr>
  </w:style>
  <w:style w:type="paragraph" w:styleId="TOC6">
    <w:name w:val="toc 6"/>
    <w:basedOn w:val="Normal"/>
    <w:next w:val="Normal"/>
    <w:pPr>
      <w:tabs>
        <w:tab w:val="clear" w:pos="720"/>
        <w:tab w:val="right" w:pos="8640" w:leader="dot"/>
      </w:tabs>
      <w:ind w:hanging="0" w:start="960" w:end="0"/>
    </w:pPr>
    <w:rPr>
      <w:sz w:val="18"/>
    </w:rPr>
  </w:style>
  <w:style w:type="paragraph" w:styleId="TOC7">
    <w:name w:val="toc 7"/>
    <w:basedOn w:val="Normal"/>
    <w:next w:val="Normal"/>
    <w:pPr>
      <w:tabs>
        <w:tab w:val="clear" w:pos="720"/>
        <w:tab w:val="right" w:pos="8640" w:leader="dot"/>
      </w:tabs>
      <w:ind w:hanging="0" w:start="1200" w:end="0"/>
    </w:pPr>
    <w:rPr>
      <w:sz w:val="18"/>
    </w:rPr>
  </w:style>
  <w:style w:type="paragraph" w:styleId="TOC8">
    <w:name w:val="toc 8"/>
    <w:basedOn w:val="Normal"/>
    <w:next w:val="Normal"/>
    <w:pPr>
      <w:tabs>
        <w:tab w:val="clear" w:pos="720"/>
        <w:tab w:val="right" w:pos="8640" w:leader="dot"/>
      </w:tabs>
      <w:ind w:hanging="0" w:start="1440" w:end="0"/>
    </w:pPr>
    <w:rPr>
      <w:sz w:val="18"/>
    </w:rPr>
  </w:style>
  <w:style w:type="paragraph" w:styleId="TOC9">
    <w:name w:val="toc 9"/>
    <w:basedOn w:val="Normal"/>
    <w:next w:val="Normal"/>
    <w:pPr>
      <w:tabs>
        <w:tab w:val="clear" w:pos="720"/>
        <w:tab w:val="right" w:pos="8640" w:leader="dot"/>
      </w:tabs>
      <w:ind w:hanging="0" w:start="1680" w:end="0"/>
    </w:pPr>
    <w:rPr>
      <w:sz w:val="18"/>
    </w:rPr>
  </w:style>
  <w:style w:type="paragraph" w:styleId="Header">
    <w:name w:val="header"/>
    <w:basedOn w:val="Normal"/>
    <w:pPr>
      <w:tabs>
        <w:tab w:val="clear" w:pos="720"/>
        <w:tab w:val="center" w:pos="4320" w:leader="none"/>
        <w:tab w:val="right" w:pos="8640" w:leader="none"/>
      </w:tabs>
    </w:pPr>
    <w:rPr/>
  </w:style>
  <w:style w:type="paragraph" w:styleId="Quotation">
    <w:name w:val="Quotation"/>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clear" w:pos="720"/>
        <w:tab w:val="right" w:pos="8640" w:leader="dot"/>
      </w:tabs>
      <w:ind w:hanging="245" w:start="245" w:end="1440"/>
    </w:pPr>
    <w:rPr>
      <w:i/>
      <w:lang w:val="en-CA" w:eastAsia="en-CA"/>
    </w:rPr>
  </w:style>
  <w:style w:type="paragraph" w:styleId="ListNumber3">
    <w:name w:val="List Number 3"/>
    <w:basedOn w:val="Normal"/>
    <w:qFormat/>
    <w:pPr>
      <w:numPr>
        <w:ilvl w:val="0"/>
        <w:numId w:val="47"/>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Signature">
    <w:name w:val="Signature"/>
    <w:basedOn w:val="BodyText"/>
    <w:pPr>
      <w:keepNext w:val="true"/>
      <w:keepLines/>
      <w:spacing w:lineRule="auto" w:line="240"/>
      <w:ind w:hanging="0" w:start="4320" w:end="0"/>
    </w:pPr>
    <w:rPr/>
  </w:style>
  <w:style w:type="paragraph" w:styleId="ListBullet">
    <w:name w:val="List Bullet"/>
    <w:basedOn w:val="Normal"/>
    <w:qFormat/>
    <w:pPr>
      <w:numPr>
        <w:ilvl w:val="0"/>
        <w:numId w:val="48"/>
      </w:numPr>
      <w:spacing w:before="0" w:after="120"/>
      <w:ind w:hanging="360" w:start="360" w:end="0"/>
    </w:pPr>
    <w:rPr/>
  </w:style>
  <w:style w:type="paragraph" w:styleId="BodyTextIndent">
    <w:name w:val="Body Text Indent"/>
    <w:basedOn w:val="Normal"/>
    <w:pPr>
      <w:spacing w:lineRule="auto" w:line="360"/>
      <w:ind w:hanging="450" w:start="450" w:end="0"/>
    </w:pPr>
    <w:rPr>
      <w:sz w:val="24"/>
    </w:rPr>
  </w:style>
  <w:style w:type="paragraph" w:styleId="BodyTextIndent2">
    <w:name w:val="Body Text Indent 2"/>
    <w:basedOn w:val="Normal"/>
    <w:qFormat/>
    <w:pPr>
      <w:spacing w:lineRule="auto" w:line="480"/>
      <w:ind w:firstLine="1440" w:start="0" w:end="0"/>
    </w:pPr>
    <w:rPr/>
  </w:style>
  <w:style w:type="paragraph" w:styleId="BodyTextIndent3">
    <w:name w:val="Body Text Indent 3"/>
    <w:basedOn w:val="Normal"/>
    <w:qFormat/>
    <w:pPr>
      <w:spacing w:lineRule="auto" w:line="480"/>
      <w:ind w:hanging="720" w:start="720"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2001-07-09T18:33:00Z</dcterms:created>
  <dc:creator/>
  <dc:description/>
  <dc:language>en-CA</dc:language>
  <cp:lastModifiedBy>NGS</cp:lastModifiedBy>
  <cp:lastPrinted>2001-07-12T14:22:00Z</cp:lastPrinted>
  <dcterms:modified xsi:type="dcterms:W3CDTF">2001-07-12T19:50:00Z</dcterms:modified>
  <cp:revision>173</cp:revision>
  <dc:subject/>
  <dc:title/>
</cp:coreProperties>
</file>