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Following are some brief overview comments on the amendments proposed to be effected through the 2001 ISDA Master Agreement Protocol.  I have not yet had a chance for a detailed review.</w:t>
      </w:r>
    </w:p>
    <w:p>
      <w:pPr>
        <w:pStyle w:val="Normal"/>
        <w:rPr/>
      </w:pPr>
      <w:r>
        <w:rPr/>
      </w:r>
    </w:p>
    <w:p>
      <w:pPr>
        <w:pStyle w:val="Normal"/>
        <w:numPr>
          <w:ilvl w:val="0"/>
          <w:numId w:val="3"/>
        </w:numPr>
        <w:spacing w:before="0" w:after="240"/>
        <w:rPr/>
      </w:pPr>
      <w:r>
        <w:rPr/>
        <w:t>With respect to Annex 3:</w:t>
      </w:r>
    </w:p>
    <w:p>
      <w:pPr>
        <w:pStyle w:val="Normal"/>
        <w:numPr>
          <w:ilvl w:val="1"/>
          <w:numId w:val="3"/>
        </w:numPr>
        <w:spacing w:before="0" w:after="240"/>
        <w:rPr/>
      </w:pPr>
      <w:r>
        <w:rPr/>
        <w:t>It may be dangerous to cross default to types of transaction which may have events of default of particular relevance to a given product without the requisite relevance to the creditworthiness of one’s counterparty and its group.  As a general matter, cross default to third party debt (Section 5(a)(vi)) would seem to have this relevance, but cross-default to Specified Transactions, even between group members, may or may not.  Assuming that the event in question does not itself constitute an Event of Default under the ISDA Master Agreement, I would think that the relevant concern would be that the counterparty, its Specified Entity, if any, or its Credit Support Provider, if any, did not pay what was due on the termination date for the relevant Specified Transaction.</w:t>
      </w:r>
    </w:p>
    <w:p>
      <w:pPr>
        <w:pStyle w:val="Normal"/>
        <w:numPr>
          <w:ilvl w:val="1"/>
          <w:numId w:val="3"/>
        </w:numPr>
        <w:spacing w:before="0" w:after="240"/>
        <w:rPr/>
      </w:pPr>
      <w:r>
        <w:rPr/>
        <w:t xml:space="preserve">In addition, those who expand “Specified Indebtedness” to cover derivatives exposure by reference to types of transaction in “Specified Transaction” may wish to think through the implications of the revisions.  </w:t>
      </w:r>
    </w:p>
    <w:p>
      <w:pPr>
        <w:pStyle w:val="Normal"/>
        <w:numPr>
          <w:ilvl w:val="0"/>
          <w:numId w:val="3"/>
        </w:numPr>
        <w:spacing w:before="0" w:after="240"/>
        <w:rPr/>
      </w:pPr>
      <w:r>
        <w:rPr/>
        <w:t>Annex 8 raises several issues:</w:t>
      </w:r>
    </w:p>
    <w:p>
      <w:pPr>
        <w:pStyle w:val="Normal"/>
        <w:numPr>
          <w:ilvl w:val="1"/>
          <w:numId w:val="3"/>
        </w:numPr>
        <w:spacing w:before="0" w:after="240"/>
        <w:rPr/>
      </w:pPr>
      <w:r>
        <w:rPr/>
        <w:t>There seems to be an inconsistency between how “Replacement Value” is defined (being the first sentence of the definition, specifying replacement cost or gain) and the fourth paragraph qualification that it may reflect, for example, cost of funding or a loss/gain in liquidating hedges (which is really an alternative to replacement).  This inconsistency, which one might in retrospect try to address by asserting that the express subsequent items override the earlier definition, is of particular concern following some English cases from last year.  This will be particularly problematic where transactions are terminated which are either not capable of being replaced or for structural reasons will not be replaced (e.g. illegality, highly complex proprietary transactions or transactions in structured financings).  The accompanying Commentary refers to a “continuum” depending on the circumstances, which is different than saying, e.g. liquidation of a hedge is an adjustment of replacement cost.  There is probably some relatively simple additional drafting which could clearly correspond the terms of the definition to the intent expressed in the commentary, perhaps limiting loss on hedges to situations where replacement is not commercially practicable for the Determining Party under all the circumstances.</w:t>
      </w:r>
    </w:p>
    <w:p>
      <w:pPr>
        <w:pStyle w:val="Normal"/>
        <w:numPr>
          <w:ilvl w:val="2"/>
          <w:numId w:val="3"/>
        </w:numPr>
        <w:spacing w:before="0" w:after="240"/>
        <w:rPr/>
      </w:pPr>
      <w:r>
        <w:rPr/>
        <w:t xml:space="preserve">On a related point, the third paragraph could be expanded to make sure that significant non-financial conditions in a given Transaction are covered (cf. </w:t>
      </w:r>
      <w:r>
        <w:rPr>
          <w:u w:val="single"/>
        </w:rPr>
        <w:t>Societe Generale</w:t>
      </w:r>
      <w:r>
        <w:rPr/>
        <w:t xml:space="preserve"> v </w:t>
      </w:r>
      <w:r>
        <w:rPr>
          <w:u w:val="single"/>
        </w:rPr>
        <w:t>ANZ</w:t>
      </w:r>
      <w:r>
        <w:rPr/>
        <w:t>)</w:t>
      </w:r>
    </w:p>
    <w:p>
      <w:pPr>
        <w:pStyle w:val="Normal"/>
        <w:numPr>
          <w:ilvl w:val="1"/>
          <w:numId w:val="3"/>
        </w:numPr>
        <w:spacing w:before="0" w:after="240"/>
        <w:rPr/>
      </w:pPr>
      <w:r>
        <w:rPr/>
        <w:t>Perhaps this is too much of an overview issue to bring up at this time, but there may be concern as to the overall structure relating to the significance of Early Termination Date.  Early Termination Date as defined could have a number of relevant ramifications: date of termination (if AET applies); date as of which gain/loss is determined; date on which gain/loss is determined; determination of Unpaid Amounts and interest thereon; and accrual of interest on the termination payment.  This may be too much of a burden for one day to bear.</w:t>
      </w:r>
    </w:p>
    <w:p>
      <w:pPr>
        <w:pStyle w:val="Heading5"/>
        <w:ind w:hanging="0" w:start="0"/>
        <w:rPr/>
      </w:pPr>
      <w:r>
        <w:rPr/>
        <w:t>Where AET does not apply, the obligations under given transactions are terminated on the effectiveness of the notice designating the ETD (Section 6(c)(ii)), making the defined term itself somewhat misleading.  Its real function is as the date on which gain/loss is determined.  Automatic occurrence of the ETD prior to the date of calculation renders the calculation procedures and interest provisions problematic.</w:t>
      </w:r>
    </w:p>
    <w:p>
      <w:pPr>
        <w:pStyle w:val="Heading5"/>
        <w:ind w:hanging="0" w:start="0"/>
        <w:rPr/>
      </w:pPr>
      <w:r>
        <w:rPr/>
        <w:t xml:space="preserve">I have always been struck by an ambiguity in Market Quotation, as to whether or not a party determining a valuation obtains a “live” quotation on the date of request for it with respect to a transaction the Effective Date of which is the ETD or whether it requests a quotation </w:t>
      </w:r>
      <w:r>
        <w:rPr>
          <w:u w:val="single"/>
        </w:rPr>
        <w:t>as of</w:t>
      </w:r>
      <w:r>
        <w:rPr/>
        <w:t xml:space="preserve"> the ETD.  This latter interpretation, implied by  the way Loss is worded and the way interest accrual provisions on Unpaid Amounts work, would mean that the quote would not necessarily be a firm quote but would be a quotation as to what in theory would have been a firm quote on a prior date (again consider AET, or a rolling situation where calculation cannot be completed on one date).  I always, however, tended (perhaps wishfully) towards the former because I would think any quotation or rate used should (A) be current or the most recent, (B) should be obtained as close as possible to actual termination (or the party becoming aware of it) , being the date which is in fact commercially relevant since that is when the determining party in fact closes its positions, and (C) should be as “real” as possible (this approach, however, raising an issue as to how to deal under Market Quotation with amounts having fallen due between the ETD and the calculation date). The “as of” reference does not really fit this.</w:t>
      </w:r>
    </w:p>
    <w:p>
      <w:pPr>
        <w:pStyle w:val="Heading6"/>
        <w:ind w:hanging="0" w:start="0"/>
        <w:rPr/>
      </w:pPr>
      <w:r>
        <w:rPr/>
        <w:t xml:space="preserve">the Commentary states, I think,  that it is intended for quotes/rates used to be real-time unless not available.  If so, I think the definition itself at a minimum should refer to quotes </w:t>
      </w:r>
      <w:r>
        <w:rPr>
          <w:u w:val="single"/>
        </w:rPr>
        <w:t>on</w:t>
      </w:r>
      <w:r>
        <w:rPr/>
        <w:t xml:space="preserve"> or as close to (before or after) the ETD as possible (to provide for calculations over a period), rather than </w:t>
      </w:r>
      <w:r>
        <w:rPr>
          <w:u w:val="single"/>
        </w:rPr>
        <w:t>as of</w:t>
      </w:r>
      <w:r>
        <w:rPr/>
        <w:t>, with a further sentence to the effect that, if quotes or rates are not then currently available, the determining party can base its gain/loss on those most recently available (to provide for the Kuwaiti situation).</w:t>
      </w:r>
    </w:p>
    <w:p>
      <w:pPr>
        <w:pStyle w:val="Heading5"/>
        <w:ind w:hanging="0" w:start="0"/>
        <w:rPr/>
      </w:pPr>
      <w:r>
        <w:rPr/>
        <w:t xml:space="preserve">Accrual of interest on the termination payment from the Early Termination Date (as currently defined) is problematic, given AET.  Interest from the ETD (as currently defined) only really makes sense with respect to the amount actually calculated on the Early Termination Date and not to an amount calculated later.  This is not simply an issue of concern to a Defaulting Party, for whom one might have little sympathy, but it applies also to payment by a Nondefaulting Party following an ETD (A) automatically occurring unbeknownst to it, say a week or two earlier or (B) an ETD in respect of a significantly large number of transactions which requires calculation over a period.  This problem is compounded by the rate which might apply.  Consider the Non-default Rate if the Nondefaulting Party has become insolvent (cf. </w:t>
      </w:r>
      <w:r>
        <w:rPr>
          <w:u w:val="single"/>
        </w:rPr>
        <w:t>Peregrine</w:t>
      </w:r>
      <w:r>
        <w:rPr/>
        <w:t>) or, on a Termination Event, the Termination Rate, an average which includes the counterparty’s cost of funds.</w:t>
      </w:r>
    </w:p>
    <w:p>
      <w:pPr>
        <w:pStyle w:val="Heading5"/>
        <w:keepNext w:val="true"/>
        <w:ind w:hanging="0" w:start="0"/>
        <w:rPr/>
      </w:pPr>
      <w:r>
        <w:rPr/>
        <w:t>In conclusion, I think:</w:t>
      </w:r>
    </w:p>
    <w:p>
      <w:pPr>
        <w:pStyle w:val="Heading6"/>
        <w:ind w:hanging="0" w:start="0"/>
        <w:rPr/>
      </w:pPr>
      <w:r>
        <w:rPr/>
        <w:t>the Early Termination Date should be the date occurring under AET or the date of the effectiveness of the termination notice (with Section (6c)(ii) being adjusted accordingly);</w:t>
      </w:r>
    </w:p>
    <w:p>
      <w:pPr>
        <w:pStyle w:val="Heading6"/>
        <w:ind w:hanging="0" w:start="0"/>
        <w:rPr/>
      </w:pPr>
      <w:r>
        <w:rPr/>
        <w:t>the determining party should remain, as now, obligated to make its determination at the earliest commercially practicable/reasonable time, which could be over a period of time if required by market conditions or the number of Transactions (the final [?] date of calculation being the Loss Fixing Date or some such term);</w:t>
      </w:r>
    </w:p>
    <w:p>
      <w:pPr>
        <w:pStyle w:val="Heading6"/>
        <w:ind w:hanging="0" w:start="0"/>
        <w:rPr/>
      </w:pPr>
      <w:r>
        <w:rPr/>
        <w:t>the determination should be based on quotes or other commercially reasonable means current at the time of calculation or, if not practicable, (e.g. the Kuwaiti situation pointed out in the Commentary), at the latest possible time before the calculation;</w:t>
      </w:r>
    </w:p>
    <w:p>
      <w:pPr>
        <w:pStyle w:val="Heading6"/>
        <w:ind w:hanging="0" w:start="0"/>
        <w:rPr/>
      </w:pPr>
      <w:r>
        <w:rPr/>
        <w:t>Unpaid Amounts, defined as amounts falling due before the ETD as redefined (i.e. excluding amounts unpaid by reason of termination), should bear interest from their due date until the Loss Fixing Date and “unpaid amounts” which fell due after the Early Termination Date but before this Loss Fixing Date would be included in the calculations under (C) or, alternatively, Unpaid Amounts would be redefined to include those falling due on or before the Loss Fixing Date;</w:t>
      </w:r>
    </w:p>
    <w:p>
      <w:pPr>
        <w:pStyle w:val="Heading6"/>
        <w:ind w:hanging="0" w:start="0"/>
        <w:rPr/>
      </w:pPr>
      <w:r>
        <w:rPr/>
        <w:t>the determination amount should be notified to the other party on the Loss Fixing Date or, if not practicable, the next Business Day; and</w:t>
      </w:r>
    </w:p>
    <w:p>
      <w:pPr>
        <w:pStyle w:val="Heading6"/>
        <w:ind w:hanging="0" w:start="0"/>
        <w:rPr/>
      </w:pPr>
      <w:r>
        <w:rPr/>
        <w:t>that amount would accrue interest from the Loss Fixing Date or perhaps the Business Day following it.</w:t>
      </w:r>
    </w:p>
    <w:p>
      <w:pPr>
        <w:pStyle w:val="Heading4"/>
        <w:numPr>
          <w:ilvl w:val="0"/>
          <w:numId w:val="0"/>
        </w:numPr>
        <w:ind w:hanging="0" w:start="1276" w:end="0"/>
        <w:rPr/>
      </w:pPr>
      <w:r>
        <w:rPr/>
        <w:t>Dealing with definitions of Default Rate, Termination Rate and Non-default Rate may be an effort too far at the moment.</w:t>
      </w:r>
    </w:p>
    <w:p>
      <w:pPr>
        <w:pStyle w:val="Heading4"/>
        <w:numPr>
          <w:ilvl w:val="3"/>
          <w:numId w:val="4"/>
        </w:numPr>
        <w:rPr/>
      </w:pPr>
      <w:r>
        <w:rPr/>
        <w:t>The only concern I would have with the above is that it moves closer to an actual damages provision, which may present a greater risk of legal challenge.  On that point, have opinions been obtained on whether or not Replacement Value would constitute liquidated damages under New York law?</w:t>
      </w:r>
    </w:p>
    <w:p>
      <w:pPr>
        <w:pStyle w:val="Body4"/>
        <w:rPr/>
      </w:pPr>
      <w:r>
        <w:rPr/>
      </w:r>
    </w:p>
    <w:p>
      <w:pPr>
        <w:pStyle w:val="Normal"/>
        <w:rPr/>
      </w:pPr>
      <w:r>
        <w:rPr/>
        <w:t>Schuyler K. Henderson</w:t>
      </w:r>
    </w:p>
    <w:sectPr>
      <w:footerReference w:type="default" r:id="rId2"/>
      <w:type w:val="nextPage"/>
      <w:pgSz w:w="11906" w:h="16838"/>
      <w:pgMar w:left="1417" w:right="1417" w:gutter="0" w:header="0" w:top="1417" w:footer="850" w:bottom="1417"/>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bookmarkStart w:id="0" w:name="PD2Footer1"/>
    <w:bookmarkEnd w:id="0"/>
    <w:r>
      <w:rPr>
        <w:sz w:val="16"/>
      </w:rPr>
      <w:t xml:space="preserve">BD-#397610-v1 </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1120" cy="146050"/>
              <wp:effectExtent l="0" t="0" r="0" b="0"/>
              <wp:wrapSquare wrapText="bothSides"/>
              <wp:docPr id="1" name="Frame2"/>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22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end"/>
      <w:pPr>
        <w:tabs>
          <w:tab w:val="num" w:pos="567"/>
        </w:tabs>
        <w:ind w:start="567" w:hanging="454"/>
      </w:pPr>
    </w:lvl>
    <w:lvl w:ilvl="1">
      <w:start w:val="1"/>
      <w:pStyle w:val="Heading2"/>
      <w:numFmt w:val="decimal"/>
      <w:lvlText w:val="%1.%2"/>
      <w:lvlJc w:val="end"/>
      <w:pPr>
        <w:tabs>
          <w:tab w:val="num" w:pos="567"/>
        </w:tabs>
        <w:ind w:start="567" w:hanging="454"/>
      </w:pPr>
    </w:lvl>
    <w:lvl w:ilvl="2">
      <w:start w:val="1"/>
      <w:pStyle w:val="Heading3"/>
      <w:numFmt w:val="decimal"/>
      <w:lvlText w:val="%1.%2.%3"/>
      <w:lvlJc w:val="end"/>
      <w:pPr>
        <w:tabs>
          <w:tab w:val="num" w:pos="850"/>
        </w:tabs>
        <w:ind w:start="850" w:hanging="737"/>
      </w:pPr>
    </w:lvl>
    <w:lvl w:ilvl="3">
      <w:start w:val="1"/>
      <w:pStyle w:val="Heading4"/>
      <w:numFmt w:val="lowerLetter"/>
      <w:lvlText w:val="(%4)"/>
      <w:lvlJc w:val="start"/>
      <w:pPr>
        <w:tabs>
          <w:tab w:val="num" w:pos="1276"/>
        </w:tabs>
        <w:ind w:start="1276" w:hanging="426"/>
      </w:pPr>
    </w:lvl>
    <w:lvl w:ilvl="4">
      <w:start w:val="1"/>
      <w:pStyle w:val="Heading5"/>
      <w:numFmt w:val="lowerRoman"/>
      <w:lvlText w:val="(%5)"/>
      <w:lvlJc w:val="start"/>
      <w:pPr>
        <w:tabs>
          <w:tab w:val="num" w:pos="1843"/>
        </w:tabs>
        <w:ind w:start="1843" w:hanging="567"/>
      </w:pPr>
    </w:lvl>
    <w:lvl w:ilvl="5">
      <w:start w:val="1"/>
      <w:pStyle w:val="Heading6"/>
      <w:numFmt w:val="upperLetter"/>
      <w:lvlText w:val="(%6)"/>
      <w:lvlJc w:val="start"/>
      <w:pPr>
        <w:tabs>
          <w:tab w:val="num" w:pos="2409"/>
        </w:tabs>
        <w:ind w:start="2409" w:hanging="566"/>
      </w:pPr>
    </w:lvl>
    <w:lvl w:ilvl="6">
      <w:start w:val="1"/>
      <w:pStyle w:val="Heading7"/>
      <w:numFmt w:val="decimal"/>
      <w:lvlText w:val="%7)"/>
      <w:lvlJc w:val="start"/>
      <w:pPr>
        <w:tabs>
          <w:tab w:val="num" w:pos="2976"/>
        </w:tabs>
        <w:ind w:start="2976" w:hanging="567"/>
      </w:pPr>
    </w:lvl>
    <w:lvl w:ilvl="7">
      <w:start w:val="1"/>
      <w:pStyle w:val="Heading8"/>
      <w:numFmt w:val="lowerLetter"/>
      <w:lvlText w:val="%8)"/>
      <w:lvlJc w:val="start"/>
      <w:pPr>
        <w:tabs>
          <w:tab w:val="num" w:pos="3543"/>
        </w:tabs>
        <w:ind w:start="3543" w:hanging="567"/>
      </w:pPr>
    </w:lvl>
    <w:lvl w:ilvl="8">
      <w:start w:val="1"/>
      <w:pStyle w:val="Heading9"/>
      <w:numFmt w:val="lowerRoman"/>
      <w:lvlText w:val="%9)"/>
      <w:lvlJc w:val="start"/>
      <w:pPr>
        <w:tabs>
          <w:tab w:val="num" w:pos="4110"/>
        </w:tabs>
        <w:ind w:start="4110" w:hanging="567"/>
      </w:pPr>
    </w:lvl>
  </w:abstractNum>
  <w:abstractNum w:abstractNumId="2">
    <w:lvl w:ilvl="0">
      <w:start w:val="1"/>
      <w:numFmt w:val="decimal"/>
      <w:suff w:val="nothing"/>
      <w:lvlText w:val="Schedule %1"/>
      <w:lvlJc w:val="start"/>
      <w:pPr>
        <w:tabs>
          <w:tab w:val="num" w:pos="0"/>
        </w:tabs>
        <w:ind w:start="0" w:hanging="0"/>
      </w:pPr>
    </w:lvl>
    <w:lvl w:ilvl="1">
      <w:start w:val="1"/>
      <w:numFmt w:val="decimal"/>
      <w:lvlText w:val="%1.%2"/>
      <w:lvlJc w:val="start"/>
      <w:pPr>
        <w:tabs>
          <w:tab w:val="num" w:pos="0"/>
        </w:tabs>
        <w:ind w:start="0" w:hanging="0"/>
      </w:pPr>
    </w:lvl>
    <w:lvl w:ilvl="2">
      <w:start w:val="1"/>
      <w:numFmt w:val="decimal"/>
      <w:lvlText w:val="%1.%2.%3"/>
      <w:lvlJc w:val="start"/>
      <w:pPr>
        <w:tabs>
          <w:tab w:val="num" w:pos="0"/>
        </w:tabs>
        <w:ind w:start="0" w:hanging="0"/>
      </w:pPr>
    </w:lvl>
    <w:lvl w:ilvl="3">
      <w:start w:val="1"/>
      <w:numFmt w:val="decimal"/>
      <w:lvlText w:val="%1.%2.%3.%4."/>
      <w:lvlJc w:val="start"/>
      <w:pPr>
        <w:tabs>
          <w:tab w:val="num" w:pos="0"/>
        </w:tabs>
        <w:ind w:start="0" w:hanging="0"/>
      </w:pPr>
    </w:lvl>
    <w:lvl w:ilvl="4">
      <w:start w:val="1"/>
      <w:numFmt w:val="decimal"/>
      <w:lvlText w:val="%1.%2.%3.%4.%5"/>
      <w:lvlJc w:val="start"/>
      <w:pPr>
        <w:tabs>
          <w:tab w:val="num" w:pos="0"/>
        </w:tabs>
        <w:ind w:start="0" w:hanging="0"/>
      </w:pPr>
    </w:lvl>
    <w:lvl w:ilvl="5">
      <w:start w:val="1"/>
      <w:numFmt w:val="decimal"/>
      <w:lvlText w:val="%1.%2.%3.%4.%5.%6."/>
      <w:lvlJc w:val="start"/>
      <w:pPr>
        <w:tabs>
          <w:tab w:val="num" w:pos="0"/>
        </w:tabs>
        <w:ind w:start="0" w:hanging="0"/>
      </w:pPr>
    </w:lvl>
    <w:lvl w:ilvl="6">
      <w:start w:val="1"/>
      <w:numFmt w:val="decimal"/>
      <w:lvlText w:val="%1.%2.%3.%4.%5.%6.%7."/>
      <w:lvlJc w:val="start"/>
      <w:pPr>
        <w:tabs>
          <w:tab w:val="num" w:pos="0"/>
        </w:tabs>
        <w:ind w:start="0" w:hanging="0"/>
      </w:pPr>
    </w:lvl>
    <w:lvl w:ilvl="7">
      <w:start w:val="1"/>
      <w:numFmt w:val="decimal"/>
      <w:lvlText w:val="%1.%2.%3.%4.%5.%6.%7.%8."/>
      <w:lvlJc w:val="start"/>
      <w:pPr>
        <w:tabs>
          <w:tab w:val="num" w:pos="0"/>
        </w:tabs>
        <w:ind w:start="0" w:hanging="0"/>
      </w:pPr>
    </w:lvl>
    <w:lvl w:ilvl="8">
      <w:start w:val="1"/>
      <w:numFmt w:val="decimal"/>
      <w:lvlText w:val="%1.%2.%3.%4.%5.%6.%7.%8.%9."/>
      <w:lvlJc w:val="start"/>
      <w:pPr>
        <w:tabs>
          <w:tab w:val="num" w:pos="0"/>
        </w:tabs>
        <w:ind w:start="0" w:hanging="0"/>
      </w:pPr>
    </w:lvl>
  </w:abstractNum>
  <w:abstractNum w:abstractNumId="3">
    <w:lvl w:ilvl="0">
      <w:start w:val="1"/>
      <w:numFmt w:val="decimal"/>
      <w:lvlText w:val="%1"/>
      <w:lvlJc w:val="start"/>
      <w:pPr>
        <w:tabs>
          <w:tab w:val="num" w:pos="567"/>
        </w:tabs>
        <w:ind w:start="567" w:hanging="567"/>
      </w:pPr>
    </w:lvl>
    <w:lvl w:ilvl="1">
      <w:start w:val="1"/>
      <w:numFmt w:val="lowerLetter"/>
      <w:lvlText w:val="(%2)"/>
      <w:lvlJc w:val="start"/>
      <w:pPr>
        <w:tabs>
          <w:tab w:val="num" w:pos="567"/>
        </w:tabs>
        <w:ind w:start="1134" w:hanging="567"/>
      </w:pPr>
    </w:lvl>
    <w:lvl w:ilvl="2">
      <w:start w:val="1"/>
      <w:numFmt w:val="lowerRoman"/>
      <w:lvlText w:val="(%3)"/>
      <w:lvlJc w:val="start"/>
      <w:pPr>
        <w:tabs>
          <w:tab w:val="num" w:pos="567"/>
        </w:tabs>
        <w:ind w:start="1701" w:hanging="567"/>
      </w:pPr>
    </w:lvl>
    <w:lvl w:ilvl="3">
      <w:start w:val="1"/>
      <w:numFmt w:val="upperLetter"/>
      <w:lvlText w:val="(%4)"/>
      <w:lvlJc w:val="start"/>
      <w:pPr>
        <w:tabs>
          <w:tab w:val="num" w:pos="567"/>
        </w:tabs>
        <w:ind w:start="2268" w:hanging="567"/>
      </w:pPr>
    </w:lvl>
    <w:lvl w:ilvl="4">
      <w:start w:val="1"/>
      <w:numFmt w:val="decimal"/>
      <w:lvlText w:val="%5)"/>
      <w:lvlJc w:val="start"/>
      <w:pPr>
        <w:tabs>
          <w:tab w:val="num" w:pos="567"/>
        </w:tabs>
        <w:ind w:start="2835" w:hanging="567"/>
      </w:pPr>
    </w:lvl>
    <w:lvl w:ilvl="5">
      <w:start w:val="1"/>
      <w:numFmt w:val="lowerLetter"/>
      <w:lvlText w:val="%6)"/>
      <w:lvlJc w:val="start"/>
      <w:pPr>
        <w:tabs>
          <w:tab w:val="num" w:pos="567"/>
        </w:tabs>
        <w:ind w:start="3402" w:hanging="567"/>
      </w:pPr>
    </w:lvl>
    <w:lvl w:ilvl="6">
      <w:start w:val="1"/>
      <w:numFmt w:val="lowerRoman"/>
      <w:lvlText w:val="%7)"/>
      <w:lvlJc w:val="start"/>
      <w:pPr>
        <w:tabs>
          <w:tab w:val="num" w:pos="567"/>
        </w:tabs>
        <w:ind w:start="3969" w:hanging="567"/>
      </w:pPr>
    </w:lvl>
    <w:lvl w:ilvl="7">
      <w:start w:val="1"/>
      <w:numFmt w:val="upperLetter"/>
      <w:lvlText w:val="%8)"/>
      <w:lvlJc w:val="start"/>
      <w:pPr>
        <w:tabs>
          <w:tab w:val="num" w:pos="567"/>
        </w:tabs>
        <w:ind w:start="4536" w:hanging="567"/>
      </w:pPr>
    </w:lvl>
    <w:lvl w:ilvl="8">
      <w:start w:val="1"/>
      <w:numFmt w:val="decimal"/>
      <w:lvlText w:val="(%9)"/>
      <w:lvlJc w:val="start"/>
      <w:pPr>
        <w:tabs>
          <w:tab w:val="num" w:pos="567"/>
        </w:tabs>
        <w:ind w:start="5103" w:hanging="567"/>
      </w:pPr>
    </w:lvl>
  </w:abstractNum>
  <w:abstractNum w:abstractNumId="4">
    <w:lvl w:ilvl="0">
      <w:start w:val="1"/>
      <w:numFmt w:val="decimal"/>
      <w:lvlText w:val="%1"/>
      <w:lvlJc w:val="end"/>
      <w:pPr>
        <w:tabs>
          <w:tab w:val="num" w:pos="567"/>
        </w:tabs>
        <w:ind w:start="567" w:hanging="454"/>
      </w:pPr>
    </w:lvl>
    <w:lvl w:ilvl="1">
      <w:start w:val="1"/>
      <w:numFmt w:val="decimal"/>
      <w:lvlText w:val="%1.%2"/>
      <w:lvlJc w:val="end"/>
      <w:pPr>
        <w:tabs>
          <w:tab w:val="num" w:pos="567"/>
        </w:tabs>
        <w:ind w:start="567" w:hanging="454"/>
      </w:pPr>
    </w:lvl>
    <w:lvl w:ilvl="2">
      <w:start w:val="1"/>
      <w:numFmt w:val="decimal"/>
      <w:lvlText w:val="%1.%2.%3"/>
      <w:lvlJc w:val="end"/>
      <w:pPr>
        <w:tabs>
          <w:tab w:val="num" w:pos="850"/>
        </w:tabs>
        <w:ind w:start="850" w:hanging="737"/>
      </w:pPr>
    </w:lvl>
    <w:lvl w:ilvl="3">
      <w:start w:val="3"/>
      <w:numFmt w:val="lowerLetter"/>
      <w:lvlText w:val="(%4)"/>
      <w:lvlJc w:val="start"/>
      <w:pPr>
        <w:tabs>
          <w:tab w:val="num" w:pos="1276"/>
        </w:tabs>
        <w:ind w:start="1276" w:hanging="426"/>
      </w:pPr>
    </w:lvl>
    <w:lvl w:ilvl="4">
      <w:start w:val="1"/>
      <w:numFmt w:val="lowerRoman"/>
      <w:lvlText w:val="(%5)"/>
      <w:lvlJc w:val="start"/>
      <w:pPr>
        <w:tabs>
          <w:tab w:val="num" w:pos="1843"/>
        </w:tabs>
        <w:ind w:start="1843" w:hanging="567"/>
      </w:pPr>
    </w:lvl>
    <w:lvl w:ilvl="5">
      <w:start w:val="1"/>
      <w:numFmt w:val="upperLetter"/>
      <w:lvlText w:val="(%6)"/>
      <w:lvlJc w:val="start"/>
      <w:pPr>
        <w:tabs>
          <w:tab w:val="num" w:pos="2409"/>
        </w:tabs>
        <w:ind w:start="2409" w:hanging="566"/>
      </w:pPr>
    </w:lvl>
    <w:lvl w:ilvl="6">
      <w:start w:val="1"/>
      <w:numFmt w:val="decimal"/>
      <w:lvlText w:val="%7)"/>
      <w:lvlJc w:val="start"/>
      <w:pPr>
        <w:tabs>
          <w:tab w:val="num" w:pos="2976"/>
        </w:tabs>
        <w:ind w:start="2976" w:hanging="567"/>
      </w:pPr>
    </w:lvl>
    <w:lvl w:ilvl="7">
      <w:start w:val="1"/>
      <w:numFmt w:val="lowerLetter"/>
      <w:lvlText w:val="%8)"/>
      <w:lvlJc w:val="start"/>
      <w:pPr>
        <w:tabs>
          <w:tab w:val="num" w:pos="3543"/>
        </w:tabs>
        <w:ind w:start="3543" w:hanging="567"/>
      </w:pPr>
    </w:lvl>
    <w:lvl w:ilvl="8">
      <w:start w:val="1"/>
      <w:numFmt w:val="lowerRoman"/>
      <w:lvlText w:val="%9)"/>
      <w:lvlJc w:val="start"/>
      <w:pPr>
        <w:tabs>
          <w:tab w:val="num" w:pos="4110"/>
        </w:tabs>
        <w:ind w:start="4110" w:hanging="567"/>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562"/>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z w:val="20"/>
      <w:szCs w:val="20"/>
      <w:lang w:val="en-GB" w:eastAsia="zh-CN" w:bidi="hi-IN"/>
    </w:rPr>
  </w:style>
  <w:style w:type="paragraph" w:styleId="Heading1">
    <w:name w:val="heading 1"/>
    <w:basedOn w:val="Normal"/>
    <w:next w:val="Body1"/>
    <w:qFormat/>
    <w:pPr>
      <w:keepNext w:val="true"/>
      <w:numPr>
        <w:ilvl w:val="0"/>
        <w:numId w:val="1"/>
      </w:numPr>
      <w:spacing w:before="0" w:after="240"/>
      <w:outlineLvl w:val="0"/>
    </w:pPr>
    <w:rPr>
      <w:b/>
      <w:sz w:val="24"/>
    </w:rPr>
  </w:style>
  <w:style w:type="paragraph" w:styleId="Heading2">
    <w:name w:val="heading 2"/>
    <w:basedOn w:val="Normal"/>
    <w:next w:val="Body2"/>
    <w:qFormat/>
    <w:pPr>
      <w:numPr>
        <w:ilvl w:val="1"/>
        <w:numId w:val="1"/>
      </w:numPr>
      <w:spacing w:before="0" w:after="240"/>
      <w:outlineLvl w:val="1"/>
    </w:pPr>
    <w:rPr/>
  </w:style>
  <w:style w:type="paragraph" w:styleId="Heading3">
    <w:name w:val="heading 3"/>
    <w:basedOn w:val="Normal"/>
    <w:next w:val="Body3"/>
    <w:qFormat/>
    <w:pPr>
      <w:numPr>
        <w:ilvl w:val="2"/>
        <w:numId w:val="1"/>
      </w:numPr>
      <w:spacing w:before="0" w:after="240"/>
      <w:outlineLvl w:val="2"/>
    </w:pPr>
    <w:rPr/>
  </w:style>
  <w:style w:type="paragraph" w:styleId="Heading4">
    <w:name w:val="heading 4"/>
    <w:basedOn w:val="Normal"/>
    <w:next w:val="Body4"/>
    <w:qFormat/>
    <w:pPr>
      <w:numPr>
        <w:ilvl w:val="3"/>
        <w:numId w:val="1"/>
      </w:numPr>
      <w:spacing w:before="0" w:after="240"/>
      <w:outlineLvl w:val="3"/>
    </w:pPr>
    <w:rPr/>
  </w:style>
  <w:style w:type="paragraph" w:styleId="Heading5">
    <w:name w:val="heading 5"/>
    <w:basedOn w:val="Normal"/>
    <w:next w:val="Body5"/>
    <w:qFormat/>
    <w:pPr>
      <w:numPr>
        <w:ilvl w:val="4"/>
        <w:numId w:val="1"/>
      </w:numPr>
      <w:spacing w:before="0" w:after="240"/>
      <w:outlineLvl w:val="4"/>
    </w:pPr>
    <w:rPr/>
  </w:style>
  <w:style w:type="paragraph" w:styleId="Heading6">
    <w:name w:val="heading 6"/>
    <w:basedOn w:val="Normal"/>
    <w:next w:val="Body6"/>
    <w:qFormat/>
    <w:pPr>
      <w:numPr>
        <w:ilvl w:val="5"/>
        <w:numId w:val="1"/>
      </w:numPr>
      <w:spacing w:before="0" w:after="240"/>
      <w:outlineLvl w:val="5"/>
    </w:pPr>
    <w:rPr/>
  </w:style>
  <w:style w:type="paragraph" w:styleId="Heading7">
    <w:name w:val="heading 7"/>
    <w:basedOn w:val="Normal"/>
    <w:next w:val="Body7"/>
    <w:qFormat/>
    <w:pPr>
      <w:numPr>
        <w:ilvl w:val="6"/>
        <w:numId w:val="1"/>
      </w:numPr>
      <w:spacing w:before="0" w:after="240"/>
      <w:outlineLvl w:val="6"/>
    </w:pPr>
    <w:rPr/>
  </w:style>
  <w:style w:type="paragraph" w:styleId="Heading8">
    <w:name w:val="heading 8"/>
    <w:basedOn w:val="Normal"/>
    <w:next w:val="Body8"/>
    <w:qFormat/>
    <w:pPr>
      <w:numPr>
        <w:ilvl w:val="7"/>
        <w:numId w:val="1"/>
      </w:numPr>
      <w:spacing w:before="0" w:after="240"/>
      <w:outlineLvl w:val="7"/>
    </w:pPr>
    <w:rPr/>
  </w:style>
  <w:style w:type="paragraph" w:styleId="Heading9">
    <w:name w:val="heading 9"/>
    <w:basedOn w:val="Normal"/>
    <w:next w:val="Body9"/>
    <w:qFormat/>
    <w:pPr>
      <w:numPr>
        <w:ilvl w:val="8"/>
        <w:numId w:val="1"/>
      </w:numPr>
      <w:spacing w:before="0" w:after="240"/>
      <w:outlineLvl w:val="8"/>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1">
    <w:name w:val="Body1"/>
    <w:basedOn w:val="Normal"/>
    <w:qFormat/>
    <w:pPr>
      <w:spacing w:before="0" w:after="240"/>
      <w:ind w:hanging="0" w:start="567" w:end="0"/>
    </w:pPr>
    <w:rPr/>
  </w:style>
  <w:style w:type="paragraph" w:styleId="Body2">
    <w:name w:val="Body2"/>
    <w:basedOn w:val="Normal"/>
    <w:qFormat/>
    <w:pPr>
      <w:spacing w:before="0" w:after="240"/>
      <w:ind w:hanging="0" w:start="567" w:end="0"/>
    </w:pPr>
    <w:rPr/>
  </w:style>
  <w:style w:type="paragraph" w:styleId="Body3">
    <w:name w:val="Body3"/>
    <w:basedOn w:val="Normal"/>
    <w:qFormat/>
    <w:pPr>
      <w:spacing w:before="0" w:after="240"/>
      <w:ind w:hanging="0" w:start="850" w:end="0"/>
    </w:pPr>
    <w:rPr/>
  </w:style>
  <w:style w:type="paragraph" w:styleId="Body4">
    <w:name w:val="Body4"/>
    <w:basedOn w:val="Normal"/>
    <w:qFormat/>
    <w:pPr>
      <w:spacing w:before="0" w:after="240"/>
      <w:ind w:hanging="0" w:start="1276" w:end="0"/>
    </w:pPr>
    <w:rPr/>
  </w:style>
  <w:style w:type="paragraph" w:styleId="Body5">
    <w:name w:val="Body5"/>
    <w:basedOn w:val="Normal"/>
    <w:qFormat/>
    <w:pPr>
      <w:spacing w:before="0" w:after="240"/>
      <w:ind w:hanging="0" w:start="1843" w:end="0"/>
    </w:pPr>
    <w:rPr/>
  </w:style>
  <w:style w:type="paragraph" w:styleId="Body6">
    <w:name w:val="Body6"/>
    <w:basedOn w:val="Normal"/>
    <w:qFormat/>
    <w:pPr>
      <w:spacing w:before="0" w:after="240"/>
      <w:ind w:hanging="0" w:start="2409" w:end="0"/>
    </w:pPr>
    <w:rPr/>
  </w:style>
  <w:style w:type="paragraph" w:styleId="Body7">
    <w:name w:val="Body7"/>
    <w:basedOn w:val="Normal"/>
    <w:qFormat/>
    <w:pPr>
      <w:spacing w:before="0" w:after="240"/>
      <w:ind w:hanging="0" w:start="2976" w:end="0"/>
    </w:pPr>
    <w:rPr/>
  </w:style>
  <w:style w:type="paragraph" w:styleId="Body8">
    <w:name w:val="Body8"/>
    <w:basedOn w:val="Normal"/>
    <w:qFormat/>
    <w:pPr>
      <w:spacing w:before="0" w:after="240"/>
      <w:ind w:hanging="0" w:start="3543" w:end="0"/>
    </w:pPr>
    <w:rPr/>
  </w:style>
  <w:style w:type="paragraph" w:styleId="Body9">
    <w:name w:val="Body9"/>
    <w:basedOn w:val="Normal"/>
    <w:qFormat/>
    <w:pPr>
      <w:spacing w:before="0" w:after="240"/>
      <w:ind w:hanging="0" w:start="4110" w:end="0"/>
    </w:pPr>
    <w:rPr/>
  </w:style>
  <w:style w:type="paragraph" w:styleId="HeaderandFooter">
    <w:name w:val="Header and Footer"/>
    <w:basedOn w:val="Normal"/>
    <w:qFormat/>
    <w:pPr>
      <w:suppressLineNumbers/>
      <w:tabs>
        <w:tab w:val="clear" w:pos="562"/>
        <w:tab w:val="center" w:pos="4986" w:leader="none"/>
        <w:tab w:val="right" w:pos="9972" w:leader="none"/>
      </w:tabs>
    </w:pPr>
    <w:rPr/>
  </w:style>
  <w:style w:type="paragraph" w:styleId="Footer">
    <w:name w:val="footer"/>
    <w:basedOn w:val="Normal"/>
    <w:pPr>
      <w:tabs>
        <w:tab w:val="clear" w:pos="562"/>
        <w:tab w:val="center" w:pos="4536" w:leader="none"/>
        <w:tab w:val="right" w:pos="9072" w:leader="none"/>
      </w:tabs>
    </w:pPr>
    <w:rPr/>
  </w:style>
  <w:style w:type="paragraph" w:styleId="FootnoteText">
    <w:name w:val="footnote text"/>
    <w:basedOn w:val="Normal"/>
    <w:pPr/>
    <w:rPr>
      <w:sz w:val="16"/>
    </w:rPr>
  </w:style>
  <w:style w:type="paragraph" w:styleId="Header">
    <w:name w:val="header"/>
    <w:basedOn w:val="Normal"/>
    <w:pPr>
      <w:tabs>
        <w:tab w:val="clear" w:pos="562"/>
        <w:tab w:val="center" w:pos="4536" w:leader="none"/>
        <w:tab w:val="right" w:pos="9072" w:leader="none"/>
      </w:tabs>
    </w:pPr>
    <w:rPr/>
  </w:style>
  <w:style w:type="paragraph" w:styleId="PrecedentNote">
    <w:name w:val="Precedent Note"/>
    <w:basedOn w:val="Normal"/>
    <w:qFormat/>
    <w:pPr>
      <w:spacing w:before="0" w:after="240"/>
      <w:jc w:val="start"/>
    </w:pPr>
    <w:rPr>
      <w:b/>
      <w:i/>
      <w:color w:val="000080"/>
    </w:rPr>
  </w:style>
  <w:style w:type="paragraph" w:styleId="Schedule">
    <w:name w:val="Schedule"/>
    <w:basedOn w:val="Normal"/>
    <w:next w:val="Normal"/>
    <w:qFormat/>
    <w:pPr>
      <w:numPr>
        <w:ilvl w:val="0"/>
        <w:numId w:val="2"/>
      </w:numPr>
      <w:tabs>
        <w:tab w:val="clear" w:pos="562"/>
      </w:tabs>
      <w:spacing w:lineRule="auto" w:line="360" w:before="0" w:after="240"/>
      <w:jc w:val="center"/>
    </w:pPr>
    <w:rPr>
      <w:b/>
      <w:sz w:val="24"/>
    </w:rPr>
  </w:style>
  <w:style w:type="paragraph" w:styleId="TOC1">
    <w:name w:val="toc 1"/>
    <w:basedOn w:val="Normal"/>
    <w:next w:val="Normal"/>
    <w:pPr>
      <w:tabs>
        <w:tab w:val="clear" w:pos="562"/>
        <w:tab w:val="left" w:pos="567" w:leader="none"/>
        <w:tab w:val="right" w:pos="9071" w:leader="dot"/>
      </w:tabs>
      <w:spacing w:before="240" w:after="0"/>
      <w:jc w:val="start"/>
    </w:pPr>
    <w:rPr>
      <w:lang w:val="en-CA"/>
    </w:rPr>
  </w:style>
  <w:style w:type="paragraph" w:styleId="TOC2">
    <w:name w:val="toc 2"/>
    <w:basedOn w:val="Normal"/>
    <w:next w:val="Normal"/>
    <w:pPr>
      <w:tabs>
        <w:tab w:val="clear" w:pos="562"/>
        <w:tab w:val="left" w:pos="1134" w:leader="none"/>
        <w:tab w:val="right" w:pos="9071" w:leader="dot"/>
      </w:tabs>
      <w:ind w:hanging="0" w:start="567" w:end="0"/>
      <w:jc w:val="start"/>
    </w:pPr>
    <w:rPr>
      <w:lang w:val="en-CA"/>
    </w:rPr>
  </w:style>
  <w:style w:type="paragraph" w:styleId="TOC3">
    <w:name w:val="toc 3"/>
    <w:basedOn w:val="Normal"/>
    <w:next w:val="Normal"/>
    <w:pPr>
      <w:tabs>
        <w:tab w:val="clear" w:pos="562"/>
        <w:tab w:val="left" w:pos="1701" w:leader="none"/>
        <w:tab w:val="right" w:pos="9072" w:leader="dot"/>
      </w:tabs>
      <w:ind w:hanging="567" w:start="1701" w:end="0"/>
    </w:pPr>
    <w:rPr>
      <w:lang w:val="en-CA"/>
    </w:rPr>
  </w:style>
  <w:style w:type="paragraph" w:styleId="TOC4">
    <w:name w:val="toc 4"/>
    <w:basedOn w:val="Normal"/>
    <w:next w:val="Normal"/>
    <w:pPr>
      <w:tabs>
        <w:tab w:val="clear" w:pos="562"/>
        <w:tab w:val="left" w:pos="2268" w:leader="none"/>
        <w:tab w:val="right" w:pos="9072" w:leader="dot"/>
      </w:tabs>
      <w:ind w:hanging="567" w:start="2268" w:end="0"/>
    </w:pPr>
    <w:rPr>
      <w:lang w:val="en-CA"/>
    </w:rPr>
  </w:style>
  <w:style w:type="paragraph" w:styleId="TOC5">
    <w:name w:val="toc 5"/>
    <w:basedOn w:val="Normal"/>
    <w:next w:val="Normal"/>
    <w:pPr>
      <w:tabs>
        <w:tab w:val="clear" w:pos="562"/>
        <w:tab w:val="left" w:pos="2835" w:leader="none"/>
        <w:tab w:val="right" w:pos="9072" w:leader="dot"/>
      </w:tabs>
      <w:ind w:hanging="567" w:start="2835" w:end="0"/>
    </w:pPr>
    <w:rPr>
      <w:lang w:val="en-CA"/>
    </w:rPr>
  </w:style>
  <w:style w:type="paragraph" w:styleId="TOC6">
    <w:name w:val="toc 6"/>
    <w:basedOn w:val="Normal"/>
    <w:next w:val="Normal"/>
    <w:pPr>
      <w:tabs>
        <w:tab w:val="clear" w:pos="562"/>
        <w:tab w:val="left" w:pos="3402" w:leader="none"/>
        <w:tab w:val="right" w:pos="9072" w:leader="dot"/>
      </w:tabs>
      <w:ind w:hanging="567" w:start="3402" w:end="0"/>
    </w:pPr>
    <w:rPr>
      <w:lang w:val="en-CA"/>
    </w:rPr>
  </w:style>
  <w:style w:type="paragraph" w:styleId="TOC7">
    <w:name w:val="toc 7"/>
    <w:basedOn w:val="Normal"/>
    <w:next w:val="Normal"/>
    <w:pPr>
      <w:tabs>
        <w:tab w:val="clear" w:pos="562"/>
        <w:tab w:val="left" w:pos="3969" w:leader="none"/>
        <w:tab w:val="right" w:pos="9072" w:leader="dot"/>
      </w:tabs>
      <w:ind w:hanging="567" w:start="3969" w:end="0"/>
    </w:pPr>
    <w:rPr>
      <w:lang w:val="en-CA"/>
    </w:rPr>
  </w:style>
  <w:style w:type="paragraph" w:styleId="TOC8">
    <w:name w:val="toc 8"/>
    <w:basedOn w:val="Normal"/>
    <w:next w:val="Normal"/>
    <w:pPr>
      <w:tabs>
        <w:tab w:val="clear" w:pos="562"/>
        <w:tab w:val="left" w:pos="4536" w:leader="none"/>
        <w:tab w:val="right" w:pos="9072" w:leader="dot"/>
      </w:tabs>
      <w:ind w:hanging="567" w:start="4536" w:end="0"/>
    </w:pPr>
    <w:rPr>
      <w:lang w:val="en-CA"/>
    </w:rPr>
  </w:style>
  <w:style w:type="paragraph" w:styleId="TOC9">
    <w:name w:val="toc 9"/>
    <w:basedOn w:val="Normal"/>
    <w:next w:val="Normal"/>
    <w:pPr>
      <w:tabs>
        <w:tab w:val="clear" w:pos="562"/>
        <w:tab w:val="left" w:pos="5103" w:leader="none"/>
        <w:tab w:val="right" w:pos="9072" w:leader="dot"/>
      </w:tabs>
      <w:ind w:hanging="567" w:start="5103" w:end="0"/>
    </w:pPr>
    <w:rPr>
      <w:lang w:val="en-C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2001-09-06T11:24:00Z</dcterms:created>
  <dc:creator>Sara Whitaker</dc:creator>
  <dc:description/>
  <dc:language>en-CA</dc:language>
  <cp:lastModifiedBy>Sara Whitaker</cp:lastModifiedBy>
  <cp:lastPrinted>2001-09-07T15:29:00Z</cp:lastPrinted>
  <dcterms:modified xsi:type="dcterms:W3CDTF">2001-09-07T12:04:00Z</dcterms:modified>
  <cp:revision>18</cp:revision>
  <dc:subject>Subject</dc:subject>
  <dc:title>Title</dc:title>
</cp:coreProperties>
</file>