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ALB/eap  9/26/2000</w:t>
      </w:r>
    </w:p>
    <w:p>
      <w:pPr>
        <w:pStyle w:val="Header"/>
        <w:rPr/>
      </w:pPr>
      <w:r>
        <w:rPr/>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Investigation 99-07-003</w:t>
            </w:r>
          </w:p>
        </w:tc>
      </w:tr>
    </w:tbl>
    <w:p>
      <w:pPr>
        <w:pStyle w:val="Normal"/>
        <w:suppressAutoHyphens w:val="true"/>
        <w:rPr/>
      </w:pPr>
      <w:r>
        <w:rPr/>
      </w:r>
    </w:p>
    <w:p>
      <w:pPr>
        <w:pStyle w:val="Normal"/>
        <w:rPr/>
      </w:pPr>
      <w:r>
        <w:rPr/>
      </w:r>
    </w:p>
    <w:p>
      <w:pPr>
        <w:pStyle w:val="main"/>
        <w:rPr/>
      </w:pPr>
      <w:r>
        <w:rPr/>
        <w:t>ADMINISTRATIVE LAW JUDGE’S RULING</w:t>
        <w:br/>
        <w:t>SHORTENING TIME FOR RESPONSE TO PETITION</w:t>
        <w:br/>
        <w:t>OF SOUTHERN CALIFORNIA GAS COMPANY TO SET ASIDE</w:t>
        <w:br/>
        <w:t>SUBMISSION AND RECEIVE AMENDMENT OF SETTLEMENT</w:t>
        <w:br/>
        <w:t>AGREEMENT AND FOR COMMENTS ON THE PROPOSED AMENDMENTS</w:t>
      </w:r>
    </w:p>
    <w:p>
      <w:pPr>
        <w:pStyle w:val="Normal"/>
        <w:suppressAutoHyphens w:val="true"/>
        <w:rPr/>
      </w:pPr>
      <w:r>
        <w:rPr/>
      </w:r>
    </w:p>
    <w:p>
      <w:pPr>
        <w:pStyle w:val="standard"/>
        <w:rPr/>
      </w:pPr>
      <w:r>
        <w:rPr/>
        <w:t>On September 20, 2000, pursuant to Rule 84 and Rules 51 to 51.10 of the Commission’s Rules of Practice and Procedure, Southern California Gas Company ("SoCalGas") petitioned the Commission to set aside submission of that portion of Investigation (I.) 99-07-003 addressing regulatory changes applicable to SoCalGas and San Diego Gas &amp; Electric Company (“SDG&amp;E”) in order to receive in the record an amendment to the Comprehensive Settlement that was originally filed April 17, 2000, and the attached declaration of Robert Betonte relating to that amendment.  SoCalGas also moved to shorten the time for responses to the petition and comments on the modification of the Comprehensive Settlement to October 5, 2000 (15 days from the filing of the Petition and Motion).</w:t>
      </w:r>
    </w:p>
    <w:p>
      <w:pPr>
        <w:pStyle w:val="standard"/>
        <w:rPr/>
      </w:pPr>
      <w:r>
        <w:rPr/>
        <w:t>Based on the declaration of Robert Betonte, it appears that a deadline of 15 days from the date of this Petition and Motion is reasonable because: 1) the development necessitating a change to the settlement agreement (the notification by ALTRA that it was not interested in providing a trading platform) has been known to all parties since September 5, 2000 when SoCalGas gave 7 days written notice to all parties to I.99-07-003 of a settlement conference to be held on Wednesday, September 13, to discuss modification of the Comprehensive Settlement with respect to ALTRA’s withdrawal;  2) SoCalGas held that conference; 3) the general terms of the amendment proposed have been known to all parties since a draft of the amendment was sent to all parties on September 13, 2000; 4) the exact changes desired were provided to all settlement signatories on September 18, 2000; 5) no settlement signatory indicated an objection to the changes to SoCalGas; 6) the change in the settlement that the amendment makes is modest; and 7) a longer period for responses could further delay an opinion in this matter, as it approaches its 18 month deadline for decision.</w:t>
      </w:r>
    </w:p>
    <w:p>
      <w:pPr>
        <w:pStyle w:val="standard"/>
        <w:rPr/>
      </w:pPr>
      <w:r>
        <w:rPr/>
        <w:t>The scope of this requested reopening is narrow.  The parties are advised that, preliminarily, it is the expectation of the Administrative Law Judge that no further evidentiary hearing will be needed and that the case will be reopened, the petition ruled upon and the case resubmitted in a single day after comments are received and reviewed.</w:t>
      </w:r>
    </w:p>
    <w:p>
      <w:pPr>
        <w:pStyle w:val="standard"/>
        <w:keepNext w:val="true"/>
        <w:rPr/>
      </w:pPr>
      <w:r>
        <w:rPr/>
        <w:t>Therefore,</w:t>
      </w:r>
      <w:r>
        <w:rPr>
          <w:b/>
        </w:rPr>
        <w:t xml:space="preserve"> IT IS RULED</w:t>
      </w:r>
      <w:r>
        <w:rPr/>
        <w:t xml:space="preserve"> that:</w:t>
      </w:r>
    </w:p>
    <w:p>
      <w:pPr>
        <w:pStyle w:val="num1"/>
        <w:numPr>
          <w:ilvl w:val="0"/>
          <w:numId w:val="2"/>
        </w:numPr>
        <w:rPr/>
      </w:pPr>
      <w:r>
        <w:rPr/>
        <w:t>The time for responses to the petition to set aside submission and receive amendment of settlement agreement and supporting declaration, as well as comments on the proposed amendment is shortened.</w:t>
      </w:r>
    </w:p>
    <w:p>
      <w:pPr>
        <w:pStyle w:val="num1"/>
        <w:numPr>
          <w:ilvl w:val="0"/>
          <w:numId w:val="2"/>
        </w:numPr>
        <w:rPr/>
      </w:pPr>
      <w:r>
        <w:rPr/>
        <w:t>The responses and comments are due on October 5, 2000.</w:t>
      </w:r>
    </w:p>
    <w:p>
      <w:pPr>
        <w:pStyle w:val="num1"/>
        <w:numPr>
          <w:ilvl w:val="0"/>
          <w:numId w:val="2"/>
        </w:numPr>
        <w:rPr/>
      </w:pPr>
      <w:r>
        <w:rPr/>
        <w:t>The responses must be narrowly focused on whether the record should be reopened and the amendment to the settlement and supporting declaration received.</w:t>
      </w:r>
    </w:p>
    <w:p>
      <w:pPr>
        <w:pStyle w:val="num1"/>
        <w:numPr>
          <w:ilvl w:val="0"/>
          <w:numId w:val="2"/>
        </w:numPr>
        <w:rPr/>
      </w:pPr>
      <w:r>
        <w:rPr/>
        <w:t>Comments pursuant to Rules 51.4 and 51.5 must be narrowly focused on the amendment to the settlement only.  Comments on other aspects of the Comprehensive Settlement will not be filed or considered.</w:t>
      </w:r>
    </w:p>
    <w:p>
      <w:pPr>
        <w:pStyle w:val="standard"/>
        <w:rPr/>
      </w:pPr>
      <w:r>
        <w:rPr/>
        <w:t>Dated September 26, 2000, at San Francisco, California.</w:t>
      </w:r>
    </w:p>
    <w:p>
      <w:pPr>
        <w:pStyle w:val="Normal"/>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Footer"/>
              <w:tabs>
                <w:tab w:val="clear" w:pos="4320"/>
                <w:tab w:val="clear" w:pos="8640"/>
              </w:tabs>
              <w:rPr/>
            </w:pPr>
            <w:r>
              <w:rPr/>
              <w:t>/s/ ANDREA L. BIREN</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Andrea L. Biren</w:t>
            </w:r>
          </w:p>
          <w:p>
            <w:pPr>
              <w:pStyle w:val="Normal"/>
              <w:jc w:val="center"/>
              <w:rPr/>
            </w:pPr>
            <w:r>
              <w:rPr/>
              <w:t>Administrative Law Judge</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this day served a true copy of the original attached Administrative Law Judge’s Ruling Shortening Time for Response to Petition of Southern California Gas Company to Set Aside Submission and Receive Amendment of Settlement Agreement and for Comments on the Proposed Amendments on all parties of record in this proceeding or their attorneys of record or by electronic mail.</w:t>
      </w:r>
    </w:p>
    <w:p>
      <w:pPr>
        <w:pStyle w:val="standard"/>
        <w:rPr/>
      </w:pPr>
      <w:r>
        <w:rPr/>
        <w:t>Dated September 26, 2000, at San Francisco, California.</w:t>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rPr/>
            </w:pPr>
            <w:r>
              <w:rPr/>
              <w:t>/s/ERLINDA PULMANO</w:t>
            </w:r>
          </w:p>
        </w:tc>
      </w:tr>
      <w:tr>
        <w:trPr/>
        <w:tc>
          <w:tcPr>
            <w:tcW w:w="3420" w:type="dxa"/>
            <w:tcBorders/>
          </w:tcPr>
          <w:p>
            <w:pPr>
              <w:pStyle w:val="Normal"/>
              <w:jc w:val="center"/>
              <w:rPr/>
            </w:pPr>
            <w:r>
              <w:rPr/>
              <w:t xml:space="preserve">Erlinda A. Pulmano </w:t>
            </w:r>
          </w:p>
        </w:tc>
      </w:tr>
    </w:tbl>
    <w:p>
      <w:pPr>
        <w:pStyle w:val="Normal"/>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tabs>
          <w:tab w:val="clear" w:pos="720"/>
          <w:tab w:val="left" w:pos="0" w:leader="none"/>
        </w:tabs>
        <w:ind w:start="1440" w:end="1440"/>
        <w:rPr/>
      </w:pPr>
      <w:r>
        <w:rPr/>
        <w:t>* * * * * * * * * * * * * * * * * * * * * * * * * * * * * * * * * * * * * * *</w:t>
      </w:r>
    </w:p>
    <w:p>
      <w:pPr>
        <w:pStyle w:val="Norma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t>If specialized accommodations for the disabled are needed, e.g., sign language interpreters, those making the arrangements must call the Public Advisor at (415) 703</w:t>
        <w:noBreakHyphen/>
        <w:t>2074 or TDD# (415) 703-2032 five working days in advance of the event.</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80263</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ALB/eap</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ALB/eap</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ALB/eap</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 7-24-00</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2000-09-26T15:35:00Z</dcterms:created>
  <dc:creator>Erlinda Pulmano</dc:creator>
  <dc:description/>
  <dc:language>en-CA</dc:language>
  <cp:lastModifiedBy>Erlinda Pulmano</cp:lastModifiedBy>
  <cp:lastPrinted>2000-09-26T11:39:00Z</cp:lastPrinted>
  <dcterms:modified xsi:type="dcterms:W3CDTF">2000-09-26T18:54:00Z</dcterms:modified>
  <cp:revision>4</cp:revision>
  <dc:subject/>
  <dc:title>BEFORE THE PUBLIC UTILITIES COMMISSION OF THE STATE OF CALIFORNIA</dc:title>
</cp:coreProperties>
</file>