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footnotes.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LYN/t93  4/11/2001</w:t>
      </w:r>
    </w:p>
    <w:p>
      <w:pPr>
        <w:pStyle w:val="main"/>
        <w:rPr>
          <w:sz w:val="24"/>
        </w:rPr>
      </w:pPr>
      <w:r>
        <w:rPr>
          <w:sz w:val="24"/>
        </w:rPr>
      </w:r>
    </w:p>
    <w:p>
      <w:pPr>
        <w:pStyle w:val="main"/>
        <w:rPr>
          <w:sz w:val="24"/>
        </w:rPr>
      </w:pPr>
      <w:r>
        <w:rPr>
          <w:sz w:val="24"/>
        </w:rPr>
      </w:r>
    </w:p>
    <w:p>
      <w:pPr>
        <w:pStyle w:val="main"/>
        <w:rPr>
          <w:sz w:val="24"/>
        </w:rPr>
      </w:pPr>
      <w:r>
        <w:rPr>
          <w:sz w:val="24"/>
        </w:rPr>
        <w:t>BEFORE THE PUBLIC UTILITIES COMMISSION OF THE STATE OF CALIFORNIA</w:t>
      </w:r>
    </w:p>
    <w:p>
      <w:pPr>
        <w:pStyle w:val="Normal"/>
        <w:suppressAutoHyphens w:val="true"/>
        <w:rPr>
          <w:sz w:val="24"/>
        </w:rPr>
      </w:pPr>
      <w:r>
        <w:rPr>
          <w:sz w:val="24"/>
        </w:rPr>
      </w:r>
    </w:p>
    <w:p>
      <w:pPr>
        <w:pStyle w:val="Normal"/>
        <w:suppressAutoHyphens w:val="true"/>
        <w:rPr/>
      </w:pPr>
      <w:r>
        <w:rPr/>
      </w:r>
    </w:p>
    <w:tbl>
      <w:tblPr>
        <w:tblW w:w="9245" w:type="dxa"/>
        <w:jc w:val="start"/>
        <w:tblInd w:w="0" w:type="dxa"/>
        <w:tblLayout w:type="fixed"/>
        <w:tblCellMar>
          <w:top w:w="0" w:type="dxa"/>
          <w:start w:w="108" w:type="dxa"/>
          <w:bottom w:w="0" w:type="dxa"/>
          <w:end w:w="108" w:type="dxa"/>
        </w:tblCellMar>
      </w:tblPr>
      <w:tblGrid>
        <w:gridCol w:w="5958"/>
        <w:gridCol w:w="3287"/>
      </w:tblGrid>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rPr/>
            </w:pPr>
            <w:r>
              <w:rPr/>
              <w:t>Order Instituting Investigation whether Pacific Gas and Electric Company, Southern California Edison Company, San Diego Gas &amp; Electric Company, and their respective holding companies, PG&amp;E Corporation, Edison International, and Sempra Energy, respondents, have violated relevant statutes and Commission decisions, and whether changes should be made to rules, orders, and conditions pertaining to respondents’ holding company systems.</w:t>
            </w:r>
          </w:p>
          <w:p>
            <w:pPr>
              <w:pStyle w:val="Normal"/>
              <w:rPr/>
            </w:pPr>
            <w:r>
              <w:rPr/>
            </w:r>
          </w:p>
        </w:tc>
        <w:tc>
          <w:tcPr>
            <w:tcW w:w="3287" w:type="dxa"/>
            <w:tcBorders/>
          </w:tcPr>
          <w:p>
            <w:pPr>
              <w:pStyle w:val="Normal"/>
              <w:snapToGrid w:val="false"/>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Investigation 01-04-002</w:t>
            </w:r>
          </w:p>
          <w:p>
            <w:pPr>
              <w:pStyle w:val="Normal"/>
              <w:jc w:val="center"/>
              <w:rPr/>
            </w:pPr>
            <w:r>
              <w:rPr/>
              <w:t>(Filed April 3, 2001)</w:t>
            </w:r>
          </w:p>
        </w:tc>
      </w:tr>
    </w:tbl>
    <w:p>
      <w:pPr>
        <w:pStyle w:val="Normal"/>
        <w:suppressAutoHyphens w:val="true"/>
        <w:rPr/>
      </w:pPr>
      <w:r>
        <w:rPr/>
      </w:r>
    </w:p>
    <w:p>
      <w:pPr>
        <w:pStyle w:val="Header"/>
        <w:widowControl/>
        <w:tabs>
          <w:tab w:val="clear" w:pos="4320"/>
          <w:tab w:val="clear" w:pos="8640"/>
        </w:tabs>
        <w:suppressAutoHyphens w:val="true"/>
        <w:rPr/>
      </w:pPr>
      <w:r>
        <w:rPr/>
      </w:r>
    </w:p>
    <w:p>
      <w:pPr>
        <w:pStyle w:val="BodyText"/>
        <w:spacing w:lineRule="auto" w:line="240" w:before="120" w:after="120"/>
        <w:jc w:val="center"/>
        <w:rPr>
          <w:rFonts w:ascii="Helvetica" w:hAnsi="Helvetica" w:cs="Helvetica"/>
          <w:b/>
        </w:rPr>
      </w:pPr>
      <w:r>
        <w:rPr>
          <w:rFonts w:cs="Helvetica" w:ascii="Helvetica" w:hAnsi="Helvetica"/>
          <w:b/>
        </w:rPr>
        <w:t>ASSIGNED COMMISSIONER’S RULING SETTING PREHEARING CONFERENCE AND REQUIRING PREHEARING CONFERENCE STATEMENTS</w:t>
      </w:r>
    </w:p>
    <w:p>
      <w:pPr>
        <w:pStyle w:val="Heading1"/>
        <w:rPr/>
      </w:pPr>
      <w:r>
        <w:rPr/>
        <w:t>1.</w:t>
        <w:tab/>
        <w:t>Summary</w:t>
      </w:r>
    </w:p>
    <w:p>
      <w:pPr>
        <w:pStyle w:val="standard"/>
        <w:rPr/>
      </w:pPr>
      <w:r>
        <w:rPr>
          <w:rFonts w:cs="Helvetica" w:ascii="Helvetica" w:hAnsi="Helvetica"/>
        </w:rPr>
        <w:t>T</w:t>
      </w:r>
      <w:r>
        <w:rPr/>
        <w:t>his ruling sets a prehearing conference (PHC) for April 20, 2001 at 2:00 p.m.  It also requires that Respondents Pacific Gas and Electric Company (PG&amp;E), Southern California Edison Company (SCE), and San Diego Gas &amp; Electric Company (SDG&amp;E), as well as their respective parent holding companies, PG&amp;E Corporation (PG&amp;E Corp.), Edison International (EIX), and Sempra Energy (Sempra) (collectively, Respondents), as well as other parties to the proceeding, file PHC statements no later than April 18, 2001.</w:t>
      </w:r>
    </w:p>
    <w:p>
      <w:pPr>
        <w:pStyle w:val="standard"/>
        <w:rPr/>
      </w:pPr>
      <w:r>
        <w:rPr/>
        <w:t xml:space="preserve">This proceeding is an investigation into transactions between the three major California investor-owned utilities and their respective holding companies and affiliates.  The Commission seeks to determine both whether these entities engaged in conduct in the past that violates relevant statutes and Commission decisions that allowed them to establish holding companies, and whether additional rules, conditions, or other changes are needed to protect ratepayers and the public from dangers of abuse of the holding company structure. </w:t>
      </w:r>
    </w:p>
    <w:p>
      <w:pPr>
        <w:pStyle w:val="standard"/>
        <w:rPr/>
      </w:pPr>
      <w:r>
        <w:rPr/>
        <w:t xml:space="preserve">The PHC is intended to develop a service list for this proceeding and to further delineate issues related to scope and schedule for the proceeding.  In the PHC statements, parties shall respond to each of the issues raised below.  Parties shall file and serve the PHC statements (using the temporary service list issued with the Order Instituting Investigation), and email the PHC statements to the assigned Administrative Law Judge (ALJ) at </w:t>
      </w:r>
      <w:hyperlink r:id="rId2">
        <w:r>
          <w:rPr>
            <w:rStyle w:val="Hyperlink"/>
          </w:rPr>
          <w:t>srt@cpuc.ca.gov</w:t>
        </w:r>
      </w:hyperlink>
      <w:r>
        <w:rPr/>
        <w:t xml:space="preserve">.  </w:t>
      </w:r>
    </w:p>
    <w:p>
      <w:pPr>
        <w:pStyle w:val="Heading1"/>
        <w:rPr/>
      </w:pPr>
      <w:r>
        <w:rPr/>
        <w:t>2.</w:t>
        <w:tab/>
        <w:t>PHC Statements</w:t>
      </w:r>
    </w:p>
    <w:p>
      <w:pPr>
        <w:pStyle w:val="standard"/>
        <w:rPr/>
      </w:pPr>
      <w:r>
        <w:rPr/>
        <w:t>No later than April 18, 2001, Respondents and all others seeking party status in this proceeding shall serve and file a PHC statement addressing the following issues:</w:t>
      </w:r>
    </w:p>
    <w:p>
      <w:pPr>
        <w:pStyle w:val="Heading2"/>
        <w:rPr/>
      </w:pPr>
      <w:r>
        <w:rPr/>
        <w:t>A.</w:t>
        <w:tab/>
        <w:t>SCE/EIX MOU Issues</w:t>
      </w:r>
    </w:p>
    <w:p>
      <w:pPr>
        <w:pStyle w:val="standard"/>
        <w:rPr/>
      </w:pPr>
      <w:r>
        <w:rPr/>
        <w:t>On April 9, 2001, the California Department of Water Resources, SCE and EIX executed a Memorandum of Understanding (MOU) intended to “</w:t>
      </w:r>
      <w:r>
        <w:rPr>
          <w:lang w:eastAsia="en-US"/>
        </w:rPr>
        <w:t>provide affordable and reliable electricity to customers of SCE.”</w:t>
      </w:r>
      <w:r>
        <w:rPr>
          <w:rStyle w:val="FootnoteCharacters"/>
          <w:rStyle w:val="FootnoteReference"/>
          <w:lang w:eastAsia="en-US"/>
        </w:rPr>
        <w:footnoteReference w:id="2"/>
      </w:r>
      <w:r>
        <w:rPr>
          <w:lang w:eastAsia="en-US"/>
        </w:rPr>
        <w:t xml:space="preserve">  The MOU provides, </w:t>
      </w:r>
      <w:r>
        <w:rPr/>
        <w:t xml:space="preserve">among other things, for this Commission to issue certain decisions within 60 days of the date of the MOU’s execution.  The MOU provides that, </w:t>
      </w:r>
    </w:p>
    <w:p>
      <w:pPr>
        <w:pStyle w:val="quote"/>
        <w:rPr/>
      </w:pPr>
      <w:r>
        <w:rPr/>
        <w:t>the CPUC is an independent regulatory agency which may within its discretion determine to adopt or not adopt the actions and approvals that are described herein as “CPUC Implementing Decisions. . ..”  [T]his MOU provides for certain rights on the part of SCE to terminate the implementation of this MOU in the event that the CPUC does not adopt all of the actions and approvals expressly characterized herein as “CPUC Implementing Decisions” within the period of sixty (60) days after the date of the execution of this MOU by all Parties.</w:t>
      </w:r>
    </w:p>
    <w:p>
      <w:pPr>
        <w:pStyle w:val="standard"/>
        <w:rPr/>
      </w:pPr>
      <w:r>
        <w:rPr/>
        <w:t>The “CPUC Implementing Decisions” relevant to this proceeding are as follows:</w:t>
      </w:r>
    </w:p>
    <w:p>
      <w:pPr>
        <w:pStyle w:val="Heading3"/>
        <w:rPr/>
      </w:pPr>
      <w:r>
        <w:rPr/>
        <w:t>1.</w:t>
        <w:tab/>
        <w:t>Meaning of First Priority Condition</w:t>
      </w:r>
    </w:p>
    <w:p>
      <w:pPr>
        <w:pStyle w:val="standard"/>
        <w:rPr>
          <w:lang w:eastAsia="en-US"/>
        </w:rPr>
      </w:pPr>
      <w:r>
        <w:rPr>
          <w:lang w:eastAsia="en-US"/>
        </w:rPr>
        <w:t>The MOU provides that the Commission will clarify that “the ‘first priority’ condition in the decision authorizing the formation of a holding company for SCE ([Decision (D.)]. 88-01-063, Condition 12) refers to equity investment, not working capital for operating costs.”</w:t>
      </w:r>
      <w:r>
        <w:rPr>
          <w:rStyle w:val="FootnoteCharacters"/>
          <w:rStyle w:val="FootnoteReference"/>
          <w:sz w:val="26"/>
          <w:lang w:eastAsia="en-US"/>
        </w:rPr>
        <w:footnoteReference w:id="3"/>
      </w:r>
      <w:r>
        <w:rPr>
          <w:lang w:eastAsia="en-US"/>
        </w:rPr>
        <w:t xml:space="preserve">  That condition provides the following:  “The capital requirements of the utility, as determined to be necessary to meet its obligation to serve, shall be given first priority by the Board of Directors of Edison's parent holding company and Edison.”</w:t>
      </w:r>
      <w:r>
        <w:rPr>
          <w:rStyle w:val="FootnoteCharacters"/>
          <w:rStyle w:val="FootnoteReference"/>
          <w:lang w:eastAsia="en-US"/>
        </w:rPr>
        <w:footnoteReference w:id="4"/>
      </w:r>
    </w:p>
    <w:p>
      <w:pPr>
        <w:pStyle w:val="Heading3"/>
        <w:rPr/>
      </w:pPr>
      <w:r>
        <w:rPr/>
        <w:t>2.</w:t>
        <w:tab/>
        <w:t>Penalties</w:t>
      </w:r>
    </w:p>
    <w:p>
      <w:pPr>
        <w:pStyle w:val="standard"/>
        <w:rPr/>
      </w:pPr>
      <w:r>
        <w:rPr>
          <w:lang w:eastAsia="en-US"/>
        </w:rPr>
        <w:t>The MOU also provides that it is terminable in the event that a “Material Adverse Change“ occurs.  One identified Material Adverse Change is if “any material penalty is imposed by the CPUC in respect of the relationship between SCE and EIX prior to the date [of the MOU], including without limitation any of the matters raised in Order Instituting Investigation 01-04-002. . . .”</w:t>
      </w:r>
      <w:r>
        <w:rPr>
          <w:rStyle w:val="FootnoteCharacters"/>
          <w:rStyle w:val="FootnoteReference"/>
          <w:lang w:eastAsia="en-US"/>
        </w:rPr>
        <w:footnoteReference w:id="5"/>
      </w:r>
      <w:r>
        <w:rPr>
          <w:lang w:eastAsia="en-US"/>
        </w:rPr>
        <w:t xml:space="preserve"> </w:t>
      </w:r>
    </w:p>
    <w:p>
      <w:pPr>
        <w:pStyle w:val="standard"/>
        <w:rPr/>
      </w:pPr>
      <w:r>
        <w:rPr/>
        <w:t>I propose resolving the foregoing issues first in this proceeding given the 60-day time limit within which to do so.  Parties should respond to this proposal.  In addition, SCE, EIX and any other Respondent or interested party shall address the following issues in their PHC statements:</w:t>
      </w:r>
    </w:p>
    <w:p>
      <w:pPr>
        <w:pStyle w:val="standard"/>
        <w:numPr>
          <w:ilvl w:val="0"/>
          <w:numId w:val="2"/>
        </w:numPr>
        <w:tabs>
          <w:tab w:val="clear" w:pos="720"/>
          <w:tab w:val="left" w:pos="1080" w:leader="none"/>
        </w:tabs>
        <w:spacing w:lineRule="auto" w:line="240" w:before="0" w:after="240"/>
        <w:ind w:hanging="360" w:start="1080" w:end="0"/>
        <w:rPr/>
      </w:pPr>
      <w:r>
        <w:rPr/>
        <w:t>Whether the Commission needs evidentiary hearings on the two MOU issues identified above;</w:t>
      </w:r>
    </w:p>
    <w:p>
      <w:pPr>
        <w:pStyle w:val="standard"/>
        <w:numPr>
          <w:ilvl w:val="0"/>
          <w:numId w:val="2"/>
        </w:numPr>
        <w:tabs>
          <w:tab w:val="clear" w:pos="720"/>
          <w:tab w:val="left" w:pos="1080" w:leader="none"/>
        </w:tabs>
        <w:spacing w:lineRule="auto" w:line="240" w:before="0" w:after="240"/>
        <w:ind w:hanging="360" w:start="1080" w:end="0"/>
        <w:rPr/>
      </w:pPr>
      <w:r>
        <w:rPr/>
        <w:t xml:space="preserve">The nature of the evidence that will be required to reach findings on those issues. </w:t>
      </w:r>
    </w:p>
    <w:p>
      <w:pPr>
        <w:pStyle w:val="Heading2"/>
        <w:rPr/>
      </w:pPr>
      <w:r>
        <w:rPr/>
        <w:t>B.</w:t>
        <w:tab/>
        <w:t>Need for Hearings</w:t>
      </w:r>
    </w:p>
    <w:p>
      <w:pPr>
        <w:pStyle w:val="standard"/>
        <w:rPr/>
      </w:pPr>
      <w:r>
        <w:rPr/>
        <w:t>Parties should address whether evidentiary or legislative hearings for the non-MOU aspects of the proceeding will be required in order to reach a decision on the issues raised in this Investigation.  Parties proposing evidentiary hearings should list the evidentiary issues to be decided.</w:t>
      </w:r>
    </w:p>
    <w:p>
      <w:pPr>
        <w:pStyle w:val="Heading2"/>
        <w:rPr/>
      </w:pPr>
      <w:r>
        <w:rPr/>
        <w:t>C.</w:t>
        <w:tab/>
        <w:t xml:space="preserve">Schedule </w:t>
      </w:r>
    </w:p>
    <w:p>
      <w:pPr>
        <w:pStyle w:val="standard"/>
        <w:rPr/>
      </w:pPr>
      <w:r>
        <w:rPr/>
        <w:t>Parties shall propose a schedule that resolves all outstanding issues in this proceeding efficiently and expeditiously.</w:t>
      </w:r>
    </w:p>
    <w:p>
      <w:pPr>
        <w:pStyle w:val="Heading2"/>
        <w:rPr/>
      </w:pPr>
      <w:r>
        <w:rPr/>
        <w:t>D.</w:t>
        <w:tab/>
        <w:t>Scope</w:t>
      </w:r>
    </w:p>
    <w:p>
      <w:pPr>
        <w:pStyle w:val="standard"/>
        <w:rPr/>
      </w:pPr>
      <w:r>
        <w:rPr/>
        <w:t>Parties shall furnish a list of issues they believe should be resolved in this proceeding.</w:t>
      </w:r>
    </w:p>
    <w:p>
      <w:pPr>
        <w:pStyle w:val="Heading2"/>
        <w:rPr/>
      </w:pPr>
      <w:r>
        <w:rPr/>
        <w:t>E.</w:t>
        <w:tab/>
        <w:t>Discovery</w:t>
      </w:r>
    </w:p>
    <w:p>
      <w:pPr>
        <w:pStyle w:val="standard"/>
        <w:rPr/>
      </w:pPr>
      <w:r>
        <w:rPr/>
        <w:t>Respondents shall state whether they have produced all documents called for in Attachment A to the Order Instituting Investigation.  If they have not, they should explain, and state when they will produce such documents.</w:t>
      </w:r>
    </w:p>
    <w:p>
      <w:pPr>
        <w:pStyle w:val="Heading2"/>
        <w:numPr>
          <w:ilvl w:val="0"/>
          <w:numId w:val="4"/>
        </w:numPr>
        <w:rPr/>
      </w:pPr>
      <w:r>
        <w:rPr/>
        <w:t>Jurisdiction</w:t>
      </w:r>
    </w:p>
    <w:p>
      <w:pPr>
        <w:pStyle w:val="standard"/>
        <w:rPr/>
      </w:pPr>
      <w:r>
        <w:rPr/>
        <w:t xml:space="preserve">If they have not already done so, parties should state any jurisdictional objections to this proceeding.  </w:t>
      </w:r>
    </w:p>
    <w:p>
      <w:pPr>
        <w:pStyle w:val="standard"/>
        <w:rPr/>
      </w:pPr>
      <w:r>
        <w:rPr/>
        <w:t>In view of the 60-day timeframe allotted for resolution of the SCE/EIX MOU issues raised above, public necessity warrants waiver of Commission Rule 52, which requires 10 days notice of a hearing.</w:t>
      </w:r>
      <w:r>
        <w:br w:type="page"/>
      </w:r>
    </w:p>
    <w:p>
      <w:pPr>
        <w:pStyle w:val="standard"/>
        <w:rPr/>
      </w:pPr>
      <w:r>
        <w:rPr>
          <w:b/>
        </w:rPr>
        <w:t xml:space="preserve">IT IS HEREBY ORDERED </w:t>
      </w:r>
      <w:r>
        <w:rPr/>
        <w:t>that:</w:t>
      </w:r>
    </w:p>
    <w:p>
      <w:pPr>
        <w:pStyle w:val="num1"/>
        <w:numPr>
          <w:ilvl w:val="0"/>
          <w:numId w:val="3"/>
        </w:numPr>
        <w:tabs>
          <w:tab w:val="left" w:pos="-720" w:leader="none"/>
          <w:tab w:val="left" w:pos="720" w:leader="none"/>
        </w:tabs>
        <w:rPr/>
      </w:pPr>
      <w:r>
        <w:rPr/>
        <w:tab/>
        <w:t>I will hold a prehearing conference (PHC) in this proceeding at 2:00 p.m. on April 20, 2001, in San Francisco, California in the Commission Courtroom, State Office Building, 505 Van Ness Avenue (at McAllister), San Francisco, California.</w:t>
      </w:r>
    </w:p>
    <w:p>
      <w:pPr>
        <w:pStyle w:val="num1"/>
        <w:numPr>
          <w:ilvl w:val="0"/>
          <w:numId w:val="3"/>
        </w:numPr>
        <w:tabs>
          <w:tab w:val="left" w:pos="-720" w:leader="none"/>
          <w:tab w:val="left" w:pos="720" w:leader="none"/>
        </w:tabs>
        <w:rPr/>
      </w:pPr>
      <w:r>
        <w:rPr/>
        <w:tab/>
        <w:t>By April 18, 2001, all parties shall file and serve PHC statements addressing the topics set forth in the body of this ruling.  Parties shall e-mail copies of their statements to the assigned ALJ.</w:t>
      </w:r>
    </w:p>
    <w:p>
      <w:pPr>
        <w:pStyle w:val="num1"/>
        <w:numPr>
          <w:ilvl w:val="0"/>
          <w:numId w:val="3"/>
        </w:numPr>
        <w:tabs>
          <w:tab w:val="left" w:pos="-720" w:leader="none"/>
          <w:tab w:val="left" w:pos="720" w:leader="none"/>
        </w:tabs>
        <w:rPr/>
      </w:pPr>
      <w:r>
        <w:rPr/>
        <w:tab/>
        <w:t>In view of the 60-day timeframe allotted for resolution of the SCE/EIX MOU issues raised above, Rule 52 of the Commission’s Rules of Practice and Procedure, requiring 10 days notice of a hearing, is waived.</w:t>
      </w:r>
    </w:p>
    <w:p>
      <w:pPr>
        <w:pStyle w:val="standard"/>
        <w:rPr/>
      </w:pPr>
      <w:r>
        <w:rPr/>
        <w:t>Dated April 11, 2001, at San Francisco, California.</w:t>
      </w:r>
    </w:p>
    <w:p>
      <w:pPr>
        <w:pStyle w:val="Normal"/>
        <w:rPr/>
      </w:pPr>
      <w:r>
        <w:rPr/>
      </w:r>
    </w:p>
    <w:p>
      <w:pPr>
        <w:pStyle w:val="Normal"/>
        <w:rPr/>
      </w:pPr>
      <w:r>
        <w:rPr/>
      </w:r>
    </w:p>
    <w:tbl>
      <w:tblPr>
        <w:tblW w:w="8010" w:type="dxa"/>
        <w:jc w:val="start"/>
        <w:tblInd w:w="828" w:type="dxa"/>
        <w:tblLayout w:type="fixed"/>
        <w:tblCellMar>
          <w:top w:w="0" w:type="dxa"/>
          <w:start w:w="108" w:type="dxa"/>
          <w:bottom w:w="0" w:type="dxa"/>
          <w:end w:w="108" w:type="dxa"/>
        </w:tblCellMar>
      </w:tblPr>
      <w:tblGrid>
        <w:gridCol w:w="3060"/>
        <w:gridCol w:w="990"/>
        <w:gridCol w:w="3960"/>
      </w:tblGrid>
      <w:tr>
        <w:trPr/>
        <w:tc>
          <w:tcPr>
            <w:tcW w:w="3060" w:type="dxa"/>
            <w:tcBorders/>
          </w:tcPr>
          <w:p>
            <w:pPr>
              <w:pStyle w:val="Normal"/>
              <w:snapToGrid w:val="false"/>
              <w:rPr/>
            </w:pPr>
            <w:r>
              <w:rPr/>
            </w:r>
          </w:p>
        </w:tc>
        <w:tc>
          <w:tcPr>
            <w:tcW w:w="990" w:type="dxa"/>
            <w:tcBorders/>
          </w:tcPr>
          <w:p>
            <w:pPr>
              <w:pStyle w:val="Normal"/>
              <w:snapToGrid w:val="false"/>
              <w:rPr/>
            </w:pPr>
            <w:r>
              <w:rPr/>
            </w:r>
          </w:p>
        </w:tc>
        <w:tc>
          <w:tcPr>
            <w:tcW w:w="3960" w:type="dxa"/>
            <w:tcBorders>
              <w:bottom w:val="single" w:sz="6" w:space="0" w:color="000000"/>
            </w:tcBorders>
          </w:tcPr>
          <w:p>
            <w:pPr>
              <w:pStyle w:val="Footer"/>
              <w:tabs>
                <w:tab w:val="clear" w:pos="4320"/>
                <w:tab w:val="clear" w:pos="8640"/>
              </w:tabs>
              <w:snapToGrid w:val="false"/>
              <w:rPr/>
            </w:pPr>
            <w:r>
              <w:rPr/>
            </w:r>
          </w:p>
        </w:tc>
      </w:tr>
      <w:tr>
        <w:trPr/>
        <w:tc>
          <w:tcPr>
            <w:tcW w:w="3060" w:type="dxa"/>
            <w:tcBorders/>
          </w:tcPr>
          <w:p>
            <w:pPr>
              <w:pStyle w:val="Normal"/>
              <w:snapToGrid w:val="false"/>
              <w:jc w:val="center"/>
              <w:rPr/>
            </w:pPr>
            <w:r>
              <w:rPr/>
            </w:r>
          </w:p>
        </w:tc>
        <w:tc>
          <w:tcPr>
            <w:tcW w:w="990" w:type="dxa"/>
            <w:tcBorders/>
          </w:tcPr>
          <w:p>
            <w:pPr>
              <w:pStyle w:val="Normal"/>
              <w:snapToGrid w:val="false"/>
              <w:rPr/>
            </w:pPr>
            <w:r>
              <w:rPr/>
            </w:r>
          </w:p>
        </w:tc>
        <w:tc>
          <w:tcPr>
            <w:tcW w:w="3960" w:type="dxa"/>
            <w:tcBorders/>
          </w:tcPr>
          <w:p>
            <w:pPr>
              <w:pStyle w:val="Normal"/>
              <w:jc w:val="center"/>
              <w:rPr/>
            </w:pPr>
            <w:r>
              <w:rPr/>
              <w:t>Loretta M. Lynch</w:t>
            </w:r>
          </w:p>
          <w:p>
            <w:pPr>
              <w:pStyle w:val="Normal"/>
              <w:jc w:val="center"/>
              <w:rPr/>
            </w:pPr>
            <w:r>
              <w:rPr/>
              <w:t>Assigned Commissioner</w:t>
            </w:r>
          </w:p>
        </w:tc>
      </w:tr>
    </w:tbl>
    <w:p>
      <w:pPr>
        <w:sectPr>
          <w:headerReference w:type="default" r:id="rId3"/>
          <w:headerReference w:type="first" r:id="rId4"/>
          <w:footerReference w:type="default" r:id="rId5"/>
          <w:footerReference w:type="first" r:id="rId6"/>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pPr>
    </w:p>
    <w:p>
      <w:pPr>
        <w:pStyle w:val="main"/>
        <w:rPr/>
      </w:pPr>
      <w:r>
        <w:rPr/>
        <w:t>CERTIFICATE OF SERVICE</w:t>
      </w:r>
    </w:p>
    <w:p>
      <w:pPr>
        <w:pStyle w:val="Normal"/>
        <w:spacing w:lineRule="auto" w:line="360"/>
        <w:rPr/>
      </w:pPr>
      <w:r>
        <w:rPr/>
      </w:r>
    </w:p>
    <w:p>
      <w:pPr>
        <w:pStyle w:val="standard"/>
        <w:rPr/>
      </w:pPr>
      <w:r>
        <w:rPr/>
        <w:t>I certify that I have by mail and e-mail this day served a true copy of the original attached Assigned Commissioner’s Ruling Setting Prehearing Conference and Requiring Prehearing Conference Statements on all parties of record in this proceeding or their attorneys of record.</w:t>
      </w:r>
    </w:p>
    <w:p>
      <w:pPr>
        <w:pStyle w:val="standard"/>
        <w:rPr/>
      </w:pPr>
      <w:r>
        <w:rPr/>
        <w:t>Dated April 11, 2001, at San Francisco, California.</w:t>
      </w:r>
    </w:p>
    <w:p>
      <w:pPr>
        <w:pStyle w:val="Normal"/>
        <w:rPr/>
      </w:pPr>
      <w:r>
        <w:rPr/>
      </w:r>
    </w:p>
    <w:p>
      <w:pPr>
        <w:pStyle w:val="Normal"/>
        <w:rPr/>
      </w:pPr>
      <w:r>
        <w:rPr/>
      </w:r>
    </w:p>
    <w:tbl>
      <w:tblPr>
        <w:tblW w:w="3420" w:type="dxa"/>
        <w:jc w:val="start"/>
        <w:tblInd w:w="4878" w:type="dxa"/>
        <w:tblLayout w:type="fixed"/>
        <w:tblCellMar>
          <w:top w:w="0" w:type="dxa"/>
          <w:start w:w="108" w:type="dxa"/>
          <w:bottom w:w="0" w:type="dxa"/>
          <w:end w:w="108" w:type="dxa"/>
        </w:tblCellMar>
      </w:tblPr>
      <w:tblGrid>
        <w:gridCol w:w="3420"/>
      </w:tblGrid>
      <w:tr>
        <w:trPr/>
        <w:tc>
          <w:tcPr>
            <w:tcW w:w="3420" w:type="dxa"/>
            <w:tcBorders>
              <w:bottom w:val="single" w:sz="6" w:space="0" w:color="000000"/>
            </w:tcBorders>
          </w:tcPr>
          <w:p>
            <w:pPr>
              <w:pStyle w:val="Normal"/>
              <w:snapToGrid w:val="false"/>
              <w:rPr/>
            </w:pPr>
            <w:r>
              <w:rPr/>
            </w:r>
          </w:p>
        </w:tc>
      </w:tr>
      <w:tr>
        <w:trPr/>
        <w:tc>
          <w:tcPr>
            <w:tcW w:w="3420" w:type="dxa"/>
            <w:tcBorders/>
          </w:tcPr>
          <w:p>
            <w:pPr>
              <w:pStyle w:val="Normal"/>
              <w:jc w:val="center"/>
              <w:rPr/>
            </w:pPr>
            <w:r>
              <w:rPr/>
              <w:t>Maureen S. Little</w:t>
            </w:r>
          </w:p>
        </w:tc>
      </w:tr>
    </w:tbl>
    <w:p>
      <w:pPr>
        <w:pStyle w:val="Normal"/>
        <w:rPr/>
      </w:pPr>
      <w:r>
        <w:rPr/>
      </w:r>
    </w:p>
    <w:p>
      <w:pPr>
        <w:pStyle w:val="mainex"/>
        <w:spacing w:before="0" w:after="120"/>
        <w:rPr/>
      </w:pPr>
      <w:r>
        <w:rPr/>
        <w:t>NOTICE</w:t>
      </w:r>
    </w:p>
    <w:p>
      <w:pPr>
        <w:pStyle w:val="BlockText"/>
        <w:rPr/>
      </w:pPr>
      <w:r>
        <w:rPr/>
        <w:t>Parties should notify the Process Office, Public Utilities Commission, 505 Van Ness Avenue, Room 2000, San Francisco, CA  94102, of any change of address to insure that they continue to receive documents. You must indicate the proceeding number on the service list on which your name appears.</w:t>
      </w:r>
    </w:p>
    <w:p>
      <w:pPr>
        <w:pStyle w:val="Normal"/>
        <w:tabs>
          <w:tab w:val="clear" w:pos="720"/>
          <w:tab w:val="left" w:pos="0" w:leader="none"/>
        </w:tabs>
        <w:ind w:start="1440" w:end="1440"/>
        <w:rPr>
          <w:sz w:val="24"/>
        </w:rPr>
      </w:pPr>
      <w:r>
        <w:rPr>
          <w:sz w:val="24"/>
        </w:rPr>
        <w:t>* * * * * * * * * * * * * * * * * * * * * * * * * * * * * * * * * * * * * * *</w:t>
      </w:r>
    </w:p>
    <w:p>
      <w:pPr>
        <w:pStyle w:val="BlockText"/>
        <w:rPr/>
      </w:pPr>
      <w:r>
        <w:rPr/>
        <w:t>The Commission’s policy is to schedule hearings (meetings, workshops, etc.) in locations that are accessible to people with disabilities. To verify that a particular location is accessible, call: Calendar Clerk (415) 703-1203.</w:t>
      </w:r>
    </w:p>
    <w:p>
      <w:pPr>
        <w:pStyle w:val="Normal"/>
        <w:tabs>
          <w:tab w:val="clear" w:pos="720"/>
          <w:tab w:val="left" w:pos="0" w:leader="none"/>
        </w:tabs>
        <w:ind w:start="1440" w:end="1440"/>
        <w:rPr>
          <w:sz w:val="24"/>
        </w:rPr>
      </w:pPr>
      <w:r>
        <w:rPr>
          <w:sz w:val="24"/>
        </w:rPr>
      </w:r>
    </w:p>
    <w:p>
      <w:pPr>
        <w:pStyle w:val="Normal"/>
        <w:tabs>
          <w:tab w:val="clear" w:pos="720"/>
          <w:tab w:val="left" w:pos="0" w:leader="none"/>
        </w:tabs>
        <w:ind w:start="1440" w:end="1440"/>
        <w:rPr>
          <w:sz w:val="24"/>
        </w:rPr>
      </w:pPr>
      <w:r>
        <w:rPr>
          <w:sz w:val="24"/>
        </w:rPr>
        <w:t>If specialized accommodations for the disabled are needed, e.g., sign language interpreters, those making the arrangements must call the Public Advisor at (415) 703</w:t>
        <w:noBreakHyphen/>
        <w:t>2074,</w:t>
      </w:r>
    </w:p>
    <w:p>
      <w:pPr>
        <w:pStyle w:val="Normal"/>
        <w:tabs>
          <w:tab w:val="clear" w:pos="720"/>
          <w:tab w:val="left" w:pos="0" w:leader="none"/>
        </w:tabs>
        <w:ind w:start="1440" w:end="1440"/>
        <w:rPr/>
      </w:pPr>
      <w:r>
        <w:rPr>
          <w:sz w:val="24"/>
        </w:rPr>
        <w:t xml:space="preserve">TTY </w:t>
      </w:r>
      <w:r>
        <w:rPr>
          <w:b/>
          <w:sz w:val="24"/>
        </w:rPr>
        <w:t xml:space="preserve">1-866-836-7825 or (415) 703-5282 at least </w:t>
      </w:r>
      <w:r>
        <w:rPr>
          <w:sz w:val="24"/>
        </w:rPr>
        <w:t>three working days in advance of the event.</w:t>
      </w:r>
      <w:r>
        <w:rPr/>
        <w:t xml:space="preserve"> </w:t>
      </w:r>
    </w:p>
    <w:p>
      <w:pPr>
        <w:pStyle w:val="Normal"/>
        <w:rPr/>
      </w:pPr>
      <w:r>
        <w:rPr/>
      </w:r>
    </w:p>
    <w:sectPr>
      <w:headerReference w:type="default" r:id="rId7"/>
      <w:headerReference w:type="first" r:id="rId8"/>
      <w:footerReference w:type="default" r:id="rId9"/>
      <w:footerReference w:type="first" r:id="rId10"/>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590" w:leader="none"/>
        <w:tab w:val="right" w:pos="8640" w:leader="none"/>
      </w:tabs>
      <w:jc w:val="start"/>
      <w:rPr/>
    </w:pPr>
    <w:r>
      <w:rPr>
        <w:sz w:val="16"/>
      </w:rPr>
      <w:t>95085</w:t>
    </w:r>
    <w: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rPr/>
      </w:pPr>
      <w:r>
        <w:rPr>
          <w:rStyle w:val="FootnoteCharacters"/>
        </w:rPr>
        <w:footnoteRef/>
      </w:r>
      <w:r>
        <w:rPr/>
        <w:t xml:space="preserve"> </w:t>
      </w:r>
      <w:r>
        <w:rPr/>
        <w:t xml:space="preserve">The MOU is available on the Internet at </w:t>
      </w:r>
      <w:hyperlink r:id="rId1">
        <w:r>
          <w:rPr>
            <w:rStyle w:val="Hyperlink"/>
          </w:rPr>
          <w:t>http://www.governor.ca.gov/govsite/msdocs/issues/SCE_MOU.doc</w:t>
        </w:r>
      </w:hyperlink>
      <w:r>
        <w:rPr/>
        <w:t xml:space="preserve">. </w:t>
      </w:r>
    </w:p>
  </w:footnote>
  <w:footnote w:id="3">
    <w:p>
      <w:pPr>
        <w:pStyle w:val="FootnoteText"/>
        <w:spacing w:before="0" w:after="240"/>
        <w:rPr/>
      </w:pPr>
      <w:r>
        <w:rPr>
          <w:rStyle w:val="FootnoteCharacters"/>
        </w:rPr>
        <w:footnoteRef/>
      </w:r>
      <w:r>
        <w:rPr/>
        <w:t xml:space="preserve"> </w:t>
      </w:r>
      <w:r>
        <w:rPr/>
        <w:t>MOU at 31, ¶ 12.</w:t>
      </w:r>
    </w:p>
  </w:footnote>
  <w:footnote w:id="4">
    <w:p>
      <w:pPr>
        <w:pStyle w:val="FootnoteText"/>
        <w:spacing w:before="0" w:after="240"/>
        <w:rPr/>
      </w:pPr>
      <w:r>
        <w:rPr>
          <w:rStyle w:val="FootnoteCharacters"/>
        </w:rPr>
        <w:footnoteRef/>
      </w:r>
      <w:r>
        <w:rPr/>
        <w:t xml:space="preserve"> </w:t>
      </w:r>
      <w:r>
        <w:rPr/>
        <w:t>D.88-01-063, 27 CPUC2d 347, 376 (Jan. 28, 1988), Ordering paragraph 12.</w:t>
      </w:r>
    </w:p>
  </w:footnote>
  <w:footnote w:id="5">
    <w:p>
      <w:pPr>
        <w:pStyle w:val="FootnoteText"/>
        <w:spacing w:before="0" w:after="240"/>
        <w:rPr/>
      </w:pPr>
      <w:r>
        <w:rPr>
          <w:rStyle w:val="FootnoteCharacters"/>
        </w:rPr>
        <w:footnoteRef/>
      </w:r>
      <w:r>
        <w:rPr/>
        <w:t xml:space="preserve"> </w:t>
      </w:r>
      <w:r>
        <w:rPr/>
        <w:t>MOU at 33.</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I.01-04-002  LYN/t93</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I.01-04-002  LYN/t93</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I.01-04-002  LYN/t93</w:t>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color w:val="auto"/>
      </w:rPr>
    </w:lvl>
  </w:abstractNum>
  <w:abstractNum w:abstractNumId="3">
    <w:lvl w:ilvl="0">
      <w:start w:val="1"/>
      <w:numFmt w:val="decimal"/>
      <w:lvlText w:val="%1."/>
      <w:lvlJc w:val="start"/>
      <w:pPr>
        <w:tabs>
          <w:tab w:val="num" w:pos="0"/>
        </w:tabs>
        <w:ind w:start="0" w:hanging="0"/>
      </w:pPr>
    </w:lvl>
  </w:abstractNum>
  <w:abstractNum w:abstractNumId="4">
    <w:lvl w:ilvl="0">
      <w:start w:val="6"/>
      <w:numFmt w:val="upperLetter"/>
      <w:lvlText w:val="%1."/>
      <w:lvlJc w:val="start"/>
      <w:pPr>
        <w:tabs>
          <w:tab w:val="num" w:pos="1440"/>
        </w:tabs>
        <w:ind w:start="1440" w:hanging="360"/>
      </w:pPr>
      <w:rPr/>
    </w:lvl>
  </w:abstractNum>
  <w:abstractNum w:abstractNumId="5">
    <w:lvl w:ilvl="0">
      <w:start w:val="1"/>
      <w:numFmt w:val="lowerLetter"/>
      <w:lvlText w:val="%1."/>
      <w:lvlJc w:val="start"/>
      <w:pPr>
        <w:tabs>
          <w:tab w:val="num" w:pos="0"/>
        </w:tabs>
        <w:ind w:start="0" w:hanging="0"/>
      </w:pPr>
    </w:lvl>
  </w:abstractNum>
  <w:abstractNum w:abstractNumId="6">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 w:hAnsi="Palatino" w:eastAsia="Times New Roman" w:cs="Palatino"/>
      <w:color w:val="auto"/>
      <w:sz w:val="26"/>
      <w:szCs w:val="20"/>
      <w:lang w:val="en-US" w:eastAsia="zh-CN" w:bidi="hi-IN"/>
    </w:rPr>
  </w:style>
  <w:style w:type="paragraph" w:styleId="Heading1">
    <w:name w:val="heading 1"/>
    <w:basedOn w:val="Normal"/>
    <w:next w:val="standard"/>
    <w:qFormat/>
    <w:pPr>
      <w:keepNext w:val="true"/>
      <w:numPr>
        <w:ilvl w:val="0"/>
        <w:numId w:val="1"/>
      </w:numPr>
      <w:tabs>
        <w:tab w:val="clear" w:pos="720"/>
        <w:tab w:val="left" w:pos="1080" w:leader="none"/>
      </w:tabs>
      <w:spacing w:before="120" w:after="120"/>
      <w:ind w:firstLine="720" w:start="0" w:end="0"/>
      <w:outlineLvl w:val="0"/>
    </w:pPr>
    <w:rPr>
      <w:rFonts w:ascii="Helvetica" w:hAnsi="Helvetica" w:cs="Helvetica"/>
      <w:b/>
      <w:kern w:val="2"/>
    </w:rPr>
  </w:style>
  <w:style w:type="paragraph" w:styleId="Heading2">
    <w:name w:val="heading 2"/>
    <w:basedOn w:val="Normal"/>
    <w:next w:val="sub1"/>
    <w:qFormat/>
    <w:pPr>
      <w:keepNext w:val="true"/>
      <w:numPr>
        <w:ilvl w:val="1"/>
        <w:numId w:val="1"/>
      </w:numPr>
      <w:spacing w:before="120" w:after="120"/>
      <w:ind w:firstLine="1080" w:start="0" w:end="0"/>
      <w:outlineLvl w:val="1"/>
    </w:pPr>
    <w:rPr>
      <w:rFonts w:ascii="Helvetica" w:hAnsi="Helvetica" w:cs="Helvetica"/>
      <w:b/>
    </w:rPr>
  </w:style>
  <w:style w:type="paragraph" w:styleId="Heading3">
    <w:name w:val="heading 3"/>
    <w:basedOn w:val="Normal"/>
    <w:next w:val="sub2"/>
    <w:qFormat/>
    <w:pPr>
      <w:keepNext w:val="true"/>
      <w:numPr>
        <w:ilvl w:val="2"/>
        <w:numId w:val="1"/>
      </w:numPr>
      <w:tabs>
        <w:tab w:val="clear" w:pos="720"/>
        <w:tab w:val="left" w:pos="1800" w:leader="none"/>
      </w:tabs>
      <w:spacing w:before="120" w:after="120"/>
      <w:ind w:firstLine="1440" w:start="0" w:end="0"/>
      <w:outlineLvl w:val="2"/>
    </w:pPr>
    <w:rPr>
      <w:rFonts w:ascii="Helvetica" w:hAnsi="Helvetica" w:cs="Helvetica"/>
      <w:b/>
      <w:lang w:eastAsia="en-US"/>
    </w:rPr>
  </w:style>
  <w:style w:type="paragraph" w:styleId="Heading4">
    <w:name w:val="heading 4"/>
    <w:basedOn w:val="Normal"/>
    <w:next w:val="sub3"/>
    <w:qFormat/>
    <w:pPr>
      <w:keepNext w:val="true"/>
      <w:numPr>
        <w:ilvl w:val="3"/>
        <w:numId w:val="1"/>
      </w:numPr>
      <w:spacing w:before="120" w:after="60"/>
      <w:ind w:firstLine="2880" w:start="0" w:end="0"/>
      <w:outlineLvl w:val="3"/>
    </w:pPr>
    <w:rPr>
      <w:rFonts w:ascii="Helvetica" w:hAnsi="Helvetica" w:cs="Helvetica"/>
      <w:b/>
      <w:i/>
    </w:rPr>
  </w:style>
  <w:style w:type="paragraph" w:styleId="Heading5">
    <w:name w:val="heading 5"/>
    <w:basedOn w:val="Normal"/>
    <w:next w:val="sub4"/>
    <w:qFormat/>
    <w:pPr>
      <w:numPr>
        <w:ilvl w:val="4"/>
        <w:numId w:val="1"/>
      </w:numPr>
      <w:spacing w:before="120" w:after="120"/>
      <w:ind w:firstLine="3600" w:start="0" w:end="0"/>
      <w:outlineLvl w:val="4"/>
    </w:pPr>
    <w:rPr>
      <w:rFonts w:ascii="Helvetica" w:hAnsi="Helvetica" w:cs="Helvetica"/>
      <w:b/>
    </w:rPr>
  </w:style>
  <w:style w:type="character" w:styleId="WW8Num1z0">
    <w:name w:val="WW8Num1z0"/>
    <w:qFormat/>
    <w:rPr>
      <w:rFonts w:ascii="Symbol" w:hAnsi="Symbol" w:cs="Symbol"/>
      <w:color w:val="auto"/>
    </w:rPr>
  </w:style>
  <w:style w:type="character" w:styleId="WW8Num3z0">
    <w:name w:val="WW8Num3z0"/>
    <w:qFormat/>
    <w:rPr/>
  </w:style>
  <w:style w:type="character" w:styleId="WW8Num4z0">
    <w:name w:val="WW8Num4z0"/>
    <w:qFormat/>
    <w:rPr/>
  </w:style>
  <w:style w:type="character" w:styleId="WW8Num6z0">
    <w:name w:val="WW8Num6z0"/>
    <w:qFormat/>
    <w:rPr/>
  </w:style>
  <w:style w:type="character" w:styleId="WW8Num8z0">
    <w:name w:val="WW8Num8z0"/>
    <w:qFormat/>
    <w:rPr/>
  </w:style>
  <w:style w:type="character" w:styleId="WW8Num11z0">
    <w:name w:val="WW8Num11z0"/>
    <w:qFormat/>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pPr>
    <w:rPr>
      <w:sz w:val="24"/>
    </w:rPr>
  </w:style>
  <w:style w:type="paragraph" w:styleId="standard">
    <w:name w:val="standard"/>
    <w:basedOn w:val="Normal"/>
    <w:qFormat/>
    <w:pPr>
      <w:spacing w:lineRule="auto" w:line="360"/>
      <w:ind w:firstLine="720" w:start="0" w:end="0"/>
    </w:pPr>
    <w:rPr>
      <w:sz w:val="26"/>
    </w:rPr>
  </w:style>
  <w:style w:type="paragraph" w:styleId="Subtitle">
    <w:name w:val="Subtitle"/>
    <w:basedOn w:val="Normal"/>
    <w:next w:val="BodyText"/>
    <w:qFormat/>
    <w:pPr>
      <w:spacing w:before="0" w:after="60"/>
      <w:jc w:val="center"/>
    </w:pPr>
    <w:rPr>
      <w:rFonts w:ascii="Arial" w:hAnsi="Arial" w:cs="Arial"/>
    </w:rPr>
  </w:style>
  <w:style w:type="paragraph" w:styleId="quote">
    <w:name w:val="quote"/>
    <w:basedOn w:val="standard"/>
    <w:next w:val="standard"/>
    <w:qFormat/>
    <w:pPr>
      <w:spacing w:lineRule="auto" w:line="240" w:before="120" w:after="120"/>
      <w:ind w:hanging="0" w:start="720" w:end="720"/>
    </w:pPr>
    <w:rPr/>
  </w:style>
  <w:style w:type="paragraph" w:styleId="num1">
    <w:name w:val="num1"/>
    <w:basedOn w:val="Normal"/>
    <w:qFormat/>
    <w:pPr>
      <w:numPr>
        <w:ilvl w:val="0"/>
        <w:numId w:val="6"/>
      </w:numPr>
      <w:tabs>
        <w:tab w:val="clear" w:pos="720"/>
        <w:tab w:val="left" w:pos="-720" w:leader="none"/>
      </w:tabs>
      <w:suppressAutoHyphens w:val="true"/>
      <w:spacing w:lineRule="auto" w:line="360"/>
      <w:ind w:firstLine="360" w:start="0" w:end="0"/>
    </w:pPr>
    <w:rPr/>
  </w:style>
  <w:style w:type="paragraph" w:styleId="letter">
    <w:name w:val="letter"/>
    <w:basedOn w:val="num1"/>
    <w:qFormat/>
    <w:pPr>
      <w:numPr>
        <w:ilvl w:val="0"/>
        <w:numId w:val="5"/>
      </w:numPr>
      <w:tabs>
        <w:tab w:val="left" w:pos="-720" w:leader="none"/>
        <w:tab w:val="left" w:pos="1440" w:leader="none"/>
      </w:tabs>
      <w:spacing w:lineRule="auto" w:line="240" w:before="0" w:after="120"/>
      <w:ind w:firstLine="1080" w:start="0" w:end="0"/>
    </w:pPr>
    <w:rPr>
      <w:b/>
    </w:rPr>
  </w:style>
  <w:style w:type="paragraph" w:styleId="TOC4">
    <w:name w:val="toc 4"/>
    <w:basedOn w:val="Normal"/>
    <w:next w:val="Normal"/>
    <w:pPr>
      <w:tabs>
        <w:tab w:val="clear" w:pos="720"/>
        <w:tab w:val="right" w:pos="9360" w:leader="dot"/>
      </w:tabs>
      <w:ind w:hanging="0" w:start="720" w:end="0"/>
    </w:pPr>
    <w:rPr/>
  </w:style>
  <w:style w:type="paragraph" w:styleId="main">
    <w:name w:val="main"/>
    <w:basedOn w:val="Normal"/>
    <w:qFormat/>
    <w:pPr>
      <w:jc w:val="center"/>
    </w:pPr>
    <w:rPr>
      <w:rFonts w:ascii="Helvetica" w:hAnsi="Helvetica" w:cs="Helvetica"/>
      <w:b/>
      <w:sz w:val="26"/>
    </w:rPr>
  </w:style>
  <w:style w:type="paragraph" w:styleId="mainex">
    <w:name w:val="mainex"/>
    <w:basedOn w:val="main"/>
    <w:qFormat/>
    <w:pPr/>
    <w:rPr>
      <w:spacing w:val="1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6"/>
    </w:rPr>
  </w:style>
  <w:style w:type="paragraph" w:styleId="num2">
    <w:name w:val="num2"/>
    <w:basedOn w:val="num1"/>
    <w:qFormat/>
    <w:pPr>
      <w:ind w:firstLine="180" w:start="0" w:end="0"/>
    </w:pPr>
    <w:rPr/>
  </w:style>
  <w:style w:type="paragraph" w:styleId="Footer">
    <w:name w:val="footer"/>
    <w:basedOn w:val="Normal"/>
    <w:pPr>
      <w:tabs>
        <w:tab w:val="clear" w:pos="720"/>
        <w:tab w:val="center" w:pos="4320" w:leader="none"/>
        <w:tab w:val="right" w:pos="8640" w:leader="none"/>
      </w:tabs>
      <w:jc w:val="center"/>
    </w:pPr>
    <w:rPr>
      <w:sz w:val="26"/>
    </w:rPr>
  </w:style>
  <w:style w:type="paragraph" w:styleId="sub1">
    <w:name w:val="sub1"/>
    <w:basedOn w:val="Normal"/>
    <w:qFormat/>
    <w:pPr>
      <w:spacing w:lineRule="auto" w:line="360"/>
      <w:ind w:firstLine="1440" w:start="0" w:end="0"/>
    </w:pPr>
    <w:rPr/>
  </w:style>
  <w:style w:type="paragraph" w:styleId="sub2">
    <w:name w:val="sub2"/>
    <w:basedOn w:val="Normal"/>
    <w:qFormat/>
    <w:pPr>
      <w:spacing w:lineRule="auto" w:line="360"/>
      <w:ind w:firstLine="2160" w:start="0" w:end="0"/>
    </w:pPr>
    <w:rPr/>
  </w:style>
  <w:style w:type="paragraph" w:styleId="sub3">
    <w:name w:val="sub3"/>
    <w:basedOn w:val="Normal"/>
    <w:qFormat/>
    <w:pPr>
      <w:spacing w:lineRule="auto" w:line="360"/>
      <w:ind w:firstLine="2880" w:start="0" w:end="0"/>
    </w:pPr>
    <w:rPr/>
  </w:style>
  <w:style w:type="paragraph" w:styleId="sub4">
    <w:name w:val="sub4"/>
    <w:basedOn w:val="Normal"/>
    <w:qFormat/>
    <w:pPr>
      <w:spacing w:lineRule="auto" w:line="360"/>
      <w:ind w:firstLine="3600" w:start="0" w:end="0"/>
    </w:pPr>
    <w:rPr/>
  </w:style>
  <w:style w:type="paragraph" w:styleId="BodyTextIndent">
    <w:name w:val="Body Text Indent"/>
    <w:basedOn w:val="Normal"/>
    <w:pPr>
      <w:ind w:hanging="0" w:start="720" w:end="0"/>
    </w:pPr>
    <w:rPr>
      <w:sz w:val="24"/>
      <w:lang w:eastAsia="en-US"/>
    </w:rPr>
  </w:style>
  <w:style w:type="paragraph" w:styleId="BlockText">
    <w:name w:val="Block Text"/>
    <w:basedOn w:val="Normal"/>
    <w:qFormat/>
    <w:pPr>
      <w:tabs>
        <w:tab w:val="clear" w:pos="720"/>
        <w:tab w:val="left" w:pos="0" w:leader="none"/>
      </w:tabs>
      <w:ind w:hanging="0" w:start="1440" w:end="1440"/>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rt@cpuc.ca.gov"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www.governor.ca.gov/govsite/msdocs/issues/SCE_MOU.doc"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ruling.dot</Template>
  <TotalTime>167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2001-04-11T13:00:00Z</dcterms:created>
  <dc:creator>  </dc:creator>
  <dc:description/>
  <dc:language>en-CA</dc:language>
  <cp:lastModifiedBy>T93</cp:lastModifiedBy>
  <cp:lastPrinted>2001-04-11T13:27:00Z</cp:lastPrinted>
  <dcterms:modified xsi:type="dcterms:W3CDTF">2001-04-11T19:01:00Z</dcterms:modified>
  <cp:revision>13</cp:revision>
  <dc:subject/>
  <dc:title>BEFORE THE PUBLIC UTILITIES COMMISSION OF THE STATE OF CALIFORNIA</dc:title>
</cp:coreProperties>
</file>