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left" w:pos="3672" w:leader="none"/>
          <w:tab w:val="center" w:pos="4320" w:leader="none"/>
          <w:tab w:val="right" w:pos="8640" w:leader="none"/>
        </w:tabs>
        <w:rPr/>
      </w:pPr>
      <w:r>
        <w:rPr/>
        <w:t>ANG/abw  11/15/2000</w:t>
      </w:r>
    </w:p>
    <w:p>
      <w:pPr>
        <w:pStyle w:val="Header"/>
        <w:rPr/>
      </w:pPr>
      <w:r>
        <w:rPr/>
      </w:r>
    </w:p>
    <w:p>
      <w:pPr>
        <w:pStyle w:val="Header"/>
        <w:rPr/>
      </w:pPr>
      <w:r>
        <w:rPr/>
      </w:r>
    </w:p>
    <w:p>
      <w:pPr>
        <w:pStyle w:val="Header"/>
        <w:rPr/>
      </w:pPr>
      <w:r>
        <w:rPr/>
      </w:r>
    </w:p>
    <w:p>
      <w:pPr>
        <w:pStyle w:val="Header"/>
        <w:rPr/>
      </w:pPr>
      <w:r>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Pacific Gas and Electric Company for authority to establish post-transition period electric ratemaking mechanisms.</w:t>
            </w:r>
          </w:p>
          <w:p>
            <w:pPr>
              <w:pStyle w:val="Normal"/>
              <w:widowControl/>
              <w:tabs>
                <w:tab w:val="clear" w:pos="720"/>
                <w:tab w:val="left" w:pos="2160" w:leader="none"/>
                <w:tab w:val="left" w:pos="3600" w:leader="none"/>
              </w:tabs>
              <w:rPr/>
            </w:pPr>
            <w:r>
              <w:rPr/>
            </w:r>
          </w:p>
          <w:p>
            <w:pPr>
              <w:pStyle w:val="Normal"/>
              <w:widowControl/>
              <w:rPr/>
            </w:pPr>
            <w:r>
              <w:rPr/>
            </w:r>
          </w:p>
        </w:tc>
        <w:tc>
          <w:tcPr>
            <w:tcW w:w="3287" w:type="dxa"/>
            <w:tcBorders/>
          </w:tcPr>
          <w:p>
            <w:pPr>
              <w:pStyle w:val="Normal"/>
              <w:widowControl/>
              <w:snapToGrid w:val="false"/>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99-01-016</w:t>
            </w:r>
          </w:p>
          <w:p>
            <w:pPr>
              <w:pStyle w:val="Normal"/>
              <w:widowControl/>
              <w:jc w:val="center"/>
              <w:rPr/>
            </w:pPr>
            <w:r>
              <w:rPr/>
              <w:t>(Filed January 15, 1999)</w:t>
            </w:r>
          </w:p>
          <w:p>
            <w:pPr>
              <w:pStyle w:val="Normal"/>
              <w:widowControl/>
              <w:jc w:val="center"/>
              <w:rPr/>
            </w:pPr>
            <w:r>
              <w:rPr/>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San Diego Gas &amp; Electric Company for authority to implement Post Rate Freeze Ratemaking Mechanism.</w:t>
            </w:r>
          </w:p>
          <w:p>
            <w:pPr>
              <w:pStyle w:val="Normal"/>
              <w:widowControl/>
              <w:rPr/>
            </w:pPr>
            <w:r>
              <w:rPr/>
            </w:r>
          </w:p>
        </w:tc>
        <w:tc>
          <w:tcPr>
            <w:tcW w:w="3287" w:type="dxa"/>
            <w:tcBorders/>
          </w:tcPr>
          <w:p>
            <w:pPr>
              <w:pStyle w:val="Normal"/>
              <w:widowControl/>
              <w:snapToGrid w:val="false"/>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99-01-019</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Southern California Edison Company (U 338-E) to:  (1) Propose a Method to Determine and Implement the End of Rate Freeze; and (2) Propose Ratemaking Which Should Be in Place After the End of the Rate Freeze Periods.</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99-01-034</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Application of SAN DIEGO GAS &amp; ELECTRIC COMPANY:  (1) informing the Commission of the Probable Timing of the End of its Electric Rate Freeze, (2) for Authorization to Change Electric Rates Through Implementation of Interim Ratemaking Mechanisms Concurrent with Termination of the Electric Rate Freeze, and (3) for Authorization to Change Electric Rates by Adding New, and Revising or Terminating Existing, Rate and Revenue Mechanisms and Rate Designs.</w:t>
              <w:tab/>
              <w:tab/>
              <w:t>(U 902-E)</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99-02-029</w:t>
            </w:r>
          </w:p>
          <w:p>
            <w:pPr>
              <w:pStyle w:val="Normal"/>
              <w:widowControl/>
              <w:jc w:val="center"/>
              <w:rPr/>
            </w:pPr>
            <w:r>
              <w:rPr/>
              <w:t>(Filed February 19, 1999)</w:t>
            </w:r>
          </w:p>
        </w:tc>
      </w:tr>
    </w:tbl>
    <w:p>
      <w:pPr>
        <w:pStyle w:val="Normal"/>
        <w:widowControl/>
        <w:suppressAutoHyphens w:val="true"/>
        <w:rPr/>
      </w:pPr>
      <w:r>
        <w:rPr/>
      </w:r>
      <w:r>
        <w:br w:type="page"/>
      </w:r>
    </w:p>
    <w:p>
      <w:pPr>
        <w:pStyle w:val="Normal"/>
        <w:widowControl/>
        <w:suppressAutoHyphens w:val="true"/>
        <w:rPr/>
      </w:pPr>
      <w:r>
        <w:rPr/>
      </w:r>
    </w:p>
    <w:p>
      <w:pPr>
        <w:pStyle w:val="main"/>
        <w:widowControl/>
        <w:rPr/>
      </w:pPr>
      <w:r>
        <w:rPr/>
        <w:t>ADMINISTRATIVE LAW JUDGE’S RULING</w:t>
      </w:r>
    </w:p>
    <w:p>
      <w:pPr>
        <w:pStyle w:val="main"/>
        <w:widowControl/>
        <w:rPr/>
      </w:pPr>
      <w:r>
        <w:rPr/>
        <w:t>GRANTING THE OFFICE OF RATEPAYER ADVOCATES’</w:t>
      </w:r>
    </w:p>
    <w:p>
      <w:pPr>
        <w:pStyle w:val="main"/>
        <w:widowControl/>
        <w:rPr/>
      </w:pPr>
      <w:r>
        <w:rPr/>
        <w:t>MOTION TO STRIKE TESTIMONY</w:t>
      </w:r>
    </w:p>
    <w:p>
      <w:pPr>
        <w:pStyle w:val="Normal"/>
        <w:widowControl/>
        <w:suppressAutoHyphens w:val="true"/>
        <w:rPr/>
      </w:pPr>
      <w:r>
        <w:rPr/>
      </w:r>
    </w:p>
    <w:p>
      <w:pPr>
        <w:pStyle w:val="standard"/>
        <w:widowControl/>
        <w:rPr/>
      </w:pPr>
      <w:r>
        <w:rPr/>
        <w:t>At the prehearing conference held on October 27, parties were directed to 1) respond to the emergency motions of Pacific Gas and Electric Company (PG&amp;E) and Southern California Edison Company (Edison), filed on October 4; and 2) respond to the proposal submitted by The Utility Reform Network (TURN) in Application (A.) 00-01-028.  PG&amp;E and Edison were also directed to propose different accounting solutions, if they so desired. On November 7, 2000, after consultation with Commissioner Duque, I issued a ruling that denied PG&amp;E’s request to convene evidentiary hearings to consider TURN’s accounting proposal. As stated in that ruling:</w:t>
      </w:r>
    </w:p>
    <w:p>
      <w:pPr>
        <w:pStyle w:val="quote"/>
        <w:widowControl/>
        <w:rPr/>
      </w:pPr>
      <w:r>
        <w:rPr/>
        <w:t>We recognize that there are factual matters to consider in determining the exact numbers that would be applied to these accounting mechanisms; PG&amp;E and other parties will have the opportunity to do so in future phases or successor proceedings.  If the Commission is to have the opportunity to consider this matter at the December 21 meeting; however, the stated schedule must be adhered to.</w:t>
      </w:r>
    </w:p>
    <w:p>
      <w:pPr>
        <w:pStyle w:val="standard"/>
        <w:widowControl/>
        <w:rPr/>
      </w:pPr>
      <w:r>
        <w:rPr/>
        <w:t xml:space="preserve">PG&amp;E renewed its request for hearings and attached prepared testimony (Attachment 1) to its November 9 comments.  On November 14, the Office of Ratepayer Advocates (ORA) filed an emergency motion to strike PG&amp;E’s prepared testimony pointing out that the facts presented are in dispute. </w:t>
      </w:r>
    </w:p>
    <w:p>
      <w:pPr>
        <w:pStyle w:val="standard"/>
        <w:widowControl/>
        <w:rPr/>
      </w:pPr>
      <w:r>
        <w:rPr/>
        <w:t>Evidentiary hearings will not be held at this time.  The facts PG&amp;E has presented are indeed disputed and cannot be tested at this time; therefore, PG&amp;E’s testimony is premature.  Good cause being shown, and after consulting with Commissioner Duque, I grant ORA’s motion.</w:t>
      </w:r>
    </w:p>
    <w:p>
      <w:pPr>
        <w:pStyle w:val="standard"/>
        <w:keepNext w:val="true"/>
        <w:widowControl/>
        <w:rPr/>
      </w:pPr>
      <w:r>
        <w:rPr/>
        <w:t xml:space="preserve">Therefore, </w:t>
      </w:r>
      <w:r>
        <w:rPr>
          <w:b/>
          <w:bCs/>
        </w:rPr>
        <w:t>IT IS RULED</w:t>
      </w:r>
      <w:r>
        <w:rPr/>
        <w:t xml:space="preserve"> that:</w:t>
      </w:r>
    </w:p>
    <w:p>
      <w:pPr>
        <w:pStyle w:val="num1"/>
        <w:widowControl/>
        <w:numPr>
          <w:ilvl w:val="0"/>
          <w:numId w:val="2"/>
        </w:numPr>
        <w:tabs>
          <w:tab w:val="clear" w:pos="-720"/>
          <w:tab w:val="left" w:pos="0" w:leader="none"/>
        </w:tabs>
        <w:ind w:firstLine="360" w:start="0"/>
        <w:rPr/>
      </w:pPr>
      <w:r>
        <w:rPr/>
        <w:t>The Emergency Motion of the Office of Ratepayer Advocates to Strike Pacific Gas and Electric Company’s Attachment 1, filed on November 14, 2000, is granted.</w:t>
      </w:r>
    </w:p>
    <w:p>
      <w:pPr>
        <w:pStyle w:val="num1"/>
        <w:widowControl/>
        <w:numPr>
          <w:ilvl w:val="0"/>
          <w:numId w:val="2"/>
        </w:numPr>
        <w:tabs>
          <w:tab w:val="clear" w:pos="-720"/>
          <w:tab w:val="left" w:pos="0" w:leader="none"/>
        </w:tabs>
        <w:ind w:firstLine="360" w:start="0"/>
        <w:rPr/>
      </w:pPr>
      <w:r>
        <w:rPr/>
        <w:t>Disputed factual matters shall be addressed in future phases of these proceedings, or successor proceedings, as necessary and appropriate.</w:t>
      </w:r>
    </w:p>
    <w:p>
      <w:pPr>
        <w:pStyle w:val="standard"/>
        <w:widowControl/>
        <w:rPr/>
      </w:pPr>
      <w:r>
        <w:rPr/>
        <w:t>Dated November 15, 2000, at San Francisco, California.</w:t>
      </w:r>
    </w:p>
    <w:p>
      <w:pPr>
        <w:pStyle w:val="Normal"/>
        <w:widowControl/>
        <w:rPr/>
      </w:pPr>
      <w:r>
        <w:rPr/>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widowControl/>
              <w:snapToGrid w:val="false"/>
              <w:rPr/>
            </w:pPr>
            <w:r>
              <w:rPr/>
            </w:r>
          </w:p>
        </w:tc>
        <w:tc>
          <w:tcPr>
            <w:tcW w:w="990" w:type="dxa"/>
            <w:tcBorders/>
          </w:tcPr>
          <w:p>
            <w:pPr>
              <w:pStyle w:val="Normal"/>
              <w:widowControl/>
              <w:snapToGrid w:val="false"/>
              <w:rPr/>
            </w:pPr>
            <w:r>
              <w:rPr/>
            </w:r>
          </w:p>
        </w:tc>
        <w:tc>
          <w:tcPr>
            <w:tcW w:w="3960" w:type="dxa"/>
            <w:tcBorders>
              <w:bottom w:val="single" w:sz="6" w:space="0" w:color="000000"/>
            </w:tcBorders>
          </w:tcPr>
          <w:p>
            <w:pPr>
              <w:pStyle w:val="Normal"/>
              <w:widowControl/>
              <w:rPr/>
            </w:pPr>
            <w:r>
              <w:rPr/>
              <w:t>/s/ ANGELA K. MINKIN</w:t>
            </w:r>
          </w:p>
        </w:tc>
      </w:tr>
      <w:tr>
        <w:trPr/>
        <w:tc>
          <w:tcPr>
            <w:tcW w:w="3060" w:type="dxa"/>
            <w:tcBorders/>
          </w:tcPr>
          <w:p>
            <w:pPr>
              <w:pStyle w:val="Normal"/>
              <w:widowControl/>
              <w:snapToGrid w:val="false"/>
              <w:jc w:val="center"/>
              <w:rPr/>
            </w:pPr>
            <w:r>
              <w:rPr/>
            </w:r>
          </w:p>
        </w:tc>
        <w:tc>
          <w:tcPr>
            <w:tcW w:w="990" w:type="dxa"/>
            <w:tcBorders/>
          </w:tcPr>
          <w:p>
            <w:pPr>
              <w:pStyle w:val="Normal"/>
              <w:widowControl/>
              <w:snapToGrid w:val="false"/>
              <w:rPr/>
            </w:pPr>
            <w:r>
              <w:rPr/>
            </w:r>
          </w:p>
        </w:tc>
        <w:tc>
          <w:tcPr>
            <w:tcW w:w="3960" w:type="dxa"/>
            <w:tcBorders/>
          </w:tcPr>
          <w:p>
            <w:pPr>
              <w:pStyle w:val="Normal"/>
              <w:widowControl/>
              <w:jc w:val="center"/>
              <w:rPr/>
            </w:pPr>
            <w:r>
              <w:rPr/>
              <w:t>Angela K. Minkin</w:t>
            </w:r>
          </w:p>
          <w:p>
            <w:pPr>
              <w:pStyle w:val="Normal"/>
              <w:widowContro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and by electronic mail, to the parties to which an electronic mail address has been provided, this day served a true copy of the original attached Administrative Law Judge’s Ruling Granting The Office of Ratepayer Advocates’ Motion to Strike Testimony on all parties of record in this proceeding or their attorneys of record.</w:t>
      </w:r>
    </w:p>
    <w:p>
      <w:pPr>
        <w:pStyle w:val="standard"/>
        <w:widowControl/>
        <w:rPr/>
      </w:pPr>
      <w:r>
        <w:rPr/>
        <w:t>Dated November 15, 2000, at San Francisco, California.</w:t>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rPr/>
            </w:pPr>
            <w:r>
              <w:rPr/>
              <w:t>/s/ ANN B. WHITE</w:t>
            </w:r>
          </w:p>
        </w:tc>
      </w:tr>
      <w:tr>
        <w:trPr/>
        <w:tc>
          <w:tcPr>
            <w:tcW w:w="3420" w:type="dxa"/>
            <w:tcBorders/>
          </w:tcPr>
          <w:p>
            <w:pPr>
              <w:pStyle w:val="Normal"/>
              <w:widowControl/>
              <w:jc w:val="center"/>
              <w:rPr/>
            </w:pPr>
            <w:r>
              <w:rPr/>
              <w:t>Ann B. White</w:t>
            </w:r>
          </w:p>
        </w:tc>
      </w:tr>
    </w:tbl>
    <w:p>
      <w:pPr>
        <w:pStyle w:val="mainex"/>
        <w:widowControl/>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TDD# (415) 703-2032 five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3</w:t>
    </w:r>
    <w:r>
      <w:rPr>
        <w:rStyle w:val="PageNumber"/>
        <w:sz w:val="26"/>
        <w:szCs w:val="26"/>
      </w:rPr>
      <w:fldChar w:fldCharType="end"/>
    </w:r>
    <w:r>
      <w:rPr>
        <w:rStyle w:val="PageNumber"/>
        <w:sz w:val="26"/>
        <w:szCs w:val="2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sz w:val="16"/>
        <w:szCs w:val="16"/>
      </w:rPr>
      <w:t>83739</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ANG/abw</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A.99-01-015 et al.  ANG/abw</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DocumentMap">
    <w:name w:val="Document Map"/>
    <w:basedOn w:val="Normal"/>
    <w:qFormat/>
    <w:pPr>
      <w:shd w:fill="000080" w:val="clear"/>
    </w:pPr>
    <w:rPr>
      <w:rFonts w:ascii="Tahoma" w:hAnsi="Tahoma" w:eastAsia="Tahoma" w:cs="Tahoma"/>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2000-11-16T16:41:00Z</dcterms:created>
  <dc:creator>Chris Warner</dc:creator>
  <dc:description/>
  <dc:language>en-CA</dc:language>
  <cp:lastModifiedBy>Chris Warner</cp:lastModifiedBy>
  <cp:lastPrinted>2000-11-15T14:17:00Z</cp:lastPrinted>
  <dcterms:modified xsi:type="dcterms:W3CDTF">2000-11-16T16:41:00Z</dcterms:modified>
  <cp:revision>2</cp:revision>
  <dc:subject/>
  <dc:title>BEFORE THE PUBLIC UTILITIES COMMISSION OF THE STATE OF CALIFORNIA</dc:title>
</cp:coreProperties>
</file>