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TRP/eap  7/12/2001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(U 338-E) for Authority to Institute a Rate Stabilization Plan with a Rate Increase and End of Rate Freeze Tariffs.</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Application 00-11-038</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(U 39 E) to Adopt a Rate Stabilization Plan.</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Application 00-11-056</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tc>
      </w:tr>
    </w:tbl>
    <w:p>
      <w:pPr>
        <w:pStyle w:val="Normal"/>
        <w:suppressAutoHyphens w:val="true"/>
        <w:rPr/>
      </w:pPr>
      <w:r>
        <w:rPr/>
      </w:r>
    </w:p>
    <w:p>
      <w:pPr>
        <w:pStyle w:val="Normal"/>
        <w:rPr/>
      </w:pPr>
      <w:r>
        <w:rPr/>
      </w:r>
    </w:p>
    <w:p>
      <w:pPr>
        <w:pStyle w:val="main"/>
        <w:rPr/>
      </w:pPr>
      <w:r>
        <w:rPr/>
        <w:t>ADMINISTRATIVE LAW JUDGE’S RULING</w:t>
        <w:br/>
        <w:t>REGARDING MOTIONS TO IMPLEMENT PROCEEDING</w:t>
        <w:br/>
        <w:t>ON CALIFORNIA DEPARTMENT OF WATER RESOURCES</w:t>
        <w:br/>
        <w:t>REVENUE REQUIREMENTS</w:t>
      </w:r>
    </w:p>
    <w:p>
      <w:pPr>
        <w:pStyle w:val="Normal"/>
        <w:suppressAutoHyphens w:val="true"/>
        <w:rPr/>
      </w:pPr>
      <w:r>
        <w:rPr/>
      </w:r>
    </w:p>
    <w:p>
      <w:pPr>
        <w:pStyle w:val="standard"/>
        <w:rPr/>
      </w:pPr>
      <w:r>
        <w:rPr/>
        <w:t>On June 18, 2001, Pacific Gas and Electric Company (PG&amp;E) filed a “Motion for Further Proceedings Regarding Implementation of the California Department of Water Resources (DWR) Revenue Requirement Pursuant to Public Utilities Code Section 360.5 and Water Code Sections 80002.5 and 80110.”</w:t>
      </w:r>
    </w:p>
    <w:p>
      <w:pPr>
        <w:pStyle w:val="standard"/>
        <w:rPr/>
      </w:pPr>
      <w:r>
        <w:rPr/>
        <w:t xml:space="preserve">PG&amp;E's Motion requests that the Commission provide for expedited evidentiary hearings on the calculation, allocation, rate design and implementation of DWR’s revenue requirement and Fixed DWR Set-Aside under AB 1X and the Commission’s decisions implementing AB 1X.  PG&amp;E seeks to have these expedited hearings consolidated and held on the same schedule as the hearings scheduled to establish utility retained generation (URG) revenue requirements pursuant to the “Chief Administrative Law Judge’s Ruling,” dated June 15, 2001, in this docket.  PG&amp;E does </w:t>
      </w:r>
      <w:r>
        <w:rPr>
          <w:b/>
          <w:i/>
        </w:rPr>
        <w:t>not</w:t>
      </w:r>
      <w:r>
        <w:rPr/>
        <w:t xml:space="preserve"> request any Commission proceedings to review the reasonableness or amount of DWR’s revenue requirement, but rather on the </w:t>
      </w:r>
      <w:r>
        <w:rPr>
          <w:b/>
          <w:i/>
        </w:rPr>
        <w:t>allocation</w:t>
      </w:r>
      <w:r>
        <w:rPr/>
        <w:t xml:space="preserve"> of DWR’s revenue requirement.</w:t>
      </w:r>
    </w:p>
    <w:p>
      <w:pPr>
        <w:pStyle w:val="standard"/>
        <w:rPr/>
      </w:pPr>
      <w:r>
        <w:rPr/>
        <w:t xml:space="preserve">On May 2, 2001, the DWR sent a letter to the Commission communicating its revenue requirement for recovering power purchase costs under AB 1X.  The letter requested that the Commission “establish specific rates payable to the Department for power sold by the Department to retail end-use customers within the State.”  The letter also stated that the rates established by the Commission “should be independent of rates payable by retail end-use customers for power purchased by such customers from the utilities, and by law, must be sufficient in order for the Department to recover the revenue requirements attached hereto.”  </w:t>
      </w:r>
      <w:r>
        <w:rPr>
          <w:i/>
        </w:rPr>
        <w:t>Id.</w:t>
      </w:r>
      <w:r>
        <w:rPr/>
        <w:t xml:space="preserve">  The letter attached four revenue requirement tables which specified aggregate revenue requirements on a separate and combined basis for PG&amp;E, Southern California Edison Company (Edison) and San Diego Gas &amp; Electric Company(SDG&amp;E).  However, the letter did not provide further detailed cost information, did not describe how the revenue requirements were to be allocated pro rata among all utility customers, and did not describe how the DWR determined the allocation of its combined revenue requirement among the three utilities.</w:t>
      </w:r>
      <w:r>
        <w:rPr>
          <w:rStyle w:val="FootnoteCharacters"/>
          <w:rStyle w:val="FootnoteReference"/>
        </w:rPr>
        <w:footnoteReference w:id="2"/>
      </w:r>
      <w:r>
        <w:rPr/>
        <w:t xml:space="preserve">  The letter did offer to provide any additional information requested by the Commission in order to assist the Commission in its rate-setting function.  </w:t>
      </w:r>
      <w:r>
        <w:rPr>
          <w:i/>
        </w:rPr>
        <w:t>Id.</w:t>
      </w:r>
      <w:r>
        <w:rPr/>
        <w:t xml:space="preserve">  PG&amp;E's motion seeks to provide for the development of a record on these issues.</w:t>
      </w:r>
    </w:p>
    <w:p>
      <w:pPr>
        <w:pStyle w:val="standard"/>
        <w:rPr/>
      </w:pPr>
      <w:r>
        <w:rPr/>
        <w:t>Under the schedule contemplated in the Motion, the Commission would issue a final decision on DWR revenue requirement issues by July 26, 2001, in conjunction with consideration of the revenue requirements for utility retained generation costs.  PG&amp;E argues that its proposal would provide an opportunity for the Commission staff, the DWR, the utilities, and representatives of retail customers and power suppliers to arrive at a mutually agreeable consensus on how to allocate DWR’s revenue requirement in such a way that DWR and each utility fully recover their respective costs of service and revenue requirements.</w:t>
      </w:r>
    </w:p>
    <w:p>
      <w:pPr>
        <w:pStyle w:val="standard"/>
        <w:rPr/>
      </w:pPr>
      <w:r>
        <w:rPr/>
        <w:t>Edison, in a companion motion filed on June 19, 2001, supports PG&amp;E in its proposed procedural plan.  Edison also emphasizes that the Commission's inquiry should determine whether investor-owned utility retail rates are sufficient to cover the utility's generation and procurement costs as well as DWR's revenue requirement.  Edison argues that the Commission should decide how, when, and from which retail customers DWR's revenue requirement will be recovered.</w:t>
      </w:r>
    </w:p>
    <w:p>
      <w:pPr>
        <w:pStyle w:val="Heading1"/>
        <w:ind w:hanging="0" w:start="0"/>
        <w:rPr/>
      </w:pPr>
      <w:r>
        <w:rPr/>
        <w:t>Responses to the Motions</w:t>
      </w:r>
    </w:p>
    <w:p>
      <w:pPr>
        <w:pStyle w:val="standard"/>
        <w:rPr/>
      </w:pPr>
      <w:r>
        <w:rPr/>
        <w:t>Responses to the two motions were filed by the Commission's Office of Ratepayer Advocates (ORA), The Utility Reform Network (TURN), AGLET Consumer Alliance, California Industrial Users (CIU), and SDG&amp;E.</w:t>
      </w:r>
    </w:p>
    <w:p>
      <w:pPr>
        <w:pStyle w:val="standard"/>
        <w:rPr/>
      </w:pPr>
      <w:r>
        <w:rPr/>
        <w:t>ORA, TURN, and AGLET all oppose the procedural schedule approach proposed in the motions on the grounds that such an approach is impractical, disruptive, and unnecessary.  The parties argue that there is no realistic way to insert the DWR issues into the currently scheduled hearings within the time frames envisioned in the proposed motion.  ORA offers an alternative schedule that would provide for expedited interclass allocation and rate design principles specified in Decision 01-05-064.  CIU agrees with PG&amp;E and DWR issues should be addressed concurrently with URG issues, but opposes the accelerated schedule proposed by PG&amp;E.  CIU believes that more time should be scheduled to permit discovery and preparation of testimony.</w:t>
      </w:r>
    </w:p>
    <w:p>
      <w:pPr>
        <w:pStyle w:val="standard"/>
        <w:rPr/>
      </w:pPr>
      <w:r>
        <w:rPr/>
        <w:t>SDG&amp;E does not object to the Commission pursuing further proceedings</w:t>
      </w:r>
      <w:r>
        <w:rPr>
          <w:i/>
        </w:rPr>
        <w:t xml:space="preserve">  for PG&amp;E and Edison customers,</w:t>
      </w:r>
      <w:r>
        <w:rPr/>
        <w:t xml:space="preserve"> to determine cost allocation and rate designs for the DWR revenue requirement allocated to those utilities.  SG&amp;E argues, however, that it is unnecessary and counterproductive to combine such proceedings with the instant proceeding, wherein all three investor-owned utilities' URG revenue requirements will be determined.  SDG&amp;E has no interest in the allocation between customer classes of the other two IOUs DWR revenue requirements.  The Commission is already addressing those very issues for SDG&amp;E in Application (A.) 00-10-045/A.01-01-044.  SDG&amp;E further argues that it will be impossible to maintain the current schedule in the instant proceeding if it is expanded to include the customer allocation and rate design of PG&amp;E’s and Edison’s individual DWR revenue requirements.  Consequently, SG&amp;E believes those allocation and rate design matters should be undertaken in a separate phase in this docket, tailored specifically to the requirements of PG&amp;E, Edison and interested parties.  SDG&amp;E strongly objects to conducting a proceeding, either concurrently, separately, or in any other docket or proceeding, that is intended to review, analyze, or recalculate in any manner DWR’s revenue requirement.</w:t>
      </w:r>
    </w:p>
    <w:p>
      <w:pPr>
        <w:pStyle w:val="Heading1"/>
        <w:ind w:hanging="0" w:start="0"/>
        <w:rPr/>
      </w:pPr>
      <w:r>
        <w:rPr/>
        <w:t>Discussion</w:t>
      </w:r>
    </w:p>
    <w:p>
      <w:pPr>
        <w:pStyle w:val="standard"/>
        <w:rPr/>
      </w:pPr>
      <w:r>
        <w:rPr/>
        <w:t>We deny the motions of PG&amp;E and Edison to the extent they seek to combine DWR revenue requirement and revenue allocation issues with URG issues that have already been scheduled for hearing in this docket.  We recognize the necessity for timely resolution of DWR revenue requirement and allocation issues.  The schedule proposed by PG&amp;E, however, would result in a Commission decision on resolution of the DWR revenue allocation issues by July 26, 2001.  We agree with opposing parties that insertion of the DWR-related issues into the URG hearings would have the effect of overburdening parties and disrupting the orderly process that has been scheduled for addressing URG-related issues.</w:t>
      </w:r>
    </w:p>
    <w:p>
      <w:pPr>
        <w:pStyle w:val="standard"/>
        <w:rPr/>
      </w:pPr>
      <w:r>
        <w:rPr/>
        <w:t>Therefore, we set an alternative schedule in this ruling for separate consideration of the DWR revenue requirement allocation as it relates to PG&amp;E and Edison.  Because DWR-related issues are already being considered for SDG&amp;E in a separate docket, we do not address any DWR-related issues for SDG&amp;E in this ruling (see A.00-10-045).  The previously adopted schedule for consideration of URG issues will go forward on its own separate track.  By Chief ALJ ruling dated June 29, 2001, the prehearing conference to consider URG issues was rescheduled to July 19, 2001, and an evidentiary hearing is set to begin on July 23, 2001.</w:t>
      </w:r>
    </w:p>
    <w:p>
      <w:pPr>
        <w:pStyle w:val="standard"/>
        <w:rPr/>
      </w:pPr>
      <w:r>
        <w:rPr/>
        <w:t>In implementing AB1X’s requirement for adoption of a DWR revenue requirement and allocation of utility revenues to support that requirement, Commissioner Geoffrey F. Brown sent a letter to the Director of DWR on June 18, 2001.  That letter sought additional information to supplement the data provided in the May 2, 2001 DWR letter referenced above.  On June 26, 2001, Commissioner Brown sent a subsequent letter to the Director of DWR seeking further information relating to DWR revenue requirement and allocation issues.</w:t>
      </w:r>
    </w:p>
    <w:p>
      <w:pPr>
        <w:pStyle w:val="standard"/>
        <w:rPr/>
      </w:pPr>
      <w:r>
        <w:rPr/>
        <w:t>A response to Commissioner Brown's letters is expected shortly.  Upon receipt of the responsive information from DWR, a subsequent ruling will be issued providing an opportunity for parties to review and file written comments on the data submitted by DWR.  That ruling will also provide, as appropriate, further scheduling information pertinent to timely issuance of a Commission order adopting a DWR revenue requirement and revenue allocation for PG&amp;E and Edison.</w:t>
      </w:r>
    </w:p>
    <w:p>
      <w:pPr>
        <w:pStyle w:val="standard"/>
        <w:rPr/>
      </w:pPr>
      <w:r>
        <w:rPr/>
        <w:t>The record for the Commission order adopting a DWR revenue requirement and rate allocation for PG&amp;E and Edison will include the DWR data response and any parties’ written comments thereon as well as any other relevant record information included in this docket.</w:t>
      </w:r>
    </w:p>
    <w:p>
      <w:pPr>
        <w:pStyle w:val="standard"/>
        <w:rPr/>
      </w:pPr>
      <w:r>
        <w:rPr/>
        <w:t>Although the above-adopted process addresses DWR revenue allocation separately from URG-related revenue requirement issues for PG&amp;E and Edison, it is recognized that there may be a need to consider on an expedited basis issues related to possible utility revenue consequences, if any, that could result from allocating a portion of revenues to DWR.  The adopted process for addressing DWR issues, together with timely consideration of URG issues shortly thereafter is consistent with that goal.</w:t>
      </w:r>
    </w:p>
    <w:p>
      <w:pPr>
        <w:pStyle w:val="standard"/>
        <w:keepNext w:val="true"/>
        <w:rPr/>
      </w:pPr>
      <w:r>
        <w:rPr>
          <w:b/>
        </w:rPr>
        <w:t>IT IS RULED</w:t>
      </w:r>
      <w:r>
        <w:rPr/>
        <w:t xml:space="preserve"> that:</w:t>
      </w:r>
    </w:p>
    <w:p>
      <w:pPr>
        <w:pStyle w:val="num1"/>
        <w:numPr>
          <w:ilvl w:val="0"/>
          <w:numId w:val="2"/>
        </w:numPr>
        <w:rPr/>
      </w:pPr>
      <w:r>
        <w:rPr/>
        <w:t>The motions of PG&amp;E and Edison are denied to the extent that they seek to combine DWR revenue requirement and revenue allocation issues into the scheduled evidentiary hearings on URG-related issues.</w:t>
      </w:r>
    </w:p>
    <w:p>
      <w:pPr>
        <w:pStyle w:val="num1"/>
        <w:numPr>
          <w:ilvl w:val="0"/>
          <w:numId w:val="2"/>
        </w:numPr>
        <w:rPr/>
      </w:pPr>
      <w:r>
        <w:rPr/>
        <w:t>DWR revenue requirement and revenue allocation issues for PG&amp;E and Edison shall be considered on an expedited basis in this proceeding through written comments in response to DWR data submittals, separately from URG-related issues that have already been scheduled for hearing.</w:t>
      </w:r>
    </w:p>
    <w:p>
      <w:pPr>
        <w:pStyle w:val="num1"/>
        <w:numPr>
          <w:ilvl w:val="0"/>
          <w:numId w:val="2"/>
        </w:numPr>
        <w:rPr/>
      </w:pPr>
      <w:r>
        <w:rPr/>
        <w:t>DWR revenue requirement and revenue allocation issues for SDG&amp;E are already being addressed in a separate docket and are not addressed in this ruling.</w:t>
      </w:r>
    </w:p>
    <w:p>
      <w:pPr>
        <w:pStyle w:val="num1"/>
        <w:numPr>
          <w:ilvl w:val="0"/>
          <w:numId w:val="2"/>
        </w:numPr>
        <w:rPr/>
      </w:pPr>
      <w:r>
        <w:rPr/>
        <w:t>Upon receipt of DWR’s data submittals, a subsequent ruling shall be issued, providing parties an opportunity to comment on the DWR data, and setting a further schedule for a Commission order on DWR-related issues.</w:t>
      </w:r>
    </w:p>
    <w:p>
      <w:pPr>
        <w:pStyle w:val="num1"/>
        <w:numPr>
          <w:ilvl w:val="0"/>
          <w:numId w:val="2"/>
        </w:numPr>
        <w:rPr/>
      </w:pPr>
      <w:r>
        <w:rPr/>
        <w:t>The record for a Commission order adopting a DWR revenue requirement and revenue allocation to fund it from PG&amp;E and Edison shall be based upon DWR’s response to Commissioner Brown’s letter, parties comments thereon, and any relevant record evidence in these dockets.</w:t>
      </w:r>
    </w:p>
    <w:p>
      <w:pPr>
        <w:pStyle w:val="standard"/>
        <w:rPr/>
      </w:pPr>
      <w:r>
        <w:rPr/>
        <w:t>Dated July 12, 2001, at San Francisco, California.</w:t>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600"/>
        <w:gridCol w:w="450"/>
        <w:gridCol w:w="3960"/>
      </w:tblGrid>
      <w:tr>
        <w:trPr/>
        <w:tc>
          <w:tcPr>
            <w:tcW w:w="3600" w:type="dxa"/>
            <w:tcBorders/>
          </w:tcPr>
          <w:p>
            <w:pPr>
              <w:pStyle w:val="Normal"/>
              <w:snapToGrid w:val="false"/>
              <w:rPr/>
            </w:pPr>
            <w:r>
              <w:rPr/>
            </w:r>
          </w:p>
        </w:tc>
        <w:tc>
          <w:tcPr>
            <w:tcW w:w="450" w:type="dxa"/>
            <w:tcBorders/>
          </w:tcPr>
          <w:p>
            <w:pPr>
              <w:pStyle w:val="Normal"/>
              <w:snapToGrid w:val="false"/>
              <w:rPr/>
            </w:pPr>
            <w:r>
              <w:rPr/>
            </w:r>
          </w:p>
        </w:tc>
        <w:tc>
          <w:tcPr>
            <w:tcW w:w="3960" w:type="dxa"/>
            <w:tcBorders>
              <w:bottom w:val="single" w:sz="6" w:space="0" w:color="000000"/>
            </w:tcBorders>
          </w:tcPr>
          <w:p>
            <w:pPr>
              <w:pStyle w:val="Normal"/>
              <w:rPr/>
            </w:pPr>
            <w:r>
              <w:rPr/>
              <w:t>/s/ THOMAS R. PULSIFER</w:t>
            </w:r>
          </w:p>
        </w:tc>
      </w:tr>
      <w:tr>
        <w:trPr/>
        <w:tc>
          <w:tcPr>
            <w:tcW w:w="3600" w:type="dxa"/>
            <w:tcBorders/>
          </w:tcPr>
          <w:p>
            <w:pPr>
              <w:pStyle w:val="Normal"/>
              <w:snapToGrid w:val="false"/>
              <w:jc w:val="center"/>
              <w:rPr/>
            </w:pPr>
            <w:r>
              <w:rPr/>
            </w:r>
          </w:p>
        </w:tc>
        <w:tc>
          <w:tcPr>
            <w:tcW w:w="450" w:type="dxa"/>
            <w:tcBorders/>
          </w:tcPr>
          <w:p>
            <w:pPr>
              <w:pStyle w:val="Normal"/>
              <w:snapToGrid w:val="false"/>
              <w:rPr/>
            </w:pPr>
            <w:r>
              <w:rPr/>
            </w:r>
          </w:p>
        </w:tc>
        <w:tc>
          <w:tcPr>
            <w:tcW w:w="3960" w:type="dxa"/>
            <w:tcBorders/>
          </w:tcPr>
          <w:p>
            <w:pPr>
              <w:pStyle w:val="Normal"/>
              <w:jc w:val="center"/>
              <w:rPr/>
            </w:pPr>
            <w:r>
              <w:rPr/>
              <w:t>Thomas R. Pulsifer</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address has been provided, this day served a true copy of the original attached Administrative Law Judge’s Ruling Regarding Motions to Implement Proceedings on California Department of Water Resources Revenue Requirements on all parties of record in this proceeding or their attorneys of record.</w:t>
      </w:r>
    </w:p>
    <w:p>
      <w:pPr>
        <w:pStyle w:val="standard"/>
        <w:rPr/>
      </w:pPr>
      <w:r>
        <w:rPr/>
        <w:t>Dated July 12,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ERLINDA PULMANO</w:t>
            </w:r>
          </w:p>
        </w:tc>
      </w:tr>
      <w:tr>
        <w:trPr/>
        <w:tc>
          <w:tcPr>
            <w:tcW w:w="3420" w:type="dxa"/>
            <w:tcBorders/>
          </w:tcPr>
          <w:p>
            <w:pPr>
              <w:pStyle w:val="Normal"/>
              <w:jc w:val="center"/>
              <w:rPr/>
            </w:pPr>
            <w:r>
              <w:rPr/>
              <w:t>Erlinda Pulmano</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101299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b/>
        <w:t xml:space="preserve">The May 2, 2001, DWR letter asserted that it had determined that its revenue requirement was just and reasonable in accordance with Public Utilities Code Section 451 and Water Code Section 80110.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TRP/eap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TRP/eap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TRP/eap</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RULING.6.01</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2001-06-28T19:12:00Z</dcterms:created>
  <dc:creator>Erlinda A. Pulmano</dc:creator>
  <dc:description/>
  <dc:language>en-CA</dc:language>
  <cp:lastModifiedBy>Erlinda A. Pulmano</cp:lastModifiedBy>
  <cp:lastPrinted>2001-07-12T14:57:00Z</cp:lastPrinted>
  <dcterms:modified xsi:type="dcterms:W3CDTF">2001-07-12T19:32:00Z</dcterms:modified>
  <cp:revision>13</cp:revision>
  <dc:subject/>
  <dc:title>BEFORE THE PUBLIC UTILITIES COMMISSION OF THE STATE OF CALIFORNIA</dc:title>
</cp:coreProperties>
</file>