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hanging="0" w:end="0"/>
        <w:rPr/>
      </w:pPr>
      <w:r>
        <w:rPr/>
        <w:t>JRD/sid  3/19/2001</w:t>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Application of Southern California Edison Company (E 3338-E) for Authority to Institute a Rate Stabilization Plan with a Rate Increase and End of Rate Freeze Tariffs.</w:t>
            </w:r>
          </w:p>
          <w:p>
            <w:pPr>
              <w:pStyle w:val="Normal"/>
              <w:rPr/>
            </w:pPr>
            <w:r>
              <w:rPr/>
            </w:r>
          </w:p>
        </w:tc>
        <w:tc>
          <w:tcPr>
            <w:tcW w:w="3600"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Emergency Application of Pacific Gas and Electric Company to Adopt a Rate Stabilization Plan.                                   (U 39 E)</w:t>
            </w:r>
          </w:p>
          <w:p>
            <w:pPr>
              <w:pStyle w:val="Normal"/>
              <w:rPr/>
            </w:pPr>
            <w:r>
              <w:rPr/>
            </w:r>
          </w:p>
        </w:tc>
        <w:tc>
          <w:tcPr>
            <w:tcW w:w="3600"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Petition of THE UTILITY REFORM NETWORK for Modification of Resolution E-3527.</w:t>
            </w:r>
          </w:p>
          <w:p>
            <w:pPr>
              <w:pStyle w:val="Normal"/>
              <w:rPr/>
            </w:pPr>
            <w:r>
              <w:rPr/>
            </w:r>
          </w:p>
        </w:tc>
        <w:tc>
          <w:tcPr>
            <w:tcW w:w="3600"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rPr/>
      </w:pPr>
      <w:r>
        <w:rPr/>
      </w:r>
    </w:p>
    <w:p>
      <w:pPr>
        <w:pStyle w:val="main"/>
        <w:rPr/>
      </w:pPr>
      <w:r>
        <w:rPr/>
        <w:t>ADMINISTRATIVE LAW JUDGE’S RULING ADVISING</w:t>
      </w:r>
    </w:p>
    <w:p>
      <w:pPr>
        <w:pStyle w:val="main"/>
        <w:rPr/>
      </w:pPr>
      <w:r>
        <w:rPr/>
        <w:t>PARTIES OF CALIFORNIA DEPARTMENT OF</w:t>
      </w:r>
    </w:p>
    <w:p>
      <w:pPr>
        <w:pStyle w:val="main"/>
        <w:rPr/>
      </w:pPr>
      <w:r>
        <w:rPr/>
        <w:t>WATER RESOURCES REQUEST</w:t>
      </w:r>
    </w:p>
    <w:p>
      <w:pPr>
        <w:pStyle w:val="standard"/>
        <w:rPr/>
      </w:pPr>
      <w:r>
        <w:rPr/>
      </w:r>
    </w:p>
    <w:p>
      <w:pPr>
        <w:pStyle w:val="standard"/>
        <w:rPr/>
      </w:pPr>
      <w:r>
        <w:rPr/>
        <w:t>In a letter to the Commission dated March 14, 2001, the California Department of Water Resources (DWR) expresses its views concerning the determination of the California Procurement Adjustment (CPA).  (Copy attached.)</w:t>
      </w:r>
    </w:p>
    <w:p>
      <w:pPr>
        <w:pStyle w:val="standard"/>
        <w:rPr/>
      </w:pPr>
      <w:r>
        <w:rPr/>
        <w:t xml:space="preserve">California Water Code Section 80016 directs all state agencies to provide DWR reasonable assistance to carry out the purpose of Division 27 of the Water Code.  Implementation of Pub. Util. Code § 360.5 (CPA determination) </w:t>
        <w:br/>
        <w:t>directly affects DWR’s efforts.  Thus, I will consider DWR’s concerns in issuing a draft decision implementing an interim CPA, and in order to so, I have modified the original schedule.  I will issue a draft decision as soon as practical.  In the interim, parties may file and serve comments focused solely on DWR’s letter no later than 5:00 p.m. on Wednesday, March 21, 2001.</w:t>
      </w:r>
    </w:p>
    <w:p>
      <w:pPr>
        <w:pStyle w:val="standard"/>
        <w:rPr/>
      </w:pPr>
      <w:r>
        <w:rPr/>
        <w:t>Dated March 19,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rPr/>
            </w:pPr>
            <w:r>
              <w:rPr/>
              <w:t>/s/   JOSEPH R. DEULLOA</w:t>
            </w:r>
          </w:p>
        </w:tc>
      </w:tr>
      <w:tr>
        <w:trPr/>
        <w:tc>
          <w:tcPr>
            <w:tcW w:w="3060" w:type="dxa"/>
            <w:tcBorders/>
          </w:tcPr>
          <w:p>
            <w:pPr>
              <w:pStyle w:val="Footer"/>
              <w:tabs>
                <w:tab w:val="clear" w:pos="4320"/>
                <w:tab w:val="clear" w:pos="8640"/>
              </w:tabs>
              <w:snapToGrid w:val="false"/>
              <w:rPr/>
            </w:pPr>
            <w:r>
              <w:rPr/>
            </w:r>
          </w:p>
        </w:tc>
        <w:tc>
          <w:tcPr>
            <w:tcW w:w="990" w:type="dxa"/>
            <w:tcBorders/>
          </w:tcPr>
          <w:p>
            <w:pPr>
              <w:pStyle w:val="Normal"/>
              <w:snapToGrid w:val="false"/>
              <w:rPr/>
            </w:pPr>
            <w:r>
              <w:rPr/>
            </w:r>
          </w:p>
        </w:tc>
        <w:tc>
          <w:tcPr>
            <w:tcW w:w="3960" w:type="dxa"/>
            <w:tcBorders/>
          </w:tcPr>
          <w:p>
            <w:pPr>
              <w:pStyle w:val="Normal"/>
              <w:jc w:val="center"/>
              <w:rPr/>
            </w:pPr>
            <w:r>
              <w:rPr/>
              <w:t>Joseph R. DeUlloa</w:t>
            </w:r>
          </w:p>
          <w:p>
            <w:pPr>
              <w:pStyle w:val="Normal"/>
              <w:jc w:val="center"/>
              <w:rPr/>
            </w:pPr>
            <w:r>
              <w:rPr/>
              <w:t>Administrative Law Judge</w:t>
            </w:r>
          </w:p>
        </w:tc>
      </w:tr>
    </w:tbl>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rFonts w:ascii="PALATINO" w:hAnsi="PALATINO" w:cs="PALATINO"/>
          <w:b w:val="false"/>
        </w:rPr>
      </w:pPr>
      <w:r>
        <w:rPr>
          <w:rFonts w:cs="PALATINO" w:ascii="PALATINO" w:hAnsi="PALATINO"/>
          <w:b w:val="false"/>
        </w:rPr>
        <w:t>- 2 -</w:t>
      </w:r>
      <w:r>
        <w:br w:type="page"/>
      </w:r>
    </w:p>
    <w:p>
      <w:pPr>
        <w:pStyle w:val="main"/>
        <w:numPr>
          <w:ilvl w:val="0"/>
          <w:numId w:val="0"/>
        </w:numPr>
        <w:rPr>
          <w:rFonts w:ascii="PALATINO" w:hAnsi="PALATINO" w:cs="PALATINO"/>
          <w:b w:val="false"/>
        </w:rPr>
      </w:pPr>
      <w:r>
        <w:rPr>
          <w:rFonts w:cs="PALATINO" w:ascii="PALATINO" w:hAnsi="PALATINO"/>
          <w:b w:val="false"/>
        </w:rPr>
      </w:r>
    </w:p>
    <w:p>
      <w:pPr>
        <w:sectPr>
          <w:headerReference w:type="default" r:id="rId2"/>
          <w:headerReference w:type="first" r:id="rId3"/>
          <w:footerReference w:type="default" r:id="rId4"/>
          <w:footerReference w:type="first" r:id="rId5"/>
          <w:type w:val="nextPage"/>
          <w:pgSz w:w="12240" w:h="15840"/>
          <w:pgMar w:left="1440" w:right="1440" w:gutter="0" w:header="720" w:top="1170" w:footer="720" w:bottom="1440"/>
          <w:pgNumType w:start="1" w:fmt="decimal"/>
          <w:formProt w:val="false"/>
          <w:titlePg/>
          <w:textDirection w:val="lrTb"/>
          <w:docGrid w:type="default" w:linePitch="360" w:charSpace="0"/>
        </w:sectPr>
      </w:pPr>
    </w:p>
    <w:p>
      <w:pPr>
        <w:pStyle w:val="main"/>
        <w:rPr>
          <w:sz w:val="24"/>
        </w:rPr>
      </w:pPr>
      <w:r>
        <w:rPr>
          <w:sz w:val="24"/>
        </w:rPr>
        <w:t>ATTACHMENT</w:t>
      </w:r>
    </w:p>
    <w:p>
      <w:pPr>
        <w:pStyle w:val="main"/>
        <w:rPr>
          <w:sz w:val="24"/>
        </w:rPr>
      </w:pPr>
      <w:r>
        <w:rPr>
          <w:sz w:val="24"/>
        </w:rPr>
      </w:r>
    </w:p>
    <w:p>
      <w:pPr>
        <w:pStyle w:val="main"/>
        <w:jc w:val="start"/>
        <w:rPr>
          <w:sz w:val="32"/>
        </w:rPr>
      </w:pPr>
      <w:r>
        <w:rPr>
          <w:sz w:val="32"/>
        </w:rPr>
      </w:r>
    </w:p>
    <w:p>
      <w:pPr>
        <w:pStyle w:val="main"/>
        <w:jc w:val="start"/>
        <w:rPr>
          <w:sz w:val="32"/>
        </w:rPr>
      </w:pPr>
      <w:r>
        <w:rPr>
          <w:sz w:val="32"/>
        </w:rPr>
        <w:t>DEPARTMENT OF WATER RESOURCES (Letterhead)</w:t>
      </w:r>
    </w:p>
    <w:p>
      <w:pPr>
        <w:pStyle w:val="main"/>
        <w:jc w:val="start"/>
        <w:rPr>
          <w:sz w:val="32"/>
        </w:rPr>
      </w:pPr>
      <w:r>
        <w:rPr>
          <w:sz w:val="32"/>
        </w:rPr>
      </w:r>
    </w:p>
    <w:p>
      <w:pPr>
        <w:pStyle w:val="standard"/>
        <w:ind w:hanging="0" w:end="0"/>
        <w:rPr/>
      </w:pPr>
      <w:r>
        <w:rPr/>
        <w:t>March 14, 2001</w:t>
      </w:r>
    </w:p>
    <w:p>
      <w:pPr>
        <w:pStyle w:val="standard"/>
        <w:ind w:hanging="0" w:end="0"/>
        <w:rPr/>
      </w:pPr>
      <w:r>
        <w:rPr/>
      </w:r>
    </w:p>
    <w:p>
      <w:pPr>
        <w:pStyle w:val="standard"/>
        <w:spacing w:lineRule="auto" w:line="240"/>
        <w:ind w:hanging="0" w:end="0"/>
        <w:rPr/>
      </w:pPr>
      <w:r>
        <w:rPr/>
        <w:t>Commissioners Public Utilities Commission</w:t>
      </w:r>
    </w:p>
    <w:p>
      <w:pPr>
        <w:pStyle w:val="standard"/>
        <w:spacing w:lineRule="auto" w:line="240"/>
        <w:ind w:hanging="0" w:end="0"/>
        <w:rPr/>
      </w:pPr>
      <w:r>
        <w:rPr/>
        <w:t>505 Van Ness Avenue</w:t>
      </w:r>
    </w:p>
    <w:p>
      <w:pPr>
        <w:pStyle w:val="standard"/>
        <w:spacing w:lineRule="auto" w:line="240"/>
        <w:ind w:hanging="0" w:end="0"/>
        <w:rPr/>
      </w:pPr>
      <w:r>
        <w:rPr/>
        <w:t>San Francisco, California  94102</w:t>
      </w:r>
    </w:p>
    <w:p>
      <w:pPr>
        <w:pStyle w:val="main"/>
        <w:jc w:val="start"/>
        <w:rPr/>
      </w:pPr>
      <w:r>
        <w:rPr/>
      </w:r>
    </w:p>
    <w:p>
      <w:pPr>
        <w:pStyle w:val="standard"/>
        <w:ind w:hanging="0" w:end="0"/>
        <w:rPr/>
      </w:pPr>
      <w:r>
        <w:rPr/>
        <w:t>Dear Commissioners:</w:t>
      </w:r>
    </w:p>
    <w:p>
      <w:pPr>
        <w:pStyle w:val="standard"/>
        <w:ind w:hanging="0" w:end="0"/>
        <w:rPr/>
      </w:pPr>
      <w:r>
        <w:rPr/>
      </w:r>
    </w:p>
    <w:p>
      <w:pPr>
        <w:pStyle w:val="Normal"/>
        <w:rPr/>
      </w:pPr>
      <w:r>
        <w:rPr/>
        <w:tab/>
        <w:t>This letter is submitted by the Department of Water Resources (the “Department”) for your consideration in connection with the determination by the Commission of the “California Procurement Adjustment” mentioned below.  The Department respectfully requests that the Commission determine the California Procurement Adjustment consistent with what the Department believes to be the clear meaning of Assembly Bill No. 1 from the First Extraordinary Session (“ABX1-1”), Chapter 4, Statutes of 2001, as described below.</w:t>
      </w:r>
    </w:p>
    <w:p>
      <w:pPr>
        <w:pStyle w:val="Normal"/>
        <w:rPr/>
      </w:pPr>
      <w:r>
        <w:rPr/>
      </w:r>
    </w:p>
    <w:p>
      <w:pPr>
        <w:pStyle w:val="Normal"/>
        <w:rPr/>
      </w:pPr>
      <w:r>
        <w:rPr/>
        <w:tab/>
        <w:t>Governor Davis signed ABX1-1 on January 31, 2001.  Section 2 of ABX1-1 adds Section 360.5 to the Public Utilities Code, which reads as follows:</w:t>
      </w:r>
    </w:p>
    <w:p>
      <w:pPr>
        <w:pStyle w:val="Normal"/>
        <w:rPr/>
      </w:pPr>
      <w:r>
        <w:rPr/>
      </w:r>
    </w:p>
    <w:p>
      <w:pPr>
        <w:pStyle w:val="quote"/>
        <w:numPr>
          <w:ilvl w:val="1"/>
          <w:numId w:val="2"/>
        </w:numPr>
        <w:tabs>
          <w:tab w:val="clear" w:pos="720"/>
          <w:tab w:val="left" w:pos="1530" w:leader="none"/>
        </w:tabs>
        <w:ind w:hanging="0" w:start="720" w:end="720"/>
        <w:rPr/>
      </w:pPr>
      <w:r>
        <w:rPr/>
        <w:t>The commission shall determine that portion of each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Set-Aside.</w:t>
      </w:r>
    </w:p>
    <w:p>
      <w:pPr>
        <w:pStyle w:val="standard"/>
        <w:spacing w:lineRule="auto" w:line="240"/>
        <w:rPr/>
      </w:pPr>
      <w:r>
        <w:rPr/>
        <w:t>For compelling and practical reasons, the Commission’s determination of the California Procurement Adjustment (the “CPA”) is a critical element in the implementation of ABX1-1.  It is the initial step in establishing an important revenue source for the Department in meeting its power purchase responsibilities.  It is also important to any long-term or short-term financing by the Department.</w:t>
      </w:r>
    </w:p>
    <w:p>
      <w:pPr>
        <w:pStyle w:val="standard"/>
        <w:rPr/>
      </w:pPr>
      <w:r>
        <w:rPr/>
      </w:r>
    </w:p>
    <w:p>
      <w:pPr>
        <w:pStyle w:val="standard"/>
        <w:spacing w:lineRule="auto" w:line="240"/>
        <w:rPr/>
      </w:pPr>
      <w:r>
        <w:rPr/>
        <w:t>In their filings in this proceeding, the electrical corporations make the unwarranted assertion that, in enacting ABX1-1, the Legislature not only afforded relief to the utilities with respect to procurement of the so-called “net short,” but that the Legislature also granted them, in effect, a rate increase on the portion of the power which they continue to supply.  The clear meaning of ABX1-1 is very different.  Section 360.5 was intended to address important changes in circumstances that arose from the enactment of ABX1-1.  Through the enactment of Section 360.5, the Legislature recognized that a significant portion of the electrical corporation’s costs intended to be recovered in established generation rates were no longer being borne by the electrical corporations to the extent that the Department purchased the “net short” and that an appropriate adjustment in generation rates was therefore required.  Section 360.5 was also clearly intended to provide financial assurance to the Department for its power purchases pursuant to ABX1-1 by making available to the Department (to the extent of the Commission-determined “Fixed Department of Water Resources Set-Aside”) the portion of the rate applicable to each corporation that was intended to be applied by the corporation to pay for the “net short” being purchased by the Department.</w:t>
      </w:r>
    </w:p>
    <w:p>
      <w:pPr>
        <w:pStyle w:val="standard"/>
        <w:spacing w:lineRule="auto" w:line="240"/>
        <w:rPr/>
      </w:pPr>
      <w:r>
        <w:rPr/>
      </w:r>
    </w:p>
    <w:p>
      <w:pPr>
        <w:pStyle w:val="standard"/>
        <w:spacing w:lineRule="auto" w:line="240"/>
        <w:rPr/>
      </w:pPr>
      <w:r>
        <w:rPr/>
        <w:t>In order to address these changes in circumstances, ABX1-1 envisions that for the Department’s sale of “net short” energy to the customers of each electrical corporation, the Department will initially receive (i) a per-kWh price equal to the applicable generation-related retail rate per kilowatt-hour established for each electrical corporation as in effect on January 5, 2001 plus (ii) a Commission-determined portion of the January 5, 2001 rate for power the electrical corporation continues to sell.  Consequently, ABX1-1 provides that each electrical corporation will continue to receive—on a per-kWh basis—only (i) the components of the January 5, 2001 rate attributed at the time of original rate-making to power that the corporation will continue to sell to its retail end use customers, (</w:t>
      </w:r>
      <w:r>
        <w:rPr>
          <w:i/>
        </w:rPr>
        <w:t>i.e.</w:t>
      </w:r>
      <w:r>
        <w:rPr/>
        <w:t>, native generation, qualifying facility contracts, existing bilateral contracts and ancillary services) plus (ii) a Commission-determined portion of the January 5, 2001 rate for power the electrical corporation continues to sell, (</w:t>
      </w:r>
      <w:r>
        <w:rPr>
          <w:i/>
        </w:rPr>
        <w:t>i.e.</w:t>
      </w:r>
      <w:r>
        <w:rPr/>
        <w:t>, the portion of such rate which is not determined to be part of the Fixed Department of Water Resources Set-Aside.  Nothing in ABX1-1 suggests that the electrical corporations are to retain any revenues attributable to power furnished by the Department and to allow them to do so was certainly not the intent of ABX1-1.</w:t>
      </w:r>
    </w:p>
    <w:p>
      <w:pPr>
        <w:pStyle w:val="standard"/>
        <w:spacing w:lineRule="auto" w:line="240"/>
        <w:rPr/>
      </w:pPr>
      <w:r>
        <w:rPr/>
      </w:r>
    </w:p>
    <w:p>
      <w:pPr>
        <w:pStyle w:val="standard"/>
        <w:spacing w:lineRule="auto" w:line="240"/>
        <w:rPr/>
      </w:pPr>
      <w:r>
        <w:rPr/>
        <w:t>As Section 360.5 states, the CPA is a portion of a “retail rate effective on January 5, 2001.”  Therefore the CPA itself is a rate, to be expressed in terms of cents per kilowatt-hour (as Section 80130 of the Water Code also requires, as discussed below).  Section 360.5 calls for the following determinations and calculations with regard to each electrical corporation:</w:t>
      </w:r>
    </w:p>
    <w:p>
      <w:pPr>
        <w:pStyle w:val="standard"/>
        <w:spacing w:lineRule="auto" w:line="240"/>
        <w:rPr/>
      </w:pPr>
      <w:r>
        <w:rPr/>
      </w:r>
    </w:p>
    <w:p>
      <w:pPr>
        <w:pStyle w:val="standard"/>
        <w:spacing w:lineRule="auto" w:line="240"/>
        <w:ind w:hanging="1440" w:start="2160" w:end="0"/>
        <w:rPr/>
      </w:pPr>
      <w:r>
        <w:rPr/>
        <w:t>First:</w:t>
        <w:tab/>
        <w:t>Identify the generation related component of the corporation’s retail rate that was in effect on January 5, 2001, expressed in terms of cents per kilowatt-hour (the “Total Generation Related Rate”).</w:t>
      </w:r>
    </w:p>
    <w:p>
      <w:pPr>
        <w:pStyle w:val="standard"/>
        <w:spacing w:lineRule="auto" w:line="240"/>
        <w:rPr/>
      </w:pPr>
      <w:r>
        <w:rPr/>
      </w:r>
    </w:p>
    <w:p>
      <w:pPr>
        <w:pStyle w:val="standard"/>
        <w:spacing w:lineRule="auto" w:line="240"/>
        <w:ind w:hanging="1440" w:start="2160" w:end="0"/>
        <w:rPr/>
      </w:pPr>
      <w:r>
        <w:rPr/>
        <w:t>Second:</w:t>
        <w:tab/>
        <w:t xml:space="preserve">Determine the “sum of the costs” (also expressed as a rate, </w:t>
      </w:r>
      <w:r>
        <w:rPr>
          <w:i/>
        </w:rPr>
        <w:t>i.e.</w:t>
      </w:r>
      <w:r>
        <w:rPr/>
        <w:t>, in terms of cents per kilowatt-hour) imputed at the time of rate-making by the Commission in connection with the establishment of the January 5, 2001 rate, to the corporation’s own generation, qualifying facility contracts, existing bilateral contracts, and ancillary services (the “Utility Retained Rate”).</w:t>
      </w:r>
    </w:p>
    <w:p>
      <w:pPr>
        <w:pStyle w:val="standard"/>
        <w:rPr/>
      </w:pPr>
      <w:r>
        <w:rPr/>
      </w:r>
    </w:p>
    <w:p>
      <w:pPr>
        <w:pStyle w:val="standard"/>
        <w:spacing w:lineRule="auto" w:line="240"/>
        <w:ind w:hanging="1440" w:start="2160" w:end="0"/>
        <w:rPr/>
      </w:pPr>
      <w:r>
        <w:rPr/>
        <w:t xml:space="preserve">Third: </w:t>
        <w:tab/>
        <w:t>Determine “the difference between” the Total Generation Related Rate and the Utility Retained Rate.  That is, subtract the Utility Retained Rate from the Total Generation Related Rate to determine the CPA applicable to the electrical corporation.  (Note that, under the language of Section 360.5, since the CPA is “a portion of the Total Generation Related Rate, it cannot be negative.)</w:t>
      </w:r>
    </w:p>
    <w:p>
      <w:pPr>
        <w:pStyle w:val="standard"/>
        <w:rPr/>
      </w:pPr>
      <w:r>
        <w:rPr/>
      </w:r>
    </w:p>
    <w:p>
      <w:pPr>
        <w:pStyle w:val="standard"/>
        <w:spacing w:lineRule="auto" w:line="240"/>
        <w:rPr/>
      </w:pPr>
      <w:r>
        <w:rPr/>
        <w:t xml:space="preserve">Section 360.5 requires that each electrical corporation pay to the Department, upon receipt of payment by each of its end use customers for power sold by the electrical corporation (as opposed to power deemed sold to such user by the Department), all or a portion of an amount equal to the product of (i) the number of such kilowatt-hours purchased by the user from the electrical corporation, multiplied by (ii) the electrical corporation’s CPA.  That portion of the CPA to be paid to the Department is the Fixed Department of Water Resources Set-Aside.  Please note that the Department is </w:t>
      </w:r>
      <w:r>
        <w:rPr>
          <w:u w:val="single"/>
        </w:rPr>
        <w:t>not</w:t>
      </w:r>
      <w:r>
        <w:rPr/>
        <w:t xml:space="preserve"> requesting that the Commission determine the Fixed Department of Water Resources Set-Aside at this time.</w:t>
      </w:r>
    </w:p>
    <w:p>
      <w:pPr>
        <w:pStyle w:val="standard"/>
        <w:rPr/>
      </w:pPr>
      <w:r>
        <w:rPr/>
      </w:r>
    </w:p>
    <w:p>
      <w:pPr>
        <w:pStyle w:val="standard"/>
        <w:spacing w:lineRule="auto" w:line="240"/>
        <w:rPr/>
      </w:pPr>
      <w:r>
        <w:rPr/>
        <w:t>Following is an example which illustrates the CPA calculation methodology required by ABX1-1.  Assume that (i) a hypothetical utility delivers to its retail end use customers 100 kWh annually, half of which is power derived from the utility’s own generation, qualifying facility contracts, existing bilateral contracts, and ancillary services, and the other half of which is “net short” power.  Further assume that the hypothetical utility’s Total Generation Related Rate is 5¢ per kWh, which took into account and consisted of an imputed cost of the utility’s own generation, qualifying facility contracts, existing bilateral contracts, and ancillary services of 2¢ per kWh at the time the Total Generation Related Rate was determined and the cost of the “net short” power of 8¢ per kWh at the time the Total Generation Related Rate was determined.  (The 2¢ per kWh imputed cost of 50 kWh ($1.00) and the 8¢ per kWh imputed cost of the other 50 kWh ($4.00) result in an average blended cost of 5¢ per kWh for all 100 kWh.  In other words, the “Total Generation Related Rate” for the hypothetical utility is 5¢ per kWh.)  In the example, the difference between the 5¢ per kWh Total Generation Related Rate and the 2¢ imputed cost of the power which the utility will continue to sell from the utility’s own generation, qualifying facility contracts, existing bilateral contracts, and ancillary services equals a CPA of 3¢ per kWh.  In this example, the CPA of 3¢ per kWh would be subject to further allocation by the Commission to determine the Fixed Department of Water Resources Set-Aside.</w:t>
      </w:r>
    </w:p>
    <w:p>
      <w:pPr>
        <w:pStyle w:val="standard"/>
        <w:rPr/>
      </w:pPr>
      <w:r>
        <w:rPr/>
      </w:r>
    </w:p>
    <w:p>
      <w:pPr>
        <w:pStyle w:val="standard"/>
        <w:spacing w:lineRule="auto" w:line="240"/>
        <w:rPr/>
      </w:pPr>
      <w:r>
        <w:rPr/>
        <w:t>Confirmation that the Legislature’s intended construction of Section 360.5 is consistent with the CPA calculation methodology described above can be found in Section 80114 of the Water Code, enacted as part of ABX1-1, which provides as follows:</w:t>
      </w:r>
    </w:p>
    <w:p>
      <w:pPr>
        <w:pStyle w:val="standard"/>
        <w:rPr/>
      </w:pPr>
      <w:r>
        <w:rPr/>
      </w:r>
    </w:p>
    <w:p>
      <w:pPr>
        <w:pStyle w:val="quote"/>
        <w:rPr/>
      </w:pPr>
      <w:r>
        <w:rPr/>
        <w:t>80114.  The commission shall take those actions necessary to ensure that all, or a portion of, the component rates that are available to electrical corporations for the purchase of their net short position of electricity are used to recover the revenue requirements established pursuant to this division.</w:t>
      </w:r>
    </w:p>
    <w:p>
      <w:pPr>
        <w:pStyle w:val="standard"/>
        <w:spacing w:lineRule="auto" w:line="240"/>
        <w:rPr/>
      </w:pPr>
      <w:r>
        <w:rPr/>
        <w:t>Consistent with the language of ABX1-1, since the January 5, 2001 retail rate—and, therefore, the components of the CPA—took into account historical costs, the CPA is fixed and immutable.  It is not affected by any change in the costs of any generation resource of any electrical corporation that was not reflected in the January 5, 2001 rate at the time such rate was originally determined.  On the other hand, the calculation of the CPA, in and of itself, does not alter the right of the Department to recover any portion of its revenue requirements which is not fully recovered through the application of the portion of the CPA equal to the Fixed Department of Water Resources Set-Aside (nor does it affect any right of the Commission to allow additional cost recovery to the utilities for the portion of the power for which they remain responsible, subject, to applicable law and Commission proceedings).  Further, the calculation of the CPA does not quantify the division of the CPA as between the Department and any electrical corporation (</w:t>
      </w:r>
      <w:r>
        <w:rPr>
          <w:i/>
        </w:rPr>
        <w:t>i.e.</w:t>
      </w:r>
      <w:r>
        <w:rPr/>
        <w:t>, the determination of the Fixed Department of Water Resources Set Aside).  The Department requests that Commission effectuate that division through a later determination and requests that the Commission’s determination at this time be limited to the determination of the California Procurement Adjustment.</w:t>
      </w:r>
    </w:p>
    <w:p>
      <w:pPr>
        <w:pStyle w:val="standard"/>
        <w:rPr/>
      </w:pPr>
      <w:r>
        <w:rPr/>
      </w:r>
    </w:p>
    <w:p>
      <w:pPr>
        <w:pStyle w:val="standard"/>
        <w:spacing w:lineRule="auto" w:line="240"/>
        <w:rPr/>
      </w:pPr>
      <w:r>
        <w:rPr/>
        <w:t>ABX1-1 also enacted Division 27 (commencing with Section 80000) of the Water Code.  Division 27 established in the State Treasure the Department of Water Resources Electric Power Fund (the “Fund”) and authorized the Department to issue bonds, notes, and other evidences of indebtedness (collectively, “Bonds”) for certain limited purposes, including:</w:t>
        <w:br/>
      </w:r>
    </w:p>
    <w:p>
      <w:pPr>
        <w:pStyle w:val="standard"/>
        <w:numPr>
          <w:ilvl w:val="0"/>
          <w:numId w:val="3"/>
        </w:numPr>
        <w:tabs>
          <w:tab w:val="clear" w:pos="720"/>
          <w:tab w:val="left" w:pos="1080" w:leader="none"/>
        </w:tabs>
        <w:spacing w:lineRule="auto" w:line="240"/>
        <w:ind w:hanging="360" w:start="1080" w:end="0"/>
        <w:rPr/>
      </w:pPr>
      <w:r>
        <w:rPr/>
        <w:t>paying the costs of electric power and transmission, scheduling, and other related expenses, or to reimburse expenditures from the Fund for those purposes.</w:t>
        <w:br/>
      </w:r>
    </w:p>
    <w:p>
      <w:pPr>
        <w:pStyle w:val="standard"/>
        <w:numPr>
          <w:ilvl w:val="0"/>
          <w:numId w:val="3"/>
        </w:numPr>
        <w:tabs>
          <w:tab w:val="clear" w:pos="720"/>
          <w:tab w:val="left" w:pos="1080" w:leader="none"/>
        </w:tabs>
        <w:spacing w:lineRule="auto" w:line="240"/>
        <w:ind w:hanging="360" w:start="1080" w:end="0"/>
        <w:rPr/>
      </w:pPr>
      <w:r>
        <w:rPr/>
        <w:t>repaying to the General Fund certain advances made to the Department for the power purchase program; and</w:t>
        <w:br/>
      </w:r>
    </w:p>
    <w:p>
      <w:pPr>
        <w:pStyle w:val="standard"/>
        <w:numPr>
          <w:ilvl w:val="0"/>
          <w:numId w:val="3"/>
        </w:numPr>
        <w:tabs>
          <w:tab w:val="clear" w:pos="720"/>
          <w:tab w:val="left" w:pos="1080" w:leader="none"/>
        </w:tabs>
        <w:spacing w:lineRule="auto" w:line="240"/>
        <w:ind w:hanging="360" w:start="1080" w:end="0"/>
        <w:rPr/>
      </w:pPr>
      <w:r>
        <w:rPr/>
        <w:t>establishing or maintaining reserves in connection with the Bonds and paying certain costs incidental to the issuance, payment and security of the Bonds.</w:t>
      </w:r>
    </w:p>
    <w:p>
      <w:pPr>
        <w:pStyle w:val="standard"/>
        <w:rPr/>
      </w:pPr>
      <w:r>
        <w:rPr/>
      </w:r>
    </w:p>
    <w:p>
      <w:pPr>
        <w:pStyle w:val="standard"/>
        <w:spacing w:lineRule="auto" w:line="240"/>
        <w:rPr/>
      </w:pPr>
      <w:r>
        <w:rPr/>
        <w:t>Section 80130 of the Water Code (the “Bond Cap”), enacted as part of ABX1-1, provides in relevant part as follows (emphasis added):</w:t>
      </w:r>
    </w:p>
    <w:p>
      <w:pPr>
        <w:pStyle w:val="standard"/>
        <w:spacing w:lineRule="auto" w:line="240"/>
        <w:rPr/>
      </w:pPr>
      <w:r>
        <w:rPr/>
      </w:r>
    </w:p>
    <w:p>
      <w:pPr>
        <w:pStyle w:val="quote"/>
        <w:rPr/>
      </w:pPr>
      <w:r>
        <w:rPr/>
        <w:t>In no event shall the [D]epartment authorize the issuance of bonds … in an aggregate amount greater than the amount calculated by multiplying by a factor of four the annual revenues generated by the California Procurement Adjustment, as determined by the [C]ommission pursuant to Section 360.5.</w:t>
      </w:r>
    </w:p>
    <w:p>
      <w:pPr>
        <w:pStyle w:val="standard"/>
        <w:spacing w:lineRule="auto" w:line="240"/>
        <w:rPr/>
      </w:pPr>
      <w:r>
        <w:rPr/>
        <w:t>During the Legislature’s consideration of ABX1-1, the bill’s author communicated to the Legislature his expectation that the amount of the Bond Cap that would result from the application of Section 80130 would approximate $10 billion.  Many Legislators cited the $10 billion figure during the floor debate of ABX1-1.  The phrase “generated by” – used in Section 80130—is further evidence that the CPA is a rate to be expressed in terms of cents per kilowatt-hour and not a dollar amount of revenues.  Consistent with Section 80130 of ABX1-1, the Department will determine the Bond Cap by calculating the dollar amount of the annual revenues which would be generated by the applicable CPA (as determined by the Commission) in each electrical corporation’s service area, adding such dollar amounts and multiplying the resulting sum by four.</w:t>
      </w:r>
    </w:p>
    <w:p>
      <w:pPr>
        <w:pStyle w:val="standard"/>
        <w:rPr/>
      </w:pPr>
      <w:r>
        <w:rPr/>
      </w:r>
    </w:p>
    <w:p>
      <w:pPr>
        <w:pStyle w:val="standard"/>
        <w:spacing w:lineRule="auto" w:line="240"/>
        <w:rPr/>
      </w:pPr>
      <w:r>
        <w:rPr/>
        <w:t>The Department requests that the Commission (i) determine, as part of an order, the CPA of each electrical corporation pursuant to Section 360.5 and in accordance with the methodology discussed above, and (ii) acknowledge that the Department may rely upon such determination for the purposes of Section 80130 of the Water Code.</w:t>
      </w:r>
    </w:p>
    <w:p>
      <w:pPr>
        <w:pStyle w:val="standard"/>
        <w:rPr/>
      </w:pPr>
      <w:r>
        <w:rPr/>
      </w:r>
    </w:p>
    <w:p>
      <w:pPr>
        <w:pStyle w:val="standard"/>
        <w:spacing w:lineRule="auto" w:line="240"/>
        <w:rPr/>
      </w:pPr>
      <w:r>
        <w:rPr/>
        <w:t>In addition, we request that the order provide that, upon its acceptance by the Department in writing, the order will constitute an agreement between the Department and the Commission within the meaning of Section 80110 of the Water Code and that, pursuant to Section 80110, the order will have the full force and effect of a financing order.</w:t>
      </w:r>
    </w:p>
    <w:p>
      <w:pPr>
        <w:pStyle w:val="standard"/>
        <w:rPr/>
      </w:pPr>
      <w:r>
        <w:rPr/>
      </w:r>
      <w:r>
        <w:br w:type="page"/>
      </w:r>
    </w:p>
    <w:p>
      <w:pPr>
        <w:pStyle w:val="standard"/>
        <w:spacing w:lineRule="auto" w:line="240"/>
        <w:rPr/>
      </w:pPr>
      <w:r>
        <w:rPr/>
        <w:t>Thank you for your assistance and attention to this important matter.  We will be submitting additional information and requests to the Commission relating to the Department’s power purchase program and financing plans and appreciate your continuing cooperation.</w:t>
      </w:r>
    </w:p>
    <w:p>
      <w:pPr>
        <w:pStyle w:val="standard"/>
        <w:rPr/>
      </w:pPr>
      <w:r>
        <w:rPr/>
      </w:r>
    </w:p>
    <w:p>
      <w:pPr>
        <w:pStyle w:val="standard"/>
        <w:ind w:hanging="0" w:end="0"/>
        <w:rPr/>
      </w:pPr>
      <w:r>
        <w:rPr/>
        <w:t>Sincerely,</w:t>
      </w:r>
    </w:p>
    <w:p>
      <w:pPr>
        <w:pStyle w:val="standard"/>
        <w:rPr/>
      </w:pPr>
      <w:r>
        <w:rPr/>
      </w:r>
    </w:p>
    <w:p>
      <w:pPr>
        <w:pStyle w:val="standard"/>
        <w:ind w:hanging="0" w:end="0"/>
        <w:rPr/>
      </w:pPr>
      <w:r>
        <w:rPr/>
        <w:t>/s/  THOMAS M. HANNIGAN</w:t>
      </w:r>
    </w:p>
    <w:p>
      <w:pPr>
        <w:pStyle w:val="standard"/>
        <w:spacing w:lineRule="auto" w:line="240"/>
        <w:ind w:hanging="0" w:end="0"/>
        <w:rPr/>
      </w:pPr>
      <w:r>
        <w:rPr/>
        <w:t>Thomas M. Hannigan</w:t>
      </w:r>
    </w:p>
    <w:p>
      <w:pPr>
        <w:pStyle w:val="standard"/>
        <w:spacing w:lineRule="auto" w:line="240"/>
        <w:ind w:hanging="0" w:end="0"/>
        <w:rPr/>
      </w:pPr>
      <w:r>
        <w:rPr/>
        <w:t>Director</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jc w:val="center"/>
        <w:rPr>
          <w:b/>
        </w:rPr>
      </w:pPr>
      <w:r>
        <w:rPr>
          <w:b/>
        </w:rPr>
        <w:t>(END OF ATTACHMENT)</w:t>
      </w:r>
    </w:p>
    <w:p>
      <w:pPr>
        <w:sectPr>
          <w:type w:val="continuous"/>
          <w:pgSz w:w="12240" w:h="15840"/>
          <w:pgMar w:left="1440" w:right="1440" w:gutter="0" w:header="720" w:top="1170" w:footer="720" w:bottom="1440"/>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Administrative Law Judge’s Ruling Advising Parties of California Department of Water Resources Request on all parties of record in this proceeding or their attorneys of record.</w:t>
      </w:r>
    </w:p>
    <w:p>
      <w:pPr>
        <w:pStyle w:val="standard"/>
        <w:rPr/>
      </w:pPr>
      <w:r>
        <w:rPr/>
        <w:t>Dated March 19, 2001, at San Francisco, California.</w:t>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rFonts w:eastAsia="PALATINO"/>
              </w:rPr>
              <w:t xml:space="preserve">   </w:t>
            </w:r>
            <w:r>
              <w:rPr/>
              <w:t>/s/  FANNIE SID</w:t>
            </w:r>
          </w:p>
        </w:tc>
      </w:tr>
      <w:tr>
        <w:trPr/>
        <w:tc>
          <w:tcPr>
            <w:tcW w:w="3420" w:type="dxa"/>
            <w:tcBorders/>
          </w:tcPr>
          <w:p>
            <w:pPr>
              <w:pStyle w:val="Normal"/>
              <w:jc w:val="center"/>
              <w:rPr/>
            </w:pPr>
            <w:r>
              <w:rPr/>
              <w:t>Fannie Sid</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sectPr>
      <w:headerReference w:type="default" r:id="rId6"/>
      <w:headerReference w:type="first" r:id="rId7"/>
      <w:footerReference w:type="default" r:id="rId8"/>
      <w:footerReference w:type="first" r:id="rId9"/>
      <w:type w:val="nextPage"/>
      <w:pgSz w:w="12240" w:h="15840"/>
      <w:pgMar w:left="1440" w:right="1440" w:gutter="0" w:header="720" w:top="99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93188</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JRD/sid</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60"/>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3"/>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2z0">
    <w:name w:val="WW8Num2z0"/>
    <w:qFormat/>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2001-03-20T19:12:00Z</dcterms:created>
  <dc:creator>Fannie Sid</dc:creator>
  <dc:description/>
  <dc:language>en-CA</dc:language>
  <cp:lastModifiedBy>Fannie Sid</cp:lastModifiedBy>
  <cp:lastPrinted>2001-03-20T15:35:00Z</cp:lastPrinted>
  <dcterms:modified xsi:type="dcterms:W3CDTF">2001-03-20T21:06:00Z</dcterms:modified>
  <cp:revision>12</cp:revision>
  <dc:subject/>
  <dc:title>BEFORE THE PUBLIC UTILITIES COMMISSION OF THE STATE OF CALIFORNIA</dc:title>
</cp:coreProperties>
</file>