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end="0"/>
        <w:rPr/>
      </w:pPr>
      <w:r>
        <w:rPr/>
        <w:t>ALJ/TIM/tcg</w:t>
      </w:r>
      <w:r>
        <w:rPr>
          <w:rFonts w:cs="Helvetica;Arial" w:ascii="Helvetica;Arial" w:hAnsi="Helvetica;Arial"/>
          <w:b/>
          <w:sz w:val="36"/>
        </w:rPr>
        <w:tab/>
        <w:tab/>
        <w:tab/>
        <w:tab/>
        <w:t>Draft</w:t>
        <w:tab/>
        <w:tab/>
        <w:tab/>
        <w:tab/>
        <w:tab/>
      </w:r>
      <w:r>
        <w:rPr>
          <w:b/>
        </w:rPr>
        <w:t>H-5</w:t>
      </w:r>
    </w:p>
    <w:p>
      <w:pPr>
        <w:pStyle w:val="standard"/>
        <w:spacing w:lineRule="auto" w:line="240"/>
        <w:ind w:hanging="0" w:end="0"/>
        <w:rPr>
          <w:b/>
        </w:rPr>
      </w:pPr>
      <w:r>
        <w:rPr>
          <w:b/>
        </w:rPr>
        <w:tab/>
        <w:tab/>
        <w:tab/>
        <w:tab/>
        <w:tab/>
        <w:tab/>
        <w:tab/>
        <w:tab/>
        <w:tab/>
        <w:tab/>
        <w:tab/>
        <w:tab/>
        <w:t>9/6/01</w:t>
      </w:r>
    </w:p>
    <w:p>
      <w:pPr>
        <w:pStyle w:val="standard"/>
        <w:spacing w:lineRule="auto" w:line="240"/>
        <w:ind w:hanging="0" w:end="0"/>
        <w:rPr>
          <w:rFonts w:ascii="Helvetica;Arial" w:hAnsi="Helvetica;Arial" w:cs="Helvetica;Arial"/>
          <w:b/>
        </w:rPr>
      </w:pPr>
      <w:r>
        <w:rPr>
          <w:rFonts w:cs="Helvetica;Arial" w:ascii="Helvetica;Arial" w:hAnsi="Helvetica;Arial"/>
          <w:b/>
        </w:rPr>
      </w:r>
    </w:p>
    <w:p>
      <w:pPr>
        <w:pStyle w:val="standard"/>
        <w:spacing w:lineRule="auto" w:line="240"/>
        <w:ind w:hanging="1080" w:start="1080" w:end="0"/>
        <w:rPr/>
      </w:pPr>
      <w:r>
        <w:rPr/>
        <w:t xml:space="preserve">Decision </w:t>
      </w:r>
      <w:r>
        <w:rPr>
          <w:b/>
          <w:bCs/>
          <w:u w:val="single"/>
        </w:rPr>
        <w:t>DRAFT DECISION OF ALJ KENNY</w:t>
      </w:r>
      <w:r>
        <w:rPr/>
        <w:t xml:space="preserve">  (Mailed 8/28/2001)</w:t>
      </w:r>
    </w:p>
    <w:p>
      <w:pPr>
        <w:pStyle w:val="titlebar"/>
        <w:widowControl/>
        <w:rPr>
          <w:rFonts w:ascii="Palatino;Book Antiqua" w:hAnsi="Palatino;Book Antiqua" w:cs="Palatino;Book Antiqua"/>
          <w:sz w:val="21"/>
        </w:rPr>
      </w:pPr>
      <w:r>
        <w:rPr>
          <w:rFonts w:cs="Palatino;Book Antiqua" w:ascii="Palatino;Book Antiqua" w:hAnsi="Palatino;Book Antiqua"/>
          <w:sz w:val="21"/>
        </w:rPr>
      </w:r>
    </w:p>
    <w:p>
      <w:pPr>
        <w:pStyle w:val="Normal"/>
        <w:widowControl/>
        <w:jc w:val="center"/>
        <w:rPr>
          <w:rFonts w:ascii="Palatino;Book Antiqua" w:hAnsi="Palatino;Book Antiqua" w:cs="Palatino;Book Antiqua"/>
          <w:b/>
          <w:sz w:val="22"/>
        </w:rPr>
      </w:pPr>
      <w:r>
        <w:rPr>
          <w:rFonts w:cs="Palatino;Book Antiqua" w:ascii="Palatino;Book Antiqua" w:hAnsi="Palatino;Book Antiqua"/>
          <w:b/>
          <w:sz w:val="22"/>
        </w:rPr>
        <w:t>BEFORE THE PUBLIC UTILITIES COMMISSION OF THE STATE OF CALIFORNIA</w:t>
      </w:r>
    </w:p>
    <w:p>
      <w:pPr>
        <w:pStyle w:val="Normal"/>
        <w:widowControl/>
        <w:rPr>
          <w:rFonts w:ascii="Palatino;Book Antiqua" w:hAnsi="Palatino;Book Antiqua" w:cs="Palatino;Book Antiqua"/>
          <w:b/>
          <w:sz w:val="24"/>
        </w:rPr>
      </w:pPr>
      <w:r>
        <w:rPr>
          <w:rFonts w:cs="Palatino;Book Antiqua" w:ascii="Palatino;Book Antiqua" w:hAnsi="Palatino;Book Antiqua"/>
          <w:b/>
          <w:sz w:val="24"/>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rFonts w:ascii="Palatino;Book Antiqua" w:hAnsi="Palatino;Book Antiqua" w:cs="Palatino;Book Antiqua"/>
                <w:sz w:val="26"/>
              </w:rPr>
            </w:pPr>
            <w:r>
              <w:rPr>
                <w:rFonts w:cs="Palatino;Book Antiqua" w:ascii="Palatino;Book Antiqua" w:hAnsi="Palatino;Book Antiqua"/>
                <w:sz w:val="26"/>
              </w:rPr>
            </w:r>
          </w:p>
          <w:p>
            <w:pPr>
              <w:pStyle w:val="Normal"/>
              <w:widowContro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Application of Southern California Edison Company (E 3338-E) for Authority to Institute a Rate Stabilization Plan with a Rate Increase and End of Rate Freeze Tariffs.</w:t>
            </w:r>
          </w:p>
          <w:p>
            <w:pPr>
              <w:pStyle w:val="Normal"/>
              <w:widowContro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r>
          </w:p>
        </w:tc>
        <w:tc>
          <w:tcPr>
            <w:tcW w:w="3240" w:type="dxa"/>
            <w:tcBorders/>
          </w:tcPr>
          <w:p>
            <w:pPr>
              <w:pStyle w:val="Normal"/>
              <w:widowContro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Application 00-11-038</w:t>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rFonts w:ascii="Palatino;Book Antiqua" w:hAnsi="Palatino;Book Antiqua" w:cs="Palatino;Book Antiqua"/>
                <w:sz w:val="26"/>
              </w:rPr>
            </w:pPr>
            <w:r>
              <w:rPr>
                <w:rFonts w:cs="Palatino;Book Antiqua" w:ascii="Palatino;Book Antiqua" w:hAnsi="Palatino;Book Antiqua"/>
                <w:sz w:val="26"/>
              </w:rPr>
            </w:r>
          </w:p>
          <w:p>
            <w:pPr>
              <w:pStyle w:val="Normal"/>
              <w:widowContro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Emergency Application of Pacific Gas and Electric Company to Adopt a Rate Stabilization Plan.</w:t>
              <w:tab/>
              <w:tab/>
              <w:t>(U 39 E)</w:t>
            </w:r>
          </w:p>
          <w:p>
            <w:pPr>
              <w:pStyle w:val="Normal"/>
              <w:widowContro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r>
          </w:p>
        </w:tc>
        <w:tc>
          <w:tcPr>
            <w:tcW w:w="3240" w:type="dxa"/>
            <w:tcBorders/>
          </w:tcPr>
          <w:p>
            <w:pPr>
              <w:pStyle w:val="Normal"/>
              <w:widowContro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Application 00-11-056</w:t>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rFonts w:ascii="Palatino;Book Antiqua" w:hAnsi="Palatino;Book Antiqua" w:cs="Palatino;Book Antiqua"/>
                <w:sz w:val="26"/>
              </w:rPr>
            </w:pPr>
            <w:r>
              <w:rPr>
                <w:rFonts w:cs="Palatino;Book Antiqua" w:ascii="Palatino;Book Antiqua" w:hAnsi="Palatino;Book Antiqua"/>
                <w:sz w:val="26"/>
              </w:rPr>
            </w:r>
          </w:p>
          <w:p>
            <w:pPr>
              <w:pStyle w:val="Normal"/>
              <w:widowControl/>
              <w:tabs>
                <w:tab w:val="clear" w:pos="720"/>
                <w:tab w:val="left" w:pos="2160" w:leader="none"/>
                <w:tab w:val="left" w:pos="3600" w:leader="none"/>
              </w:tabs>
              <w:rPr>
                <w:rFonts w:ascii="Palatino;Book Antiqua" w:hAnsi="Palatino;Book Antiqua" w:cs="Palatino;Book Antiqua"/>
                <w:sz w:val="26"/>
              </w:rPr>
            </w:pPr>
            <w:r>
              <w:rPr>
                <w:rFonts w:cs="Palatino;Book Antiqua" w:ascii="Palatino;Book Antiqua" w:hAnsi="Palatino;Book Antiqua"/>
                <w:sz w:val="26"/>
              </w:rPr>
              <w:t>Petition of THE UTILITY REFORM NETWORK for Modification of Resolution E-3527.</w:t>
            </w:r>
          </w:p>
          <w:p>
            <w:pPr>
              <w:pStyle w:val="Normal"/>
              <w:widowControl/>
              <w:rPr>
                <w:rFonts w:ascii="Palatino;Book Antiqua" w:hAnsi="Palatino;Book Antiqua" w:cs="Palatino;Book Antiqua"/>
                <w:sz w:val="26"/>
              </w:rPr>
            </w:pPr>
            <w:r>
              <w:rPr>
                <w:rFonts w:cs="Palatino;Book Antiqua" w:ascii="Palatino;Book Antiqua" w:hAnsi="Palatino;Book Antiqua"/>
                <w:sz w:val="26"/>
              </w:rPr>
            </w:r>
          </w:p>
        </w:tc>
        <w:tc>
          <w:tcPr>
            <w:tcW w:w="3240" w:type="dxa"/>
            <w:tcBorders/>
          </w:tcPr>
          <w:p>
            <w:pPr>
              <w:pStyle w:val="Normal"/>
              <w:widowControl/>
              <w:snapToGrid w:val="false"/>
              <w:jc w:val="center"/>
              <w:rPr>
                <w:rFonts w:ascii="Palatino;Book Antiqua" w:hAnsi="Palatino;Book Antiqua" w:cs="Palatino;Book Antiqua"/>
                <w:sz w:val="26"/>
              </w:rPr>
            </w:pPr>
            <w:r>
              <w:rPr>
                <w:rFonts w:cs="Palatino;Book Antiqua" w:ascii="Palatino;Book Antiqua" w:hAnsi="Palatino;Book Antiqua"/>
                <w:sz w:val="26"/>
              </w:rPr>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Application 00-10-028</w:t>
            </w:r>
          </w:p>
          <w:p>
            <w:pPr>
              <w:pStyle w:val="Normal"/>
              <w:widowControl/>
              <w:jc w:val="center"/>
              <w:rPr>
                <w:rFonts w:ascii="Palatino;Book Antiqua" w:hAnsi="Palatino;Book Antiqua" w:cs="Palatino;Book Antiqua"/>
                <w:sz w:val="26"/>
              </w:rPr>
            </w:pPr>
            <w:r>
              <w:rPr>
                <w:rFonts w:cs="Palatino;Book Antiqua" w:ascii="Palatino;Book Antiqua" w:hAnsi="Palatino;Book Antiqua"/>
                <w:sz w:val="26"/>
              </w:rPr>
              <w:t>(Filed October 17, 2000)</w:t>
            </w:r>
          </w:p>
        </w:tc>
      </w:tr>
    </w:tbl>
    <w:p>
      <w:pPr>
        <w:pStyle w:val="titlebar"/>
        <w:widowControl/>
        <w:rPr/>
      </w:pPr>
      <w:r>
        <w:rPr/>
      </w:r>
    </w:p>
    <w:p>
      <w:pPr>
        <w:pStyle w:val="main"/>
        <w:widowControl/>
        <w:spacing w:before="0" w:after="120"/>
        <w:rPr/>
      </w:pPr>
      <w:r>
        <w:rPr/>
      </w:r>
    </w:p>
    <w:p>
      <w:pPr>
        <w:pStyle w:val="main"/>
        <w:widowControl/>
        <w:spacing w:before="0" w:after="120"/>
        <w:rPr/>
      </w:pPr>
      <w:r>
        <w:rPr/>
      </w:r>
    </w:p>
    <w:p>
      <w:pPr>
        <w:pStyle w:val="main"/>
        <w:widowControl/>
        <w:spacing w:before="0" w:after="120"/>
        <w:ind w:start="720" w:end="720"/>
        <w:rPr/>
      </w:pPr>
      <w:r>
        <w:rPr>
          <w:rFonts w:eastAsia="Helvetica;Arial"/>
        </w:rPr>
        <w:t xml:space="preserve"> </w:t>
      </w:r>
      <w:r>
        <w:rPr/>
        <w:t>OPINION ADOPTING RATE AGREEMENT BETWEEN THE COMMISSION AND THE CALIFORNIA DEPARTMENT OF WATER RESOURCES</w:t>
      </w:r>
    </w:p>
    <w:p>
      <w:pPr>
        <w:pStyle w:val="titlebar"/>
        <w:widowControl/>
        <w:rPr/>
      </w:pPr>
      <w:r>
        <w:rPr/>
      </w:r>
    </w:p>
    <w:p>
      <w:pPr>
        <w:pStyle w:val="titlebar"/>
        <w:widowControl/>
        <w:rPr/>
      </w:pPr>
      <w:r>
        <w:rPr/>
      </w:r>
    </w:p>
    <w:p>
      <w:pPr>
        <w:pStyle w:val="titlebar"/>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pStyle w:val="titlebar"/>
        <w:widowControl/>
        <w:rPr/>
      </w:pPr>
      <w:r>
        <w:rPr/>
      </w:r>
    </w:p>
    <w:p>
      <w:pPr>
        <w:pStyle w:val="standard"/>
        <w:rPr>
          <w:b/>
          <w:bCs/>
        </w:rPr>
      </w:pPr>
      <w:r>
        <w:rPr>
          <w:b/>
          <w:bCs/>
        </w:rPr>
      </w:r>
    </w:p>
    <w:p>
      <w:pPr>
        <w:pStyle w:val="standard"/>
        <w:jc w:val="center"/>
        <w:rPr>
          <w:b/>
          <w:bCs/>
        </w:rPr>
      </w:pPr>
      <w:r>
        <w:rPr>
          <w:b/>
          <w:bCs/>
        </w:rPr>
        <w:t>TABLE OF CONTENTS</w:t>
      </w:r>
    </w:p>
    <w:p>
      <w:pPr>
        <w:pStyle w:val="standard"/>
        <w:rPr>
          <w:b/>
          <w:bCs/>
        </w:rPr>
      </w:pPr>
      <w:r>
        <w:rPr>
          <w:b/>
          <w:bCs/>
        </w:rPr>
      </w:r>
    </w:p>
    <w:p>
      <w:pPr>
        <w:pStyle w:val="standard"/>
        <w:rPr>
          <w:b/>
          <w:bCs/>
        </w:rPr>
      </w:pPr>
      <w:r>
        <w:rPr>
          <w:b/>
          <w:bCs/>
        </w:rPr>
        <w:t>Title</w:t>
        <w:tab/>
        <w:tab/>
        <w:tab/>
        <w:tab/>
        <w:tab/>
        <w:tab/>
        <w:tab/>
        <w:tab/>
        <w:tab/>
        <w:tab/>
        <w:tab/>
        <w:t xml:space="preserve">Page </w:t>
      </w:r>
    </w:p>
    <w:p>
      <w:pPr>
        <w:pStyle w:val="TOC1"/>
        <w:tabs>
          <w:tab w:val="left" w:pos="600" w:leader="none"/>
          <w:tab w:val="left" w:pos="630" w:leader="none"/>
          <w:tab w:val="left" w:pos="990" w:leader="none"/>
          <w:tab w:val="right" w:pos="9000" w:leader="dot"/>
        </w:tabs>
        <w:rPr>
          <w:rFonts w:eastAsia="Palatino;Book Antiqua"/>
        </w:rPr>
      </w:pPr>
      <w:r>
        <w:rPr>
          <w:rFonts w:eastAsia="Palatino;Book Antiqua"/>
        </w:rPr>
        <w:t xml:space="preserve">    </w:t>
      </w:r>
    </w:p>
    <w:sdt>
      <w:sdtPr>
        <w:docPartObj>
          <w:docPartGallery w:val="Table of Contents"/>
          <w:docPartUnique w:val="true"/>
        </w:docPartObj>
      </w:sdtPr>
      <w:sdtContent>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fldChar w:fldCharType="begin"/>
          </w:r>
          <w:r>
            <w:rPr>
              <w:rStyle w:val="IndexLink"/>
              <w:szCs w:val="26"/>
            </w:rPr>
            <w:instrText xml:space="preserve"> TOC \o "1-3" \h \z \t "dummy,1" </w:instrText>
          </w:r>
          <w:r>
            <w:rPr>
              <w:rStyle w:val="IndexLink"/>
              <w:szCs w:val="26"/>
            </w:rPr>
            <w:fldChar w:fldCharType="separate"/>
          </w:r>
          <w:hyperlink w:anchor="__RefHeading___Toc523530383">
            <w:r>
              <w:rPr>
                <w:rStyle w:val="IndexLink"/>
                <w:szCs w:val="26"/>
              </w:rPr>
              <w:t>I.</w:t>
            </w:r>
            <w:r>
              <w:rPr>
                <w:rStyle w:val="IndexLink"/>
                <w:rFonts w:cs="Times New Roman" w:ascii="Times New Roman" w:hAnsi="Times New Roman"/>
                <w:sz w:val="24"/>
                <w:szCs w:val="24"/>
              </w:rPr>
              <w:tab/>
            </w:r>
            <w:r>
              <w:rPr>
                <w:rStyle w:val="IndexLink"/>
                <w:szCs w:val="26"/>
              </w:rPr>
              <w:t>Summary</w:t>
            </w:r>
            <w:r>
              <w:rPr>
                <w:rStyle w:val="IndexLink"/>
              </w:rPr>
              <w:tab/>
              <w:t>2</w:t>
            </w:r>
          </w:hyperlink>
        </w:p>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rPr>
              <w:rFonts w:eastAsia="Palatino;Book Antiqua"/>
              <w:u w:val="none"/>
            </w:rPr>
            <w:t xml:space="preserve">    </w:t>
          </w:r>
          <w:hyperlink w:anchor="__RefHeading___Toc523530384">
            <w:r>
              <w:rPr>
                <w:rStyle w:val="IndexLink"/>
                <w:szCs w:val="26"/>
              </w:rPr>
              <w:t>II.</w:t>
            </w:r>
            <w:r>
              <w:rPr>
                <w:rStyle w:val="IndexLink"/>
                <w:rFonts w:cs="Times New Roman" w:ascii="Times New Roman" w:hAnsi="Times New Roman"/>
                <w:sz w:val="24"/>
                <w:szCs w:val="24"/>
              </w:rPr>
              <w:tab/>
            </w:r>
            <w:r>
              <w:rPr>
                <w:rStyle w:val="IndexLink"/>
                <w:szCs w:val="26"/>
              </w:rPr>
              <w:t>Background</w:t>
            </w:r>
            <w:r>
              <w:rPr>
                <w:rStyle w:val="IndexLink"/>
              </w:rPr>
              <w:tab/>
              <w:t>3</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85">
            <w:r>
              <w:rPr>
                <w:rStyle w:val="IndexLink"/>
                <w:szCs w:val="26"/>
              </w:rPr>
              <w:t>A.</w:t>
            </w:r>
            <w:r>
              <w:rPr>
                <w:rStyle w:val="IndexLink"/>
                <w:rFonts w:cs="Times New Roman" w:ascii="Times New Roman" w:hAnsi="Times New Roman"/>
                <w:sz w:val="24"/>
                <w:szCs w:val="24"/>
              </w:rPr>
              <w:tab/>
            </w:r>
            <w:r>
              <w:rPr>
                <w:rStyle w:val="IndexLink"/>
                <w:szCs w:val="26"/>
              </w:rPr>
              <w:t>The Statutory Scheme</w:t>
            </w:r>
            <w:r>
              <w:rPr>
                <w:rStyle w:val="IndexLink"/>
              </w:rPr>
              <w:tab/>
              <w:t>3</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86">
            <w:r>
              <w:rPr>
                <w:rStyle w:val="IndexLink"/>
                <w:szCs w:val="26"/>
              </w:rPr>
              <w:t>B.</w:t>
            </w:r>
            <w:r>
              <w:rPr>
                <w:rStyle w:val="IndexLink"/>
                <w:rFonts w:cs="Times New Roman" w:ascii="Times New Roman" w:hAnsi="Times New Roman"/>
                <w:sz w:val="24"/>
                <w:szCs w:val="24"/>
              </w:rPr>
              <w:tab/>
            </w:r>
            <w:r>
              <w:rPr>
                <w:rStyle w:val="IndexLink"/>
                <w:szCs w:val="26"/>
              </w:rPr>
              <w:t>The Bond Structure</w:t>
            </w:r>
            <w:r>
              <w:rPr>
                <w:rStyle w:val="IndexLink"/>
              </w:rPr>
              <w:tab/>
              <w:t>6</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87">
            <w:r>
              <w:rPr>
                <w:rStyle w:val="IndexLink"/>
                <w:szCs w:val="26"/>
              </w:rPr>
              <w:t>C.</w:t>
            </w:r>
            <w:r>
              <w:rPr>
                <w:rStyle w:val="IndexLink"/>
                <w:rFonts w:cs="Times New Roman" w:ascii="Times New Roman" w:hAnsi="Times New Roman"/>
                <w:sz w:val="24"/>
                <w:szCs w:val="24"/>
              </w:rPr>
              <w:tab/>
            </w:r>
            <w:r>
              <w:rPr>
                <w:rStyle w:val="IndexLink"/>
                <w:szCs w:val="26"/>
              </w:rPr>
              <w:t>DWR’s Role, the Commission’s Role and the Rate Agreement</w:t>
            </w:r>
            <w:r>
              <w:rPr>
                <w:rStyle w:val="IndexLink"/>
              </w:rPr>
              <w:tab/>
              <w:t>8</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88">
            <w:r>
              <w:rPr>
                <w:rStyle w:val="IndexLink"/>
                <w:szCs w:val="26"/>
              </w:rPr>
              <w:t>D.</w:t>
            </w:r>
            <w:r>
              <w:rPr>
                <w:rStyle w:val="IndexLink"/>
                <w:rFonts w:cs="Times New Roman" w:ascii="Times New Roman" w:hAnsi="Times New Roman"/>
                <w:sz w:val="24"/>
                <w:szCs w:val="24"/>
              </w:rPr>
              <w:tab/>
            </w:r>
            <w:r>
              <w:rPr>
                <w:rStyle w:val="IndexLink"/>
                <w:szCs w:val="26"/>
              </w:rPr>
              <w:t>Developments Subsequent to AB 1X</w:t>
            </w:r>
            <w:r>
              <w:rPr>
                <w:rStyle w:val="IndexLink"/>
              </w:rPr>
              <w:tab/>
              <w:t>9</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89">
            <w:r>
              <w:rPr>
                <w:rStyle w:val="IndexLink"/>
                <w:szCs w:val="26"/>
              </w:rPr>
              <w:t>E.</w:t>
            </w:r>
            <w:r>
              <w:rPr>
                <w:rStyle w:val="IndexLink"/>
                <w:rFonts w:cs="Times New Roman" w:ascii="Times New Roman" w:hAnsi="Times New Roman"/>
                <w:sz w:val="24"/>
                <w:szCs w:val="24"/>
              </w:rPr>
              <w:tab/>
            </w:r>
            <w:r>
              <w:rPr>
                <w:rStyle w:val="IndexLink"/>
                <w:szCs w:val="26"/>
              </w:rPr>
              <w:t>Development of the Rate Agreement</w:t>
            </w:r>
            <w:r>
              <w:rPr>
                <w:rStyle w:val="IndexLink"/>
              </w:rPr>
              <w:tab/>
              <w:t>10</w:t>
            </w:r>
          </w:hyperlink>
        </w:p>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rPr>
              <w:rFonts w:eastAsia="Palatino;Book Antiqua"/>
              <w:u w:val="none"/>
            </w:rPr>
            <w:t xml:space="preserve">  </w:t>
          </w:r>
          <w:hyperlink w:anchor="__RefHeading___Toc523530390">
            <w:r>
              <w:rPr>
                <w:rStyle w:val="IndexLink"/>
                <w:szCs w:val="26"/>
              </w:rPr>
              <w:t>III.</w:t>
            </w:r>
            <w:r>
              <w:rPr>
                <w:rStyle w:val="IndexLink"/>
                <w:rFonts w:cs="Times New Roman" w:ascii="Times New Roman" w:hAnsi="Times New Roman"/>
                <w:sz w:val="24"/>
                <w:szCs w:val="24"/>
              </w:rPr>
              <w:tab/>
            </w:r>
            <w:r>
              <w:rPr>
                <w:rStyle w:val="IndexLink"/>
                <w:szCs w:val="26"/>
              </w:rPr>
              <w:t>DWR’s Proposed Rate Agreement</w:t>
            </w:r>
            <w:r>
              <w:rPr>
                <w:rStyle w:val="IndexLink"/>
              </w:rPr>
              <w:tab/>
              <w:t>12</w:t>
            </w:r>
          </w:hyperlink>
        </w:p>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rPr>
              <w:rFonts w:eastAsia="Palatino;Book Antiqua"/>
              <w:u w:val="none"/>
            </w:rPr>
            <w:t xml:space="preserve">  </w:t>
          </w:r>
          <w:hyperlink w:anchor="__RefHeading___Toc523530391">
            <w:r>
              <w:rPr>
                <w:rStyle w:val="IndexLink"/>
                <w:szCs w:val="26"/>
              </w:rPr>
              <w:t>IV.</w:t>
            </w:r>
            <w:r>
              <w:rPr>
                <w:rStyle w:val="IndexLink"/>
                <w:rFonts w:cs="Times New Roman" w:ascii="Times New Roman" w:hAnsi="Times New Roman"/>
                <w:sz w:val="24"/>
                <w:szCs w:val="24"/>
              </w:rPr>
              <w:tab/>
            </w:r>
            <w:r>
              <w:rPr>
                <w:rStyle w:val="IndexLink"/>
                <w:szCs w:val="26"/>
              </w:rPr>
              <w:t>Discussion</w:t>
            </w:r>
            <w:r>
              <w:rPr>
                <w:rStyle w:val="IndexLink"/>
              </w:rPr>
              <w:tab/>
              <w:t>19</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92">
            <w:r>
              <w:rPr>
                <w:rStyle w:val="IndexLink"/>
                <w:szCs w:val="26"/>
              </w:rPr>
              <w:t>A.</w:t>
            </w:r>
            <w:r>
              <w:rPr>
                <w:rStyle w:val="IndexLink"/>
                <w:rFonts w:cs="Times New Roman" w:ascii="Times New Roman" w:hAnsi="Times New Roman"/>
                <w:sz w:val="24"/>
                <w:szCs w:val="24"/>
              </w:rPr>
              <w:tab/>
            </w:r>
            <w:r>
              <w:rPr>
                <w:rStyle w:val="IndexLink"/>
                <w:szCs w:val="26"/>
              </w:rPr>
              <w:t>The Rate Agreement Is in the Public Interest</w:t>
            </w:r>
            <w:r>
              <w:rPr>
                <w:rStyle w:val="IndexLink"/>
              </w:rPr>
              <w:tab/>
              <w:t>20</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93">
            <w:r>
              <w:rPr>
                <w:rStyle w:val="IndexLink"/>
                <w:szCs w:val="26"/>
              </w:rPr>
              <w:t>B.</w:t>
            </w:r>
            <w:r>
              <w:rPr>
                <w:rStyle w:val="IndexLink"/>
                <w:rFonts w:cs="Times New Roman" w:ascii="Times New Roman" w:hAnsi="Times New Roman"/>
                <w:sz w:val="24"/>
                <w:szCs w:val="24"/>
              </w:rPr>
              <w:tab/>
            </w:r>
            <w:r>
              <w:rPr>
                <w:rStyle w:val="IndexLink"/>
                <w:szCs w:val="26"/>
              </w:rPr>
              <w:t>Amendments to the Rate Agreement</w:t>
            </w:r>
            <w:r>
              <w:rPr>
                <w:rStyle w:val="IndexLink"/>
              </w:rPr>
              <w:tab/>
              <w:t>24</w:t>
            </w:r>
          </w:hyperlink>
        </w:p>
        <w:p>
          <w:pPr>
            <w:pStyle w:val="TOC2"/>
            <w:tabs>
              <w:tab w:val="left" w:pos="1000" w:leader="none"/>
              <w:tab w:val="left" w:pos="1260" w:leader="none"/>
              <w:tab w:val="right" w:pos="9000" w:leader="dot"/>
            </w:tabs>
            <w:rPr>
              <w:rFonts w:ascii="Times New Roman" w:hAnsi="Times New Roman" w:cs="Times New Roman"/>
              <w:sz w:val="24"/>
              <w:szCs w:val="24"/>
            </w:rPr>
          </w:pPr>
          <w:hyperlink w:anchor="__RefHeading___Toc523530394">
            <w:r>
              <w:rPr>
                <w:rStyle w:val="IndexLink"/>
                <w:szCs w:val="26"/>
              </w:rPr>
              <w:t>C.</w:t>
            </w:r>
            <w:r>
              <w:rPr>
                <w:rStyle w:val="IndexLink"/>
                <w:rFonts w:cs="Times New Roman" w:ascii="Times New Roman" w:hAnsi="Times New Roman"/>
                <w:sz w:val="24"/>
                <w:szCs w:val="24"/>
              </w:rPr>
              <w:tab/>
            </w:r>
            <w:r>
              <w:rPr>
                <w:rStyle w:val="IndexLink"/>
                <w:szCs w:val="26"/>
              </w:rPr>
              <w:t>Other Issues Raised By The Parties</w:t>
            </w:r>
            <w:r>
              <w:rPr>
                <w:rStyle w:val="IndexLink"/>
              </w:rPr>
              <w:tab/>
              <w:t>29</w:t>
            </w:r>
          </w:hyperlink>
        </w:p>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rPr>
              <w:rFonts w:eastAsia="Palatino;Book Antiqua"/>
              <w:u w:val="none"/>
            </w:rPr>
            <w:t xml:space="preserve">   </w:t>
          </w:r>
          <w:hyperlink w:anchor="__RefHeading___Toc523530395">
            <w:r>
              <w:rPr>
                <w:rStyle w:val="IndexLink"/>
                <w:szCs w:val="26"/>
              </w:rPr>
              <w:t>V.</w:t>
            </w:r>
            <w:r>
              <w:rPr>
                <w:rStyle w:val="IndexLink"/>
                <w:rFonts w:cs="Times New Roman" w:ascii="Times New Roman" w:hAnsi="Times New Roman"/>
                <w:sz w:val="24"/>
                <w:szCs w:val="24"/>
              </w:rPr>
              <w:tab/>
            </w:r>
            <w:r>
              <w:rPr>
                <w:rStyle w:val="IndexLink"/>
                <w:szCs w:val="26"/>
              </w:rPr>
              <w:t>The Adopted Revised Rate Agreement</w:t>
            </w:r>
            <w:r>
              <w:rPr>
                <w:rStyle w:val="IndexLink"/>
              </w:rPr>
              <w:tab/>
              <w:t>36</w:t>
            </w:r>
          </w:hyperlink>
        </w:p>
        <w:p>
          <w:pPr>
            <w:pStyle w:val="TOC1"/>
            <w:tabs>
              <w:tab w:val="left" w:pos="600" w:leader="none"/>
              <w:tab w:val="left" w:pos="630" w:leader="none"/>
              <w:tab w:val="left" w:pos="990" w:leader="none"/>
              <w:tab w:val="right" w:pos="9000" w:leader="dot"/>
            </w:tabs>
            <w:rPr>
              <w:rFonts w:ascii="Times New Roman" w:hAnsi="Times New Roman" w:cs="Times New Roman"/>
              <w:sz w:val="24"/>
              <w:szCs w:val="24"/>
            </w:rPr>
          </w:pPr>
          <w:r>
            <w:rPr>
              <w:rFonts w:eastAsia="Palatino;Book Antiqua"/>
              <w:u w:val="none"/>
            </w:rPr>
            <w:t xml:space="preserve">  </w:t>
          </w:r>
          <w:hyperlink w:anchor="__RefHeading___Toc523530396">
            <w:r>
              <w:rPr>
                <w:rStyle w:val="IndexLink"/>
                <w:szCs w:val="26"/>
              </w:rPr>
              <w:t>VI.</w:t>
            </w:r>
            <w:r>
              <w:rPr>
                <w:rStyle w:val="IndexLink"/>
                <w:rFonts w:cs="Times New Roman" w:ascii="Times New Roman" w:hAnsi="Times New Roman"/>
                <w:sz w:val="24"/>
                <w:szCs w:val="24"/>
              </w:rPr>
              <w:tab/>
            </w:r>
            <w:r>
              <w:rPr>
                <w:rStyle w:val="IndexLink"/>
                <w:szCs w:val="26"/>
              </w:rPr>
              <w:t>Pub. Util. Code Section 311(g)</w:t>
            </w:r>
            <w:r>
              <w:rPr>
                <w:rStyle w:val="IndexLink"/>
              </w:rPr>
              <w:tab/>
              <w:t>37</w:t>
            </w:r>
          </w:hyperlink>
        </w:p>
        <w:p>
          <w:pPr>
            <w:pStyle w:val="TOC1"/>
            <w:rPr>
              <w:rFonts w:ascii="Times New Roman" w:hAnsi="Times New Roman" w:cs="Times New Roman"/>
              <w:sz w:val="24"/>
              <w:szCs w:val="24"/>
            </w:rPr>
          </w:pPr>
          <w:r>
            <w:rPr>
              <w:rFonts w:eastAsia="Palatino;Book Antiqua"/>
              <w:u w:val="none"/>
            </w:rPr>
            <w:t xml:space="preserve"> </w:t>
          </w:r>
          <w:hyperlink w:anchor="__RefHeading___Toc523530397">
            <w:r>
              <w:rPr>
                <w:rStyle w:val="IndexLink"/>
                <w:szCs w:val="26"/>
              </w:rPr>
              <w:t>VII.</w:t>
            </w:r>
            <w:r>
              <w:rPr>
                <w:rStyle w:val="IndexLink"/>
                <w:rFonts w:cs="Times New Roman" w:ascii="Times New Roman" w:hAnsi="Times New Roman"/>
                <w:sz w:val="24"/>
                <w:szCs w:val="24"/>
              </w:rPr>
              <w:tab/>
            </w:r>
            <w:r>
              <w:rPr>
                <w:rStyle w:val="IndexLink"/>
                <w:szCs w:val="26"/>
              </w:rPr>
              <w:t>Rehearing and Judicial Review</w:t>
            </w:r>
            <w:r>
              <w:rPr>
                <w:rStyle w:val="IndexLink"/>
              </w:rPr>
              <w:tab/>
              <w:t>38</w:t>
            </w:r>
          </w:hyperlink>
        </w:p>
        <w:p>
          <w:pPr>
            <w:pStyle w:val="TOC1"/>
            <w:rPr>
              <w:rFonts w:ascii="Times New Roman" w:hAnsi="Times New Roman" w:cs="Times New Roman"/>
              <w:sz w:val="24"/>
              <w:szCs w:val="24"/>
            </w:rPr>
          </w:pPr>
          <w:hyperlink w:anchor="__RefHeading___Toc523530398">
            <w:r>
              <w:rPr>
                <w:rStyle w:val="IndexLink"/>
                <w:szCs w:val="26"/>
              </w:rPr>
              <w:t>Findings of Fact</w:t>
            </w:r>
            <w:r>
              <w:rPr>
                <w:rStyle w:val="IndexLink"/>
              </w:rPr>
              <w:tab/>
              <w:t>38</w:t>
            </w:r>
          </w:hyperlink>
        </w:p>
        <w:p>
          <w:pPr>
            <w:pStyle w:val="TOC1"/>
            <w:rPr>
              <w:rFonts w:ascii="Times New Roman" w:hAnsi="Times New Roman" w:cs="Times New Roman"/>
              <w:sz w:val="24"/>
              <w:szCs w:val="24"/>
            </w:rPr>
          </w:pPr>
          <w:hyperlink w:anchor="__RefHeading___Toc523530399">
            <w:r>
              <w:rPr>
                <w:rStyle w:val="IndexLink"/>
                <w:szCs w:val="26"/>
              </w:rPr>
              <w:t>Conclusions of Law</w:t>
            </w:r>
            <w:r>
              <w:rPr>
                <w:rStyle w:val="IndexLink"/>
              </w:rPr>
              <w:tab/>
              <w:t>41</w:t>
            </w:r>
          </w:hyperlink>
        </w:p>
        <w:p>
          <w:pPr>
            <w:pStyle w:val="TOC1"/>
            <w:rPr>
              <w:rFonts w:ascii="Times New Roman" w:hAnsi="Times New Roman" w:cs="Times New Roman"/>
              <w:sz w:val="24"/>
              <w:szCs w:val="24"/>
            </w:rPr>
          </w:pPr>
          <w:hyperlink w:anchor="__RefHeading___Toc523530400">
            <w:r>
              <w:rPr>
                <w:rStyle w:val="IndexLink"/>
                <w:szCs w:val="26"/>
              </w:rPr>
              <w:t>INTERIM ORDER</w:t>
            </w:r>
            <w:r>
              <w:rPr>
                <w:rStyle w:val="IndexLink"/>
              </w:rPr>
              <w:tab/>
              <w:t>51</w:t>
            </w:r>
          </w:hyperlink>
          <w:r>
            <w:rPr>
              <w:rStyle w:val="IndexLink"/>
            </w:rPr>
            <w:fldChar w:fldCharType="end"/>
          </w:r>
        </w:p>
      </w:sdtContent>
    </w:sdt>
    <w:p>
      <w:pPr>
        <w:pStyle w:val="standard"/>
        <w:ind w:hanging="0" w:end="0"/>
        <w:rPr>
          <w:rFonts w:ascii="Times New Roman" w:hAnsi="Times New Roman" w:cs="Times New Roman"/>
          <w:sz w:val="24"/>
          <w:szCs w:val="20"/>
          <w:lang w:val="en-CA" w:eastAsia="en-CA"/>
        </w:rPr>
      </w:pPr>
      <w:r>
        <w:rPr>
          <w:rFonts w:cs="Times New Roman" w:ascii="Times New Roman" w:hAnsi="Times New Roman"/>
          <w:sz w:val="24"/>
          <w:szCs w:val="20"/>
          <w:lang w:val="en-CA" w:eastAsia="en-CA"/>
        </w:rPr>
      </w:r>
    </w:p>
    <w:p>
      <w:pPr>
        <w:pStyle w:val="standard"/>
        <w:ind w:hanging="0" w:end="0"/>
        <w:rPr>
          <w:szCs w:val="20"/>
          <w:lang w:val="en-CA" w:eastAsia="en-CA"/>
        </w:rPr>
      </w:pPr>
      <w:r>
        <w:rPr>
          <w:szCs w:val="20"/>
          <w:lang w:val="en-CA" w:eastAsia="en-CA"/>
        </w:rPr>
        <w:t>Appendix A: Adopted Rate Agreement</w:t>
      </w:r>
    </w:p>
    <w:p>
      <w:pPr>
        <w:pStyle w:val="standard"/>
        <w:ind w:hanging="0" w:end="0"/>
        <w:rPr>
          <w:szCs w:val="20"/>
          <w:lang w:val="en-CA" w:eastAsia="en-CA"/>
        </w:rPr>
      </w:pPr>
      <w:r>
        <w:rPr>
          <w:szCs w:val="20"/>
          <w:lang w:val="en-CA" w:eastAsia="en-CA"/>
        </w:rPr>
        <w:t xml:space="preserve">Appendix B:  Summary of Each Party’s Position </w:t>
      </w:r>
    </w:p>
    <w:p>
      <w:pPr>
        <w:pStyle w:val="standard"/>
        <w:spacing w:lineRule="auto" w:line="240"/>
        <w:ind w:hanging="0" w:end="0"/>
        <w:rPr>
          <w:szCs w:val="20"/>
          <w:lang w:val="en-CA" w:eastAsia="en-CA"/>
        </w:rPr>
      </w:pPr>
      <w:r>
        <w:rPr>
          <w:szCs w:val="20"/>
          <w:lang w:val="en-CA" w:eastAsia="en-CA"/>
        </w:rPr>
        <w:t>Appendix C:  Proclamation Issued by the Governor of the State of California</w:t>
        <w:br/>
        <w:tab/>
        <w:tab/>
        <w:t xml:space="preserve">   on January 17, 2001</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start="1" w:fmt="lowerRoman"/>
          <w:formProt w:val="false"/>
          <w:textDirection w:val="lrTb"/>
          <w:docGrid w:type="default" w:linePitch="360" w:charSpace="0"/>
        </w:sectPr>
        <w:pStyle w:val="standard"/>
        <w:rPr/>
      </w:pPr>
      <w:r>
        <w:rPr/>
      </w:r>
    </w:p>
    <w:p>
      <w:pPr>
        <w:pStyle w:val="Heading1"/>
        <w:widowControl/>
        <w:numPr>
          <w:ilvl w:val="0"/>
          <w:numId w:val="5"/>
        </w:numPr>
        <w:rPr/>
      </w:pPr>
      <w:bookmarkStart w:id="0" w:name="__RefHeading___Toc523530383"/>
      <w:r>
        <w:rPr/>
        <w:t>Summary</w:t>
      </w:r>
      <w:bookmarkEnd w:id="0"/>
      <w:r>
        <w:rPr/>
        <w:t xml:space="preserve"> </w:t>
      </w:r>
    </w:p>
    <w:p>
      <w:pPr>
        <w:pStyle w:val="standard"/>
        <w:rPr/>
      </w:pPr>
      <w:r>
        <w:rPr/>
        <w:t>Pursuant to Water Code Sections 80110 and 80130,</w:t>
      </w:r>
      <w:r>
        <w:rPr>
          <w:rStyle w:val="FootnoteCharacters"/>
        </w:rPr>
        <w:t xml:space="preserve"> </w:t>
      </w:r>
      <w:r>
        <w:rPr>
          <w:rStyle w:val="FootnoteCharacters"/>
          <w:rStyle w:val="FootnoteReference"/>
        </w:rPr>
        <w:footnoteReference w:id="2"/>
      </w:r>
      <w:r>
        <w:rPr/>
        <w:t xml:space="preserve"> this decision adopts, with modifications, the proposed Rate Agreement between the Commission and the California Department of Water Resources (DWR).  A version of the adopted Rate Agreement that is marked to show the modifications is contained in Appendix A.  The adopted Agreement provides DWR with a secure stream of revenues from electric rates that may be adjusted, as necessary, to pay for the costs that DWR incurs to provide power to millions of Californians and also to service debt from the Power Supply Revenue Bonds (Bonds) that DWR will issue pursuant to SB 31X.</w:t>
      </w:r>
      <w:r>
        <w:rPr>
          <w:rStyle w:val="FootnoteCharacters"/>
          <w:rStyle w:val="FootnoteReference"/>
        </w:rPr>
        <w:footnoteReference w:id="3"/>
      </w:r>
      <w:r>
        <w:rPr/>
        <w:t xml:space="preserve">  DWR will use the proceeds from the Bonds to procure power and to repay the State’s General Fund for billions of dollars advanced to DWR for power purchases.   </w:t>
      </w:r>
    </w:p>
    <w:p>
      <w:pPr>
        <w:pStyle w:val="standard"/>
        <w:rPr/>
      </w:pPr>
      <w:r>
        <w:rPr/>
        <w:t>The primary purpose of the proposed Rate Agreement is to facilitate both the issuance of Bonds by DWR and the execution of additional agreements in connection with the Bonds.  DWR is authorized to issue the Bonds by AB 1X.  The Commission is not required to enter into the proposed Rate Agreement,</w:t>
      </w:r>
      <w:r>
        <w:rPr>
          <w:rStyle w:val="FootnoteCharacters"/>
          <w:rStyle w:val="FootnoteReference"/>
        </w:rPr>
        <w:footnoteReference w:id="4"/>
      </w:r>
      <w:r>
        <w:rPr/>
        <w:t xml:space="preserve"> but does so pursuant to its discretion under AB 1X to enable the Administration and the State Treasurer to proceed with the bond transaction they developed and are currently undertaking.  Given the purpose of the Rate Agreement, the Agreement necessarily defines the roles of, and the relationship between, the Commission and DWR with respect to the Bonds and DWR’s power-purchase program.  Consequently, the Rate Agreement interprets and builds upon the statutory scheme contained in AB 1X.   </w:t>
      </w:r>
    </w:p>
    <w:p>
      <w:pPr>
        <w:pStyle w:val="standard"/>
        <w:rPr/>
      </w:pPr>
      <w:r>
        <w:rPr/>
        <w:t>Once executed, the Rate Agreement will have the force and effect of a financing order issued by the Commission pursuant to Public Utilities Code Section 840 et seq., and will be irrevocable except for amendments made in accordance with the terms of the Agreement.  The Rate Agreement terminates when the Bonds and any associated financial obligations have been paid or otherwise provided for.</w:t>
      </w:r>
    </w:p>
    <w:p>
      <w:pPr>
        <w:pStyle w:val="Heading1"/>
        <w:widowControl/>
        <w:numPr>
          <w:ilvl w:val="0"/>
          <w:numId w:val="5"/>
        </w:numPr>
        <w:rPr/>
      </w:pPr>
      <w:bookmarkStart w:id="1" w:name="__RefHeading___Toc523530384"/>
      <w:bookmarkEnd w:id="1"/>
      <w:r>
        <w:rPr/>
        <w:t>Background</w:t>
      </w:r>
    </w:p>
    <w:p>
      <w:pPr>
        <w:pStyle w:val="standard"/>
        <w:rPr/>
      </w:pPr>
      <w:r>
        <w:rPr/>
        <w:t xml:space="preserve">California has experienced an unprecedented increase in </w:t>
      </w:r>
      <w:r>
        <w:rPr/>
        <w:t>the</w:t>
      </w:r>
      <w:r>
        <w:rPr/>
        <w:t xml:space="preserve"> price for wholesale electricity since May 2000.  The exorbitant prices charged for wholesale power contributed to the bankruptcy of Pacific Gas and Electric Company (PG&amp;E), threatened the solvency of Southern California Edison Company (SCE), and resulted in legislation to protect the ratepayers of San Diego Gas &amp; Electric Company (SDG&amp;E) from skyrocketing wholesale electricity prices.  The situation became a crisis when wholesale suppliers refused to sell electricity to the utilities that they themselves had crippled, thereby endangering the provision of power in California.  To avert a collapse of the electric system, Governor Davis proclaimed a state of emergency on January 17, 2001, and ordered DWR to immediately purchase and sell electric power, as necessary, to mitigate the effects of </w:t>
      </w:r>
      <w:r>
        <w:rPr/>
        <w:t>the</w:t>
      </w:r>
      <w:r>
        <w:rPr/>
        <w:t xml:space="preserve"> emergency.</w:t>
      </w:r>
      <w:r>
        <w:rPr>
          <w:rStyle w:val="FootnoteCharacters"/>
          <w:rStyle w:val="FootnoteReference"/>
        </w:rPr>
        <w:footnoteReference w:id="5"/>
      </w:r>
      <w:r>
        <w:rPr/>
        <w:t xml:space="preserve">  The Legislature subsequently granted DWR temporary, then permanent authority to purchase and sell power by passing SB 7X and AB 1X.  </w:t>
      </w:r>
    </w:p>
    <w:p>
      <w:pPr>
        <w:pStyle w:val="Heading2"/>
        <w:numPr>
          <w:ilvl w:val="1"/>
          <w:numId w:val="5"/>
        </w:numPr>
        <w:rPr/>
      </w:pPr>
      <w:bookmarkStart w:id="2" w:name="__RefHeading___Toc523530385"/>
      <w:r>
        <w:rPr/>
        <w:t>The Statutory Scheme</w:t>
      </w:r>
      <w:bookmarkEnd w:id="2"/>
      <w:r>
        <w:rPr/>
        <w:t xml:space="preserve"> </w:t>
      </w:r>
    </w:p>
    <w:p>
      <w:pPr>
        <w:pStyle w:val="standard"/>
        <w:rPr/>
      </w:pPr>
      <w:r>
        <w:rPr/>
        <w:t xml:space="preserve">On January 19, 2001, Governor Davis signed Senate Bill No. 7 from the First Extraordinary Session of 2001-002 (SB 7X).  SB 7X directed DWR to purchase </w:t>
      </w:r>
      <w:r>
        <w:rPr/>
        <w:t>electricity</w:t>
      </w:r>
      <w:r>
        <w:rPr/>
        <w:t xml:space="preserve"> and sell the power to the utilities’ retail customers for a period of time not to exceed 12 days from the effective date of legislation.  SB 7X appropriated $400 million from the General Fund for this purpose.  SB 7X also directed the Commission to implement emergency regulations governing (1) the utilities’ collection of customer payments for electric power sold to the customers by DWR, and (2) the remittance of the moneys so collected to DWR.  The Commission implemented SB 7X in D.01-01-061.  </w:t>
      </w:r>
    </w:p>
    <w:p>
      <w:pPr>
        <w:pStyle w:val="standard"/>
        <w:rPr/>
      </w:pPr>
      <w:r>
        <w:rPr/>
        <w:t>On February 1, 2001, Governor Davis signed AB 1X.  This statute provides DWR with long-term authority to procure electricity and to sell the power directly to the retail customers served by electrical corporations</w:t>
      </w:r>
      <w:r>
        <w:rPr>
          <w:rStyle w:val="FootnoteCharacters"/>
          <w:rStyle w:val="FootnoteReference"/>
        </w:rPr>
        <w:footnoteReference w:id="6"/>
      </w:r>
      <w:r>
        <w:rPr/>
        <w:t xml:space="preserve"> (i.e., retail customers of PG&amp;E, SCE, and SDG&amp;E).</w:t>
      </w:r>
      <w:r>
        <w:rPr>
          <w:rStyle w:val="FootnoteCharacters"/>
          <w:rStyle w:val="FootnoteReference"/>
        </w:rPr>
        <w:footnoteReference w:id="7"/>
      </w:r>
      <w:r>
        <w:rPr/>
        <w:t xml:space="preserve">  AB 1X appropriated $496 million from the General Fund for this purpose</w:t>
      </w:r>
      <w:r>
        <w:rPr>
          <w:rStyle w:val="FootnoteCharacters"/>
          <w:rStyle w:val="FootnoteReference"/>
        </w:rPr>
        <w:footnoteReference w:id="8"/>
      </w:r>
      <w:r>
        <w:rPr/>
        <w:t xml:space="preserve">  AB 1X requires DWR to repay the General Fund as soon as practical for all amounts advanced to DWR for power purchases.</w:t>
      </w:r>
      <w:r>
        <w:rPr>
          <w:rStyle w:val="FootnoteCharacters"/>
          <w:rStyle w:val="FootnoteReference"/>
        </w:rPr>
        <w:footnoteReference w:id="9"/>
      </w:r>
      <w:r>
        <w:rPr/>
        <w:t xml:space="preserve">  To provide DWR with a permanent source of funds to procure power and repay the General Fund, AB 1X authorizes DWR to (1) issue bonds, and (2) deliver to the Commission a revenue requirement for the amount needed to procure power and to repay the bonds.  DWR has an obligation to ensure that a “just and reasonableness review” of this revenue requirement is “conducted and determined by the department.”</w:t>
      </w:r>
    </w:p>
    <w:p>
      <w:pPr>
        <w:pStyle w:val="standard"/>
        <w:rPr/>
      </w:pPr>
      <w:r>
        <w:rPr/>
        <w:t>AB 1X provides DWR with broad authority to purchase electric power on terms and conditions that DWR deems appropriate.</w:t>
      </w:r>
      <w:r>
        <w:rPr>
          <w:rStyle w:val="FootnoteCharacters"/>
          <w:rStyle w:val="FootnoteReference"/>
        </w:rPr>
        <w:footnoteReference w:id="10"/>
      </w:r>
      <w:r>
        <w:rPr/>
        <w:t xml:space="preserve">  DWR’s authority under AB 1X to enter into new contracts for electric power expires on January 1, 2003.  AB 1X places no limit on the duration of DWR</w:t>
      </w:r>
      <w:r>
        <w:rPr>
          <w:rFonts w:cs="Times New Roman" w:ascii="Times New Roman" w:hAnsi="Times New Roman"/>
        </w:rPr>
        <w:t>’</w:t>
      </w:r>
      <w:r>
        <w:rPr/>
        <w:t xml:space="preserve">s authority to buy and sell </w:t>
      </w:r>
      <w:r>
        <w:rPr/>
        <w:t>electricity</w:t>
      </w:r>
      <w:r>
        <w:rPr/>
        <w:t xml:space="preserve"> </w:t>
      </w:r>
      <w:r>
        <w:rPr/>
        <w:t>pursuant</w:t>
      </w:r>
      <w:r>
        <w:rPr/>
        <w:t xml:space="preserve"> to contracts executed prior to January 1, 2003.</w:t>
      </w:r>
      <w:r>
        <w:rPr>
          <w:rStyle w:val="FootnoteCharacters"/>
          <w:rStyle w:val="FootnoteReference"/>
        </w:rPr>
        <w:footnoteReference w:id="11"/>
      </w:r>
      <w:r>
        <w:rPr/>
        <w:t xml:space="preserve">   </w:t>
      </w:r>
    </w:p>
    <w:p>
      <w:pPr>
        <w:pStyle w:val="standard"/>
        <w:rPr/>
      </w:pPr>
      <w:r>
        <w:rPr/>
        <w:t>AB 1X provides that DWR shall retain title to the power it sells to retail customers.</w:t>
      </w:r>
      <w:r>
        <w:rPr>
          <w:rStyle w:val="FootnoteCharacters"/>
          <w:rStyle w:val="FootnoteReference"/>
        </w:rPr>
        <w:footnoteReference w:id="12"/>
      </w:r>
      <w:r>
        <w:rPr/>
        <w:t xml:space="preserve">  To facilitate the sale of power to retail customers, AB 1X authorizes DWR to contract with electrical corporations for the following:  (1) transmission and distribution of power to retail customers; and (2) billing, collection, and other related services on terms and conditions that (a) reasonably compensate electrical corporations for their services, and (b) adequately secure payment to DWR.</w:t>
      </w:r>
      <w:r>
        <w:rPr>
          <w:rStyle w:val="FootnoteCharacters"/>
          <w:rStyle w:val="FootnoteReference"/>
        </w:rPr>
        <w:footnoteReference w:id="13"/>
      </w:r>
      <w:r>
        <w:rPr/>
        <w:t xml:space="preserve">  Any money collected by electrical corporations for power sold by DWR must be segregated by the electrical corporations on terms and conditions established by DWR, and held in trust for the benefit of DWR.</w:t>
      </w:r>
      <w:r>
        <w:rPr>
          <w:rStyle w:val="FootnoteCharacters"/>
          <w:rStyle w:val="FootnoteReference"/>
        </w:rPr>
        <w:footnoteReference w:id="14"/>
      </w:r>
    </w:p>
    <w:p>
      <w:pPr>
        <w:pStyle w:val="standard"/>
        <w:rPr/>
      </w:pPr>
      <w:r>
        <w:rPr/>
        <w:t xml:space="preserve">Under AB 1X, DWR’s power purchase activities are tracked in the Department of Water Resources Electric Power Fund (the Fund) </w:t>
      </w:r>
      <w:r>
        <w:rPr/>
        <w:t>administered</w:t>
      </w:r>
      <w:r>
        <w:rPr/>
        <w:t xml:space="preserve"> by the State Treasurer.  All revenues payable to DWR pursuant to AB 1X must be deposited into the Fund.  These revenues include bond proceeds and revenues from the sale of electric power to retail customers.  Amounts held in the Fund may only be spent on the items specified in AB 1X, which include power purchases, debt service, and repayment of the General Fund.</w:t>
      </w:r>
      <w:r>
        <w:rPr>
          <w:rStyle w:val="FootnoteCharacters"/>
          <w:rStyle w:val="FootnoteReference"/>
        </w:rPr>
        <w:footnoteReference w:id="15"/>
      </w:r>
      <w:r>
        <w:rPr/>
        <w:t xml:space="preserve">  </w:t>
      </w:r>
    </w:p>
    <w:p>
      <w:pPr>
        <w:pStyle w:val="standard"/>
        <w:rPr/>
      </w:pPr>
      <w:r>
        <w:rPr/>
        <w:t>AB 1X requires DWR to determine annually, if not more frequently, a “revenue requirement.”  The statute defines the revenue requirement as the amount that is sufficient, together with any moneys on deposit in the Fund, to provide all of the following:  (1) the amounts necessary to timely pay the principal, interest, and other costs associated with the bonds issued by DWR; (2) the amounts necessary to pay for power purchased by DWR, including the costs of transmission, scheduling, and other related expenses; (3) reserves in such amount as DWR deems necessary or desirable; (4) repayment of advances from the General Fund; (5) interest on moneys advanced by the General Fund; and (6) the costs incurred by DWR to administer AB 1X.</w:t>
      </w:r>
      <w:r>
        <w:rPr>
          <w:rStyle w:val="FootnoteCharacters"/>
          <w:rStyle w:val="FootnoteReference"/>
        </w:rPr>
        <w:footnoteReference w:id="16"/>
      </w:r>
    </w:p>
    <w:p>
      <w:pPr>
        <w:pStyle w:val="standard"/>
        <w:rPr/>
      </w:pPr>
      <w:r>
        <w:rPr/>
        <w:t>AB 1X provides that DWR is entitled to recover its revenue requirement in electric rates.  However, the statute limits the rates paid by residential customers for this purpose.  In particular, AB 1X states that until DWR has recovered its costs for power procured pursuant to AB 1X, the Commission shall not increase residential electric rates that were in effect at the time AB 1X was enacted for residential usage up to 130% of baseline quantities.</w:t>
      </w:r>
      <w:r>
        <w:rPr>
          <w:rStyle w:val="FootnoteCharacters"/>
          <w:rStyle w:val="FootnoteReference"/>
        </w:rPr>
        <w:footnoteReference w:id="17"/>
      </w:r>
      <w:r>
        <w:rPr/>
        <w:t xml:space="preserve">   </w:t>
      </w:r>
    </w:p>
    <w:p>
      <w:pPr>
        <w:pStyle w:val="Heading2"/>
        <w:numPr>
          <w:ilvl w:val="1"/>
          <w:numId w:val="5"/>
        </w:numPr>
        <w:rPr/>
      </w:pPr>
      <w:bookmarkStart w:id="3" w:name="__RefHeading___Toc523530386"/>
      <w:r>
        <w:rPr/>
        <w:t>The Bond Structure</w:t>
      </w:r>
      <w:bookmarkEnd w:id="3"/>
      <w:r>
        <w:rPr/>
        <w:t xml:space="preserve"> </w:t>
      </w:r>
    </w:p>
    <w:p>
      <w:pPr>
        <w:pStyle w:val="standard"/>
        <w:rPr/>
      </w:pPr>
      <w:r>
        <w:rPr/>
        <w:t>AB 1X, as amended by SB 31X,</w:t>
      </w:r>
      <w:r>
        <w:rPr>
          <w:rStyle w:val="FootnoteCharacters"/>
          <w:rStyle w:val="FootnoteReference"/>
        </w:rPr>
        <w:footnoteReference w:id="18"/>
      </w:r>
      <w:r>
        <w:rPr/>
        <w:t xml:space="preserve"> authorizes DWR to issue Bonds in a maximum aggregate amount of $13.423 billion.  DWR is authorized to use the Bond proceeds for the following purposes:  (1) pay for the cost of electric power procured by DWR pursuant to AB 1X and the Governor's Emergency Proclamation dated January 17, 2001; (2) reimburse the General Fund for advances; and (3) establish and maintain reserves in connection with the bonds.</w:t>
      </w:r>
      <w:r>
        <w:rPr>
          <w:rStyle w:val="FootnoteCharacters"/>
          <w:rStyle w:val="FootnoteReference"/>
        </w:rPr>
        <w:footnoteReference w:id="19"/>
      </w:r>
      <w:r>
        <w:rPr/>
        <w:t xml:space="preserve">  The price, terms, conditions, and manner of offering </w:t>
      </w:r>
      <w:r>
        <w:rPr/>
        <w:t>the</w:t>
      </w:r>
      <w:r>
        <w:rPr/>
        <w:t xml:space="preserve"> Bonds will be determined by DWR and approved by the Director of Finance and the State Treasurer.  At the discretion of DWR, the Bonds may be secured by a trust agreement between DWR and a trustee.</w:t>
      </w:r>
      <w:r>
        <w:rPr>
          <w:rStyle w:val="FootnoteCharacters"/>
          <w:rStyle w:val="FootnoteReference"/>
        </w:rPr>
        <w:footnoteReference w:id="20"/>
      </w:r>
      <w:r>
        <w:rPr/>
        <w:t xml:space="preserve">  </w:t>
      </w:r>
    </w:p>
    <w:p>
      <w:pPr>
        <w:pStyle w:val="standard"/>
        <w:rPr/>
      </w:pPr>
      <w:r>
        <w:rPr/>
        <w:t>AB 1X provides that the Bonds and other obligations of DWR shall be payable solely from the funds provided for in AB 1X.  Such obligations shall not constitute a debt or liability of the State or any political subdivision of the State.  AB 1X also requires all Bonds to contain a statement to the following effect:  "Neither the faith and credit nor the taxing power of the State of California is pledged to the payment of the principal of or interest on this bond.</w:t>
      </w:r>
      <w:r>
        <w:rPr>
          <w:rStyle w:val="FootnoteCharacters"/>
          <w:rStyle w:val="FootnoteReference"/>
        </w:rPr>
        <w:footnoteReference w:id="21"/>
      </w:r>
      <w:r>
        <w:rPr/>
        <w:t>"  While any obligations incurred by DWR under AB 1X remain outstanding, AB 1X provides that the rights, powers, duties, and existence of DWR and the Commission shall not be impaired in a way that adversely affects the interests and rights of the parties to such obligations.</w:t>
      </w:r>
      <w:r>
        <w:rPr>
          <w:rStyle w:val="FootnoteCharacters"/>
          <w:rStyle w:val="FootnoteReference"/>
        </w:rPr>
        <w:footnoteReference w:id="22"/>
      </w:r>
    </w:p>
    <w:p>
      <w:pPr>
        <w:pStyle w:val="standard"/>
        <w:rPr/>
      </w:pPr>
      <w:r>
        <w:rPr/>
        <w:t>DWR  must establish a mechanism to ensure that bonds issued by DWR will be sold at investment-grade credit ratings and will be repaid on a timely basis.</w:t>
      </w:r>
      <w:r>
        <w:rPr>
          <w:rStyle w:val="FootnoteCharacters"/>
          <w:rStyle w:val="FootnoteReference"/>
        </w:rPr>
        <w:footnoteReference w:id="23"/>
      </w:r>
      <w:r>
        <w:rPr/>
        <w:t xml:space="preserve">  This mechanism may include an agreement at the discretion of the Commission that provides for the timely recovery of DWR’s revenue requirement in electric rates.</w:t>
      </w:r>
      <w:r>
        <w:rPr>
          <w:rStyle w:val="FootnoteCharacters"/>
          <w:rStyle w:val="FootnoteReference"/>
        </w:rPr>
        <w:footnoteReference w:id="24"/>
      </w:r>
      <w:r>
        <w:rPr/>
        <w:t xml:space="preserve">  Any such agreement shall have the force and effect of a financing order adopted by the Commission pursuant to Pub. Util. Code § 840 et seq.</w:t>
      </w:r>
      <w:r>
        <w:rPr>
          <w:rStyle w:val="FootnoteCharacters"/>
          <w:rStyle w:val="FootnoteReference"/>
        </w:rPr>
        <w:footnoteReference w:id="25"/>
      </w:r>
      <w:r>
        <w:rPr/>
        <w:t xml:space="preserve">  </w:t>
      </w:r>
    </w:p>
    <w:p>
      <w:pPr>
        <w:pStyle w:val="standard"/>
        <w:rPr/>
      </w:pPr>
      <w:r>
        <w:rPr/>
        <w:t xml:space="preserve">AB 1X specifies the purpose of the agreement between the Commission and DWR, but leaves it to the two agencies to work out the details of the agreement.  As a result, AB 1X provides the Commission and DWR with discretion to agree on the details of each agency’s responsibilities regarding the recovery of DWR’s revenue requirement.  </w:t>
      </w:r>
    </w:p>
    <w:p>
      <w:pPr>
        <w:pStyle w:val="Heading2"/>
        <w:numPr>
          <w:ilvl w:val="1"/>
          <w:numId w:val="5"/>
        </w:numPr>
        <w:rPr/>
      </w:pPr>
      <w:r>
        <w:rPr>
          <w:rFonts w:eastAsia="Helvetica;Arial"/>
        </w:rPr>
        <w:t xml:space="preserve"> </w:t>
      </w:r>
      <w:bookmarkStart w:id="4" w:name="__RefHeading___Toc523530387"/>
      <w:r>
        <w:rPr/>
        <w:t>DWR’s Role, the Commission’s Role, and the Rate Agreement</w:t>
      </w:r>
      <w:bookmarkEnd w:id="4"/>
      <w:r>
        <w:rPr/>
        <w:t xml:space="preserve">  </w:t>
      </w:r>
    </w:p>
    <w:p>
      <w:pPr>
        <w:pStyle w:val="standard"/>
        <w:rPr>
          <w:b/>
          <w:bCs/>
        </w:rPr>
      </w:pPr>
      <w:r>
        <w:rPr/>
        <w:t>AB 1X specifies distinct roles for DWR and the Commission regarding the funding of DWR’s power-purchase activities.  DWR is given discretion to administer its power purchases, and DWR is entitled to sufficient revenues from electric rates to pay for its power purchases as well as other costs listed in Water Code § 80134.  The Commission retains its ratemaking responsibilities.  When setting rates, AB 1X provides that Pub. Util. Code § 451 “shall apply” to DWR’s revenue requirement, with one important exception.  Pursuant to AB 1X, DWR, and not the Commission, is responsible for conducting a review of DWR’s revenue requirement and determining if that revenue requirement is just and reasonable under Pub. Util. Code § 451.</w:t>
      </w:r>
      <w:r>
        <w:rPr>
          <w:rStyle w:val="FootnoteCharacters"/>
          <w:rStyle w:val="FootnoteReference"/>
        </w:rPr>
        <w:footnoteReference w:id="26"/>
      </w:r>
      <w:r>
        <w:rPr/>
        <w:t xml:space="preserve">  </w:t>
      </w:r>
    </w:p>
    <w:p>
      <w:pPr>
        <w:pStyle w:val="standard"/>
        <w:rPr/>
      </w:pPr>
      <w:r>
        <w:rPr/>
        <w:t>AB 1X preserves the Commission’s role of regulating the terms and conditions of utility service.  The Commission, at the request of DWR, has authority to order electrical corporations to transmit and distribute power procured by DWR to retail customers.  In addition, AB 1X directs electrical corporations to serve as DWR’s agents for billing, collection, and other related services on terms that adequately secure payment to DWR.</w:t>
      </w:r>
      <w:r>
        <w:rPr>
          <w:rStyle w:val="FootnoteCharacters"/>
          <w:rStyle w:val="FootnoteReference"/>
        </w:rPr>
        <w:footnoteReference w:id="27"/>
      </w:r>
      <w:r>
        <w:rPr/>
        <w:t xml:space="preserve">  AB 1X also authorizes the Commission to enforce this agency function.</w:t>
      </w:r>
      <w:r>
        <w:rPr>
          <w:rStyle w:val="FootnoteCharacters"/>
          <w:rStyle w:val="FootnoteReference"/>
        </w:rPr>
        <w:footnoteReference w:id="28"/>
      </w:r>
      <w:r>
        <w:rPr/>
        <w:t xml:space="preserve">  </w:t>
      </w:r>
    </w:p>
    <w:p>
      <w:pPr>
        <w:pStyle w:val="standard"/>
        <w:rPr/>
      </w:pPr>
      <w:r>
        <w:rPr/>
        <w:t>As noted above, AB 1X provides DWR, the Department of Finance, and the State Treasurer considerable flexibility in establishing the structure of the Bond transaction.  AB 1X also ensures that DWR will recover its costs by submitting a revenue requirement to the Commission on at least an annual basis.  However, AB 1X gives the Commission the discretion to determine whether it will enter into a rate agreement with DWR as a mechanism to ensure the recovery of DWR costs.  In addition, AB 1X provides the Commission with exclusive authority to establish the manner and methodology by which it will respond to DWR’s revenue requirement.</w:t>
      </w:r>
    </w:p>
    <w:p>
      <w:pPr>
        <w:pStyle w:val="Heading2"/>
        <w:numPr>
          <w:ilvl w:val="1"/>
          <w:numId w:val="5"/>
        </w:numPr>
        <w:rPr/>
      </w:pPr>
      <w:bookmarkStart w:id="5" w:name="__RefHeading___Toc523530388"/>
      <w:r>
        <w:rPr/>
        <w:t>Developments Subsequent to AB 1X</w:t>
      </w:r>
      <w:bookmarkEnd w:id="5"/>
      <w:r>
        <w:rPr/>
        <w:t xml:space="preserve"> </w:t>
      </w:r>
    </w:p>
    <w:p>
      <w:pPr>
        <w:pStyle w:val="standard"/>
        <w:rPr/>
      </w:pPr>
      <w:r>
        <w:rPr/>
        <w:t>Subsequent to the enactment of AB 1X, Governor Davis issued several Executive Orders relating to DWR’s role in California’s electricity crisis.  On March 13, 2001, Governor Davis issued an Executive Order that directed DWR to implement a limited-term program to reward conservation efforts by retail customers.  The Executive Order requires electric corporations to reduce a retail customer</w:t>
      </w:r>
      <w:r>
        <w:rPr>
          <w:rFonts w:cs="Times New Roman" w:ascii="Times New Roman" w:hAnsi="Times New Roman"/>
        </w:rPr>
        <w:t>’</w:t>
      </w:r>
      <w:r>
        <w:rPr/>
        <w:t xml:space="preserve">s electric bills for reductions in the customers electricity consumption during Summer 2001, up to a maximum reduction of 20%.  The Executive Order states that the </w:t>
      </w:r>
      <w:r>
        <w:rPr>
          <w:rFonts w:cs="Times New Roman" w:ascii="Times New Roman" w:hAnsi="Times New Roman"/>
        </w:rPr>
        <w:t>“</w:t>
      </w:r>
      <w:r>
        <w:rPr/>
        <w:t>20/20 Program</w:t>
      </w:r>
      <w:r>
        <w:rPr>
          <w:rFonts w:cs="Times New Roman" w:ascii="Times New Roman" w:hAnsi="Times New Roman"/>
        </w:rPr>
        <w:t>”</w:t>
      </w:r>
      <w:r>
        <w:rPr/>
        <w:t xml:space="preserve"> shall be financed via a reduction in the electric </w:t>
      </w:r>
      <w:r>
        <w:rPr/>
        <w:t>corporations</w:t>
      </w:r>
      <w:r>
        <w:rPr>
          <w:rFonts w:cs="Times New Roman" w:ascii="Times New Roman" w:hAnsi="Times New Roman"/>
        </w:rPr>
        <w:t>’</w:t>
      </w:r>
      <w:r>
        <w:rPr/>
        <w:t xml:space="preserve"> remittances to DWR made pursuant to AB 1X.</w:t>
      </w:r>
      <w:r>
        <w:rPr>
          <w:rStyle w:val="FootnoteCharacters"/>
          <w:rStyle w:val="FootnoteReference"/>
        </w:rPr>
        <w:footnoteReference w:id="29"/>
      </w:r>
      <w:r>
        <w:rPr/>
        <w:t xml:space="preserve">  </w:t>
      </w:r>
    </w:p>
    <w:p>
      <w:pPr>
        <w:pStyle w:val="standard"/>
        <w:rPr/>
      </w:pPr>
      <w:r>
        <w:rPr/>
        <w:t xml:space="preserve">On May 25, 2001, Governor Davis issued an Executive Order that directed DWR to use the Fund </w:t>
      </w:r>
      <w:r>
        <w:rPr/>
        <w:t>established</w:t>
      </w:r>
      <w:r>
        <w:rPr/>
        <w:t xml:space="preserve"> by AB 1X to pay for (1) conservation initiatives enacted by SB 5X and AB 29X,</w:t>
      </w:r>
      <w:r>
        <w:rPr>
          <w:rStyle w:val="FootnoteCharacters"/>
          <w:rStyle w:val="FootnoteReference"/>
        </w:rPr>
        <w:footnoteReference w:id="30"/>
      </w:r>
      <w:r>
        <w:rPr/>
        <w:t xml:space="preserve"> and (2) the 20/20 Program </w:t>
      </w:r>
      <w:r>
        <w:rPr/>
        <w:t>established</w:t>
      </w:r>
      <w:r>
        <w:rPr/>
        <w:t xml:space="preserve"> by the Governor’s Executive Order issued on March 13, 2001.</w:t>
      </w:r>
      <w:r>
        <w:rPr>
          <w:rStyle w:val="FootnoteCharacters"/>
          <w:rStyle w:val="FootnoteReference"/>
        </w:rPr>
        <w:footnoteReference w:id="31"/>
      </w:r>
      <w:r>
        <w:rPr/>
        <w:t xml:space="preserve">  </w:t>
      </w:r>
    </w:p>
    <w:p>
      <w:pPr>
        <w:pStyle w:val="standard"/>
        <w:rPr/>
      </w:pPr>
      <w:r>
        <w:rPr/>
        <w:t>On June 8, 2001, Governor Davis issued an Executive Order that directed DWR and the California Independent System Operator (ISO) to implement voluntary load-curtailment programs for large customers during Summer 2001 and Summer 2002.  The Executive Order states that DWR will finance these programs, but does not specify where DWR will obtain the necessary funds.</w:t>
      </w:r>
      <w:r>
        <w:rPr>
          <w:rStyle w:val="FootnoteCharacters"/>
          <w:rStyle w:val="FootnoteReference"/>
        </w:rPr>
        <w:footnoteReference w:id="32"/>
      </w:r>
      <w:r>
        <w:rPr/>
        <w:t xml:space="preserve">   </w:t>
      </w:r>
    </w:p>
    <w:p>
      <w:pPr>
        <w:pStyle w:val="standard"/>
        <w:rPr/>
      </w:pPr>
      <w:r>
        <w:rPr/>
        <w:t xml:space="preserve">On June 18, 2001, Governor Davis </w:t>
      </w:r>
      <w:r>
        <w:rPr/>
        <w:t>issued</w:t>
      </w:r>
      <w:r>
        <w:rPr/>
        <w:t xml:space="preserve"> an Executive Order that authorized DWR to accept up to $5 billion in loans, and to use the loan proceeds for the following purposes:  (1) purchase electric power, (2) purchase natural gas to generate electric power; and (3) fund capitalized </w:t>
      </w:r>
      <w:r>
        <w:rPr/>
        <w:t>interest</w:t>
      </w:r>
      <w:r>
        <w:rPr/>
        <w:t xml:space="preserve"> and reserves required in connection with the loans.  The Executive Order indicates that all provisions in AB 1X apply to the loans, except that the outstanding principal amount of the loans and any debt issued </w:t>
      </w:r>
      <w:r>
        <w:rPr/>
        <w:t>pursuant</w:t>
      </w:r>
      <w:r>
        <w:rPr/>
        <w:t xml:space="preserve"> to AB 1X cannot exceed the maximum principal amount of the bonds authorized by SB 31X.</w:t>
      </w:r>
      <w:r>
        <w:rPr>
          <w:rStyle w:val="FootnoteCharacters"/>
          <w:rStyle w:val="FootnoteReference"/>
        </w:rPr>
        <w:footnoteReference w:id="33"/>
      </w:r>
      <w:r>
        <w:rPr/>
        <w:t xml:space="preserve">  </w:t>
      </w:r>
    </w:p>
    <w:p>
      <w:pPr>
        <w:pStyle w:val="Heading2"/>
        <w:numPr>
          <w:ilvl w:val="1"/>
          <w:numId w:val="5"/>
        </w:numPr>
        <w:rPr/>
      </w:pPr>
      <w:bookmarkStart w:id="6" w:name="__RefHeading___Toc523530389"/>
      <w:r>
        <w:rPr/>
        <w:t>Development of the Rate Agreement</w:t>
      </w:r>
      <w:bookmarkEnd w:id="6"/>
      <w:r>
        <w:rPr/>
        <w:t xml:space="preserve"> Proposal by DWR </w:t>
      </w:r>
    </w:p>
    <w:p>
      <w:pPr>
        <w:pStyle w:val="standard"/>
        <w:rPr/>
      </w:pPr>
      <w:r>
        <w:rPr/>
        <w:t xml:space="preserve">At the request of DWR, Commission staff (including representatives of the Commission President’s Office) discussed the provisions of a draft agreement (“the Rate Agreement”) with DWR, the Department of Finance, and the State Treasurer’s Office.  DWR requested that the Commission enter into a Rate Agreement to enable the bonds that will be issued in the transaction currently being undertaken by the Administration and the State Treasurer to receive investment-grade credit ratings.  The terms and conditions in the proposed Rate Agreement are based on the structure of the bond transaction developed and undertaken by the Davis Administration and the State Treasurer.  This bond transaction relies on a business model under which DWR will operate as a state governmental enterprise that buys and sells power for the entire life of the bonds.  Under this business model, DWR will use the revenues that it receives from the sale of power to pay for its costs to procure the power it sells before DWR pays the principal and interest on the bonds.  Thus, the creditworthiness of the bonds hinges, in part, on the ability of DWR to fully recover its power costs, because, if DWR were unable to fully recover its power costs, then DWR’s ability to pay bond principal and interest would be jeopardized.  The creditworthiness of the bonds also depends on the financial community’s assessment of the overall quality of DWR’s power-purchase program.  As a result, so that the bond transaction as currently structured by DWR and the State Treasurer results in the issuance of bonds with investment-grade credit ratings, the proposed Rate Agreement necessarily provides an irrevocable commitment by the Commission to set electric rates to recover all the costs of DWR’s power-purchase program.  </w:t>
      </w:r>
    </w:p>
    <w:p>
      <w:pPr>
        <w:pStyle w:val="standard"/>
        <w:rPr/>
      </w:pPr>
      <w:r>
        <w:rPr/>
        <w:t xml:space="preserve">On July 18, 2001, the assigned Commissioner issued a ruling that invited parties and others such as DWR to file comments on the proposed Rate Agreement.  A copy of the proposed Rate Agreement was appended to the ruling.  Comments were filed on August 1, 2001.  Subsequently, on August 10, 2001, DWR submitted a letter explaining why DWR and the Commission should adopt the Rate Agreement without modification.  </w:t>
      </w:r>
    </w:p>
    <w:p>
      <w:pPr>
        <w:pStyle w:val="BodyTextIndent3"/>
        <w:rPr/>
      </w:pPr>
      <w:r>
        <w:rPr/>
        <w:t>On August 13, 2001, the assigned Commissioner issued a ruling that invited parties to submit reply comments regarding the following matters:  (i) the comments filed on August 1, 2001, and (ii) DWR’s letter submitted on August 10.  A copy of DWR’s letter was appended to the ruling.  Reply comments were filed by August 15, 2001 pursuant to an expedited schedule.</w:t>
      </w:r>
      <w:r>
        <w:rPr>
          <w:rStyle w:val="FootnoteCharacters"/>
          <w:rStyle w:val="FootnoteReference"/>
        </w:rPr>
        <w:footnoteReference w:id="34"/>
      </w:r>
      <w:r>
        <w:rPr/>
        <w:t xml:space="preserve"> </w:t>
      </w:r>
    </w:p>
    <w:p>
      <w:pPr>
        <w:pStyle w:val="Heading1"/>
        <w:widowControl/>
        <w:numPr>
          <w:ilvl w:val="0"/>
          <w:numId w:val="5"/>
        </w:numPr>
        <w:rPr/>
      </w:pPr>
      <w:bookmarkStart w:id="7" w:name="__RefHeading___Toc523530390"/>
      <w:r>
        <w:rPr/>
        <w:t>DWR’s Proposed Rate Agreement</w:t>
      </w:r>
      <w:bookmarkEnd w:id="7"/>
      <w:r>
        <w:rPr/>
        <w:t xml:space="preserve"> </w:t>
      </w:r>
    </w:p>
    <w:p>
      <w:pPr>
        <w:pStyle w:val="standard"/>
        <w:rPr/>
      </w:pPr>
      <w:r>
        <w:rPr/>
        <w:t>The heart of the proposed Rate Agreement is the mechanism that it establishes for DWR to recover its revenue requirement.  Under this mechanism, DWR proposed that it notify the Commission at least annually, if not more frequently, of DWR’s Retail Revenue Requirement (Revenue Requirement).</w:t>
      </w:r>
      <w:r>
        <w:rPr>
          <w:rStyle w:val="FootnoteCharacters"/>
          <w:rStyle w:val="FootnoteReference"/>
        </w:rPr>
        <w:footnoteReference w:id="35"/>
      </w:r>
      <w:r>
        <w:rPr/>
        <w:t xml:space="preserve">  The proposed Revenue Requirement consists of the amount that DWR must recover to pay for Bond-Related Costs and Operating Expenses.  Section 1.1 of the proposed Rate Agreement contains the following definitions for “Bond-Related Costs” and “Operating Expenses” proposed by DWR:  </w:t>
      </w:r>
    </w:p>
    <w:p>
      <w:pPr>
        <w:pStyle w:val="standard"/>
        <w:spacing w:lineRule="auto" w:line="240" w:before="40" w:after="40"/>
        <w:ind w:hanging="0" w:start="720" w:end="720"/>
        <w:rPr/>
      </w:pPr>
      <w:r>
        <w:rPr>
          <w:b/>
          <w:bCs/>
        </w:rPr>
        <w:t xml:space="preserve">Bond-Related Costs </w:t>
      </w:r>
      <w:r>
        <w:rPr/>
        <w:t>are payments, deposits, or other provision made by DWR under the Financing Documents</w:t>
      </w:r>
      <w:r>
        <w:rPr>
          <w:rStyle w:val="FootnoteCharacters"/>
          <w:rStyle w:val="FootnoteReference"/>
        </w:rPr>
        <w:footnoteReference w:id="36"/>
      </w:r>
      <w:r>
        <w:rPr/>
        <w:t xml:space="preserve"> or AB 1X for the following:  </w:t>
      </w:r>
    </w:p>
    <w:p>
      <w:pPr>
        <w:pStyle w:val="standard"/>
        <w:tabs>
          <w:tab w:val="clear" w:pos="720"/>
          <w:tab w:val="left" w:pos="1260" w:leader="none"/>
        </w:tabs>
        <w:spacing w:lineRule="auto" w:line="240" w:before="40" w:after="40"/>
        <w:ind w:hanging="540" w:start="1260" w:end="720"/>
        <w:rPr/>
      </w:pPr>
      <w:r>
        <w:rPr/>
        <w:t xml:space="preserve">(i) </w:t>
        <w:tab/>
        <w:t>Bond principal and interest.</w:t>
      </w:r>
      <w:r>
        <w:rPr>
          <w:rStyle w:val="FootnoteCharacters"/>
          <w:rStyle w:val="FootnoteReference"/>
        </w:rPr>
        <w:footnoteReference w:id="37"/>
      </w:r>
      <w:r>
        <w:rPr/>
        <w:t xml:space="preserve"> </w:t>
      </w:r>
    </w:p>
    <w:p>
      <w:pPr>
        <w:pStyle w:val="standard"/>
        <w:tabs>
          <w:tab w:val="clear" w:pos="720"/>
          <w:tab w:val="left" w:pos="1260" w:leader="none"/>
        </w:tabs>
        <w:spacing w:lineRule="auto" w:line="240" w:before="40" w:after="40"/>
        <w:ind w:hanging="540" w:start="1260" w:end="720"/>
        <w:rPr/>
      </w:pPr>
      <w:r>
        <w:rPr/>
        <w:t xml:space="preserve">(ii) </w:t>
        <w:tab/>
        <w:t>Bond premium.</w:t>
      </w:r>
    </w:p>
    <w:p>
      <w:pPr>
        <w:pStyle w:val="standard"/>
        <w:tabs>
          <w:tab w:val="clear" w:pos="720"/>
          <w:tab w:val="left" w:pos="1260" w:leader="none"/>
        </w:tabs>
        <w:spacing w:lineRule="auto" w:line="240" w:before="40" w:after="40"/>
        <w:ind w:hanging="540" w:start="1260" w:end="720"/>
        <w:rPr/>
      </w:pPr>
      <w:r>
        <w:rPr/>
        <w:t>(iii)</w:t>
        <w:tab/>
        <w:t>Payments made under financial agreements entered into in connection with the Bonds, such as letters of credit, bond insurance, debt service reserve fund surety bonds, standby bond-purchase agreements, and interest-rate swaps.</w:t>
      </w:r>
    </w:p>
    <w:p>
      <w:pPr>
        <w:pStyle w:val="standard"/>
        <w:tabs>
          <w:tab w:val="clear" w:pos="720"/>
          <w:tab w:val="left" w:pos="1260" w:leader="none"/>
        </w:tabs>
        <w:spacing w:lineRule="auto" w:line="240" w:before="40" w:after="40"/>
        <w:ind w:hanging="540" w:start="1260" w:end="720"/>
        <w:rPr/>
      </w:pPr>
      <w:r>
        <w:rPr/>
        <w:t>(iv)</w:t>
        <w:tab/>
        <w:t>Repayments to the General Fund of amounts appropriated to the Fund, including interest thereon.</w:t>
      </w:r>
    </w:p>
    <w:p>
      <w:pPr>
        <w:pStyle w:val="standard"/>
        <w:tabs>
          <w:tab w:val="clear" w:pos="720"/>
          <w:tab w:val="left" w:pos="1260" w:leader="none"/>
        </w:tabs>
        <w:spacing w:lineRule="auto" w:line="240" w:before="40" w:after="40"/>
        <w:ind w:hanging="540" w:start="1260" w:end="720"/>
        <w:rPr/>
      </w:pPr>
      <w:r>
        <w:rPr/>
        <w:t xml:space="preserve">(v) </w:t>
        <w:tab/>
        <w:t xml:space="preserve">Debt-service coverage determined in accordance with the Financing Documents. </w:t>
      </w:r>
    </w:p>
    <w:p>
      <w:pPr>
        <w:pStyle w:val="standard"/>
        <w:numPr>
          <w:ilvl w:val="0"/>
          <w:numId w:val="7"/>
        </w:numPr>
        <w:tabs>
          <w:tab w:val="clear" w:pos="720"/>
          <w:tab w:val="left" w:pos="1260" w:leader="none"/>
        </w:tabs>
        <w:spacing w:lineRule="auto" w:line="240" w:before="40" w:after="120"/>
        <w:ind w:hanging="720" w:start="1440" w:end="720"/>
        <w:rPr/>
      </w:pPr>
      <w:r>
        <w:rPr/>
        <w:t xml:space="preserve">Deposits to debt-service reserves established under the Financing Documents. </w:t>
      </w:r>
    </w:p>
    <w:p>
      <w:pPr>
        <w:pStyle w:val="standard"/>
        <w:keepNext w:val="true"/>
        <w:spacing w:lineRule="auto" w:line="240" w:before="120" w:after="40"/>
        <w:ind w:hanging="0" w:start="720" w:end="720"/>
        <w:rPr/>
      </w:pPr>
      <w:r>
        <w:rPr>
          <w:b/>
          <w:bCs/>
        </w:rPr>
        <w:t xml:space="preserve">Operating Expenses </w:t>
      </w:r>
      <w:r>
        <w:rPr/>
        <w:t xml:space="preserve">are the following costs and expenses of DWR: </w:t>
      </w:r>
    </w:p>
    <w:p>
      <w:pPr>
        <w:pStyle w:val="standard"/>
        <w:tabs>
          <w:tab w:val="clear" w:pos="720"/>
          <w:tab w:val="left" w:pos="1260" w:leader="none"/>
        </w:tabs>
        <w:spacing w:lineRule="auto" w:line="240" w:before="40" w:after="40"/>
        <w:ind w:hanging="540" w:start="1260" w:end="720"/>
        <w:rPr/>
      </w:pPr>
      <w:r>
        <w:rPr/>
        <w:t xml:space="preserve">(i) </w:t>
        <w:tab/>
        <w:t xml:space="preserve">Costs incurred to purchase and deliver Power including, (but not limited to), amounts payable under short-term and long-term Power Purchase Contracts, termination and liquidation damage payments, payments relating to emission costs and emission opportunity costs, amounts payable for balance-of-month Power, hour-ahead Power, and real-time balancing Power, including in-market and out-of-market purchases, and costs incurred for transmission, distribution, scheduling, dispatch, and other expenses incurred by DWR in connection with the delivery of its Power. </w:t>
      </w:r>
    </w:p>
    <w:p>
      <w:pPr>
        <w:pStyle w:val="standard"/>
        <w:tabs>
          <w:tab w:val="clear" w:pos="720"/>
          <w:tab w:val="left" w:pos="1260" w:leader="none"/>
        </w:tabs>
        <w:spacing w:lineRule="auto" w:line="240" w:before="40" w:after="40"/>
        <w:ind w:hanging="540" w:start="1260" w:end="720"/>
        <w:rPr/>
      </w:pPr>
      <w:r>
        <w:rPr/>
        <w:t xml:space="preserve">(ii) </w:t>
        <w:tab/>
        <w:t>Costs incurred in connection with fuel used in the production of Power purchased by DWR, whether payable as a charge under a Power Purchase Contract or a separate contract for the purchase, transportation or storage of fuel used in the generation of Power, including but not limited to termination and liquidated damage payments under fuel purchase agreements, payments under options or other fuel or electricity instruments, and payments under financial instruments relating to fuel costs or costs related to fuel costs.</w:t>
      </w:r>
    </w:p>
    <w:p>
      <w:pPr>
        <w:pStyle w:val="standard"/>
        <w:tabs>
          <w:tab w:val="clear" w:pos="720"/>
          <w:tab w:val="left" w:pos="1260" w:leader="none"/>
        </w:tabs>
        <w:spacing w:lineRule="auto" w:line="240" w:before="40" w:after="40"/>
        <w:ind w:hanging="540" w:start="1260" w:end="720"/>
        <w:rPr/>
      </w:pPr>
      <w:r>
        <w:rPr/>
        <w:t xml:space="preserve">(iii) </w:t>
        <w:tab/>
        <w:t>Costs incurred to avoid or minimize the amount of Power required to be purchased for retail customers pursuant to AB 1X, as follows:  the 20/20 conservation program, the California ISO demand-relief program, and the demand-bidding program jointly developed by the California ISO, the Commission, and the three investor-owned utilities.</w:t>
      </w:r>
    </w:p>
    <w:p>
      <w:pPr>
        <w:pStyle w:val="standard"/>
        <w:tabs>
          <w:tab w:val="clear" w:pos="720"/>
          <w:tab w:val="left" w:pos="1260" w:leader="none"/>
        </w:tabs>
        <w:spacing w:lineRule="auto" w:line="240" w:before="40" w:after="40"/>
        <w:ind w:hanging="540" w:start="1260" w:end="720"/>
        <w:rPr/>
      </w:pPr>
      <w:r>
        <w:rPr/>
        <w:t>(iv)</w:t>
        <w:tab/>
        <w:t>Payments under any security agreements executed in connection with Power Purchase Contracts, contracts for the purchase, transportation, and storage of fuel, or any other agreement relating to the purchase of Power.</w:t>
      </w:r>
    </w:p>
    <w:p>
      <w:pPr>
        <w:pStyle w:val="standard"/>
        <w:tabs>
          <w:tab w:val="clear" w:pos="720"/>
          <w:tab w:val="left" w:pos="1260" w:leader="none"/>
        </w:tabs>
        <w:spacing w:lineRule="auto" w:line="240" w:before="40" w:after="40"/>
        <w:ind w:hanging="540" w:start="1260" w:end="720"/>
        <w:rPr/>
      </w:pPr>
      <w:r>
        <w:rPr/>
        <w:t>(v)</w:t>
        <w:tab/>
        <w:t>Reasonable administrative, general, and overhead expenses and payments for employee benefits, provided all such expenses and payments are appropriated or approved by the Legislature.</w:t>
      </w:r>
    </w:p>
    <w:p>
      <w:pPr>
        <w:pStyle w:val="standard"/>
        <w:tabs>
          <w:tab w:val="clear" w:pos="720"/>
          <w:tab w:val="left" w:pos="1260" w:leader="none"/>
        </w:tabs>
        <w:spacing w:lineRule="auto" w:line="240" w:before="40" w:after="40"/>
        <w:ind w:hanging="540" w:start="1260" w:end="720"/>
        <w:rPr/>
      </w:pPr>
      <w:r>
        <w:rPr/>
        <w:t>(vi)</w:t>
        <w:tab/>
        <w:t>Insurance premiums.</w:t>
      </w:r>
    </w:p>
    <w:p>
      <w:pPr>
        <w:pStyle w:val="standard"/>
        <w:tabs>
          <w:tab w:val="clear" w:pos="720"/>
          <w:tab w:val="left" w:pos="1260" w:leader="none"/>
        </w:tabs>
        <w:spacing w:lineRule="auto" w:line="240" w:before="40" w:after="40"/>
        <w:ind w:hanging="540" w:start="1260" w:end="720"/>
        <w:rPr/>
      </w:pPr>
      <w:r>
        <w:rPr/>
        <w:t>(vii)</w:t>
        <w:tab/>
        <w:t>Expenses for legal, engineering, technical, and consulting services.</w:t>
      </w:r>
    </w:p>
    <w:p>
      <w:pPr>
        <w:pStyle w:val="standard"/>
        <w:tabs>
          <w:tab w:val="clear" w:pos="720"/>
          <w:tab w:val="left" w:pos="1260" w:leader="none"/>
        </w:tabs>
        <w:spacing w:lineRule="auto" w:line="240" w:before="40" w:after="40"/>
        <w:ind w:hanging="540" w:start="1260" w:end="720"/>
        <w:rPr/>
      </w:pPr>
      <w:r>
        <w:rPr/>
        <w:t>(viii)Charges payable by DWR pursuant to any licenses, orders, or mandates from any agency or regulatory body having lawful jurisdiction.</w:t>
      </w:r>
    </w:p>
    <w:p>
      <w:pPr>
        <w:pStyle w:val="standard"/>
        <w:tabs>
          <w:tab w:val="clear" w:pos="720"/>
          <w:tab w:val="left" w:pos="1260" w:leader="none"/>
        </w:tabs>
        <w:spacing w:lineRule="auto" w:line="240" w:before="40" w:after="40"/>
        <w:ind w:hanging="540" w:start="1260" w:end="720"/>
        <w:rPr/>
      </w:pPr>
      <w:r>
        <w:rPr/>
        <w:t xml:space="preserve">(ix) </w:t>
        <w:tab/>
        <w:t xml:space="preserve">Any taxes, governmental charges, and other costs and expenses DWR is required to pay.  </w:t>
      </w:r>
    </w:p>
    <w:p>
      <w:pPr>
        <w:pStyle w:val="standard"/>
        <w:tabs>
          <w:tab w:val="clear" w:pos="720"/>
          <w:tab w:val="left" w:pos="1260" w:leader="none"/>
        </w:tabs>
        <w:spacing w:lineRule="auto" w:line="240" w:before="40" w:after="40"/>
        <w:ind w:hanging="540" w:start="1260" w:end="720"/>
        <w:rPr/>
      </w:pPr>
      <w:r>
        <w:rPr/>
        <w:t>(x) </w:t>
        <w:tab/>
        <w:t>Expenses, liabilities, and compensation of the trustees or other fiduciaries required to be paid under the Financing Documents or pursuant to AB 1X, including charges and expenses payable during the continuance of an event of default thereunder.</w:t>
      </w:r>
    </w:p>
    <w:p>
      <w:pPr>
        <w:pStyle w:val="standard"/>
        <w:tabs>
          <w:tab w:val="clear" w:pos="720"/>
          <w:tab w:val="left" w:pos="1260" w:leader="none"/>
        </w:tabs>
        <w:spacing w:lineRule="auto" w:line="240" w:before="40" w:after="40"/>
        <w:ind w:hanging="540" w:start="1260" w:end="720"/>
        <w:rPr/>
      </w:pPr>
      <w:r>
        <w:rPr/>
        <w:t xml:space="preserve">(xi) </w:t>
        <w:tab/>
        <w:t>Costs to comply with any arbitrage restrictions or rebate requirements relating to the Bonds under Section 148 of the Internal Revenue Code of 1986 and applicable regulations.</w:t>
      </w:r>
    </w:p>
    <w:p>
      <w:pPr>
        <w:pStyle w:val="standard"/>
        <w:tabs>
          <w:tab w:val="clear" w:pos="720"/>
          <w:tab w:val="left" w:pos="1260" w:leader="none"/>
        </w:tabs>
        <w:spacing w:lineRule="auto" w:line="240" w:before="40" w:after="240"/>
        <w:ind w:hanging="547" w:start="1267" w:end="720"/>
        <w:rPr/>
      </w:pPr>
      <w:r>
        <w:rPr/>
        <w:t xml:space="preserve">(xii) Deposits to fund or replenish operating reserves established under the Financing Documents. </w:t>
      </w:r>
    </w:p>
    <w:p>
      <w:pPr>
        <w:pStyle w:val="standard"/>
        <w:rPr/>
      </w:pPr>
      <w:r>
        <w:rPr/>
        <w:t>The proposed Rate Agreement provides that DWR will recover its Revenue Requirement from Retail End Use Customers</w:t>
      </w:r>
      <w:r>
        <w:rPr>
          <w:rStyle w:val="FootnoteCharacters"/>
          <w:rStyle w:val="FootnoteReference"/>
        </w:rPr>
        <w:footnoteReference w:id="38"/>
      </w:r>
      <w:r>
        <w:rPr/>
        <w:t xml:space="preserve"> via the Department Charges.  Department Charges</w:t>
      </w:r>
      <w:r>
        <w:rPr>
          <w:rStyle w:val="FootnoteCharacters"/>
          <w:rStyle w:val="FootnoteReference"/>
        </w:rPr>
        <w:footnoteReference w:id="39"/>
      </w:r>
      <w:r>
        <w:rPr/>
        <w:t xml:space="preserve"> will be established by the Commission and included in the rates paid by Retail End Use Customers.  The Commission agrees to impose Department Charges that are sufficient to provide funds in the amounts and at the times necessary to satisfy the Revenue Requirement.</w:t>
      </w:r>
      <w:r>
        <w:rPr>
          <w:rStyle w:val="FootnoteCharacters"/>
          <w:rStyle w:val="FootnoteReference"/>
        </w:rPr>
        <w:footnoteReference w:id="40"/>
      </w:r>
      <w:r>
        <w:rPr/>
        <w:t xml:space="preserve">  The Commission also agrees to establish Department Charges without regard to other rates established by the Commission for power sold by Electrical Corporations.</w:t>
      </w:r>
      <w:r>
        <w:rPr>
          <w:rStyle w:val="FootnoteCharacters"/>
          <w:rStyle w:val="FootnoteReference"/>
        </w:rPr>
        <w:footnoteReference w:id="41"/>
      </w:r>
      <w:r>
        <w:rPr/>
        <w:t xml:space="preserve">  </w:t>
      </w:r>
    </w:p>
    <w:p>
      <w:pPr>
        <w:pStyle w:val="standard"/>
        <w:rPr/>
      </w:pPr>
      <w:r>
        <w:rPr/>
        <w:t>The proposed Rate Agreement intends that the Commission will set Department Charges quickly enough to prevent the balance in the Fund from falling below DWR-set reserve levels.  After DWR provides notice of its Revenue Requirement to the Commission, the proposed Rate Agreement requires the Commission to adjust Department Charges, as necessary, within 90 days.</w:t>
      </w:r>
      <w:r>
        <w:rPr>
          <w:rStyle w:val="FootnoteCharacters"/>
          <w:rStyle w:val="FootnoteReference"/>
        </w:rPr>
        <w:footnoteReference w:id="42"/>
      </w:r>
      <w:r>
        <w:rPr/>
        <w:t xml:space="preserve">  If DWR certifies that certain extraordinary conditions exist,</w:t>
      </w:r>
      <w:r>
        <w:rPr>
          <w:rStyle w:val="FootnoteCharacters"/>
          <w:rStyle w:val="FootnoteReference"/>
        </w:rPr>
        <w:footnoteReference w:id="43"/>
      </w:r>
      <w:r>
        <w:rPr/>
        <w:t xml:space="preserve"> the Commission agrees to adjust Department Charges in as little as 30 days.</w:t>
      </w:r>
      <w:r>
        <w:rPr>
          <w:rStyle w:val="FootnoteCharacters"/>
          <w:rStyle w:val="FootnoteReference"/>
        </w:rPr>
        <w:footnoteReference w:id="44"/>
      </w:r>
      <w:r>
        <w:rPr/>
        <w:t xml:space="preserve">  </w:t>
      </w:r>
    </w:p>
    <w:p>
      <w:pPr>
        <w:pStyle w:val="standard"/>
        <w:rPr/>
      </w:pPr>
      <w:r>
        <w:rPr/>
        <w:t>The proposed Rate Agreement requires DWR to provide specified information to the Commission with its Revenue Requirement.  This information includes the undercollection of the Revenue Requirement, the amount of power DWR expects to deliver, and a forecast of the Revenue Requirement during each month of the applicable period.</w:t>
      </w:r>
      <w:r>
        <w:rPr>
          <w:rStyle w:val="FootnoteCharacters"/>
          <w:rStyle w:val="FootnoteReference"/>
        </w:rPr>
        <w:footnoteReference w:id="45"/>
      </w:r>
      <w:r>
        <w:rPr/>
        <w:t xml:space="preserve">  The proposed Rate Agreement also requires DWR expeditiously to notify the Commission whenever there is a change in circumstances (e.g., changes in state law, financing terms, etc.) that result in a reduction or other change in the Revenue Requirement.</w:t>
      </w:r>
      <w:r>
        <w:rPr>
          <w:rStyle w:val="FootnoteCharacters"/>
          <w:rStyle w:val="FootnoteReference"/>
        </w:rPr>
        <w:footnoteReference w:id="46"/>
      </w:r>
      <w:r>
        <w:rPr/>
        <w:t xml:space="preserve">  </w:t>
      </w:r>
    </w:p>
    <w:p>
      <w:pPr>
        <w:pStyle w:val="standard"/>
        <w:rPr/>
      </w:pPr>
      <w:r>
        <w:rPr/>
        <w:t>The proposed Rate Agreement also establishes the responsibilities of DWR and the Commission with respect to Pub. Util. Code § 451.  In particular, DWR agrees that prior to including any costs in the Revenue Requirement communicated to the Commission, DWR will determine that such costs are just and reasonable within the meaning of Pub. Util. Code § 451.</w:t>
      </w:r>
      <w:r>
        <w:rPr>
          <w:rStyle w:val="FootnoteCharacters"/>
          <w:rStyle w:val="FootnoteReference"/>
        </w:rPr>
        <w:footnoteReference w:id="47"/>
      </w:r>
      <w:r>
        <w:rPr/>
        <w:t xml:space="preserve">  The Commission, in turn, agrees to accept the Revenue Requirement as determined by DWR.  However, the Commission may ask DWR to correct its Revenue Requirement if the Commission finds that the Revenue Requirement contains an arithmetic error or costs that are not authorized by the proposed Rate Agreement.</w:t>
      </w:r>
      <w:r>
        <w:rPr>
          <w:rStyle w:val="FootnoteCharacters"/>
          <w:rStyle w:val="FootnoteReference"/>
        </w:rPr>
        <w:footnoteReference w:id="48"/>
      </w:r>
      <w:r>
        <w:rPr/>
        <w:t xml:space="preserve">  </w:t>
      </w:r>
    </w:p>
    <w:p>
      <w:pPr>
        <w:pStyle w:val="standard"/>
        <w:rPr/>
      </w:pPr>
      <w:r>
        <w:rPr/>
        <w:t>In addition to addressing the roles of the Commission and DWR with respect to one another, the proposed Rate Agreement defines certain Commission actions with respect to utilities.  In particular, the proposed Rate Agreement requires the Commission, at the request of DWR, to order Electrical Corporations to (1) transmit and deliver all Power made available by DWR to retail end use customers; (2) provide billing, collection, and other related services, as agent of DWR, on terms and conditions that reasonably compensate the Electrical Corporations for their services; and (3) provide DWR with information concerning sales of power and power consumption by retail end use customers, in such detail as is reasonably requested by DWR.</w:t>
      </w:r>
      <w:r>
        <w:rPr>
          <w:rStyle w:val="FootnoteCharacters"/>
          <w:rStyle w:val="FootnoteReference"/>
        </w:rPr>
        <w:footnoteReference w:id="49"/>
      </w:r>
      <w:r>
        <w:rPr/>
        <w:t xml:space="preserve">  In addition, the Rate Agreement requires the Commission to enforce existing rules and regulations that require Electrical Corporations to disconnect utility service to Retail End Use Customers who fail to pay for power sold by Electrical Corporations or DWR.</w:t>
      </w:r>
      <w:r>
        <w:rPr>
          <w:rStyle w:val="FootnoteCharacters"/>
          <w:rStyle w:val="FootnoteReference"/>
        </w:rPr>
        <w:footnoteReference w:id="50"/>
      </w:r>
      <w:r>
        <w:rPr/>
        <w:t xml:space="preserve">  </w:t>
      </w:r>
    </w:p>
    <w:p>
      <w:pPr>
        <w:pStyle w:val="standard"/>
        <w:rPr/>
      </w:pPr>
      <w:r>
        <w:rPr/>
        <w:t>The proposed Rate Agreement contains several provisions designed to protect bondholders.  First, the Commission agrees that it will not take any action that adversely affects the tax-exempt status of the Bonds.  Second, the Commission agrees to take action, at the direction of DWR, to protect the tax-exempt status of the Bonds.</w:t>
      </w:r>
      <w:r>
        <w:rPr>
          <w:rStyle w:val="FootnoteCharacters"/>
          <w:rStyle w:val="FootnoteReference"/>
        </w:rPr>
        <w:footnoteReference w:id="51"/>
      </w:r>
      <w:r>
        <w:rPr/>
        <w:t xml:space="preserve">  Third, the proposed Rate Agreement includes the following pledge authorized by Water Code § 80200(e):  “While any obligations of [DWR] incurred under [AB 1X] remain outstanding and not fully performed or discharged, the rights, powers, duties and existence of [DWR] and the Commission shall not be diminished or impaired in any manner that will affect adversely the interests and rights of the holders of or parties to such obligations.</w:t>
      </w:r>
      <w:r>
        <w:rPr>
          <w:rStyle w:val="FootnoteCharacters"/>
          <w:rStyle w:val="FootnoteReference"/>
        </w:rPr>
        <w:footnoteReference w:id="52"/>
      </w:r>
      <w:r>
        <w:rPr/>
        <w:t>”  Finally, if the Commission defaults on its obligations under the proposed Rate Agreement, and the Commission does not cure the defaults after receiving notice of the defaults from DWR, the proposed Rate Agreement provides that DWR may take whatever action it deems necessary to enforce Commission performance.</w:t>
      </w:r>
      <w:r>
        <w:rPr>
          <w:rStyle w:val="FootnoteCharacters"/>
          <w:rStyle w:val="FootnoteReference"/>
        </w:rPr>
        <w:footnoteReference w:id="53"/>
      </w:r>
      <w:r>
        <w:rPr/>
        <w:t xml:space="preserve">  Such action may include legal action to enforce Commission performance. </w:t>
      </w:r>
    </w:p>
    <w:p>
      <w:pPr>
        <w:pStyle w:val="standard"/>
        <w:rPr/>
      </w:pPr>
      <w:r>
        <w:rPr/>
        <w:t>The proposed Rate Agreement allows DWR to assign to the Trustee identified in the Financing Documents the Commission</w:t>
      </w:r>
      <w:r>
        <w:rPr>
          <w:rFonts w:cs="Times New Roman" w:ascii="Times New Roman" w:hAnsi="Times New Roman"/>
        </w:rPr>
        <w:t>’</w:t>
      </w:r>
      <w:r>
        <w:rPr/>
        <w:t>s covenants in the Rate Agreement regarding the imposition of Department Charges.  The Trustee’s right to enforce such covenants commences only after DWR has (i) defaulted on its obligations contained in the Financing Documents, and (ii) failed to enforce the Commission’s covenants in accordance with the terms of the proposed Rate Agreement.</w:t>
      </w:r>
      <w:r>
        <w:rPr>
          <w:rStyle w:val="FootnoteCharacters"/>
          <w:rStyle w:val="FootnoteReference"/>
        </w:rPr>
        <w:footnoteReference w:id="54"/>
      </w:r>
      <w:r>
        <w:rPr/>
        <w:t xml:space="preserve">  </w:t>
      </w:r>
    </w:p>
    <w:p>
      <w:pPr>
        <w:pStyle w:val="standard"/>
        <w:rPr/>
      </w:pPr>
      <w:r>
        <w:rPr/>
        <w:t xml:space="preserve">Finally, the proposed Rate Agreement addresses certain changes in future circumstances.  The Rate Agreement states that a “Transition Event” will occur the earlier of (i) 120 days preceding the last day that DWR is authorized by AB 1X to execute new agreements for the purchase of Power, or (ii) 120 days after the Commission provides </w:t>
      </w:r>
      <w:r>
        <w:rPr/>
        <w:t>written</w:t>
      </w:r>
      <w:r>
        <w:rPr/>
        <w:t xml:space="preserve"> notice to DWR that an Electrical Corporation has sufficient financial resources to procure the Corporation</w:t>
      </w:r>
      <w:r>
        <w:rPr>
          <w:rFonts w:cs="Times New Roman" w:ascii="Times New Roman" w:hAnsi="Times New Roman"/>
        </w:rPr>
        <w:t>’</w:t>
      </w:r>
      <w:r>
        <w:rPr/>
        <w:t>s residual net-short load</w:t>
      </w:r>
      <w:r>
        <w:rPr>
          <w:rStyle w:val="FootnoteCharacters"/>
          <w:rStyle w:val="FootnoteReference"/>
        </w:rPr>
        <w:footnoteReference w:id="55"/>
      </w:r>
      <w:r>
        <w:rPr/>
        <w:t xml:space="preserve"> (i.e. the portion of the net-short load not provided by Power Purchase Contracts in effect as of the Transition Date).  The proposed Rate Agreement </w:t>
      </w:r>
      <w:r>
        <w:rPr/>
        <w:t>requires</w:t>
      </w:r>
      <w:r>
        <w:rPr/>
        <w:t xml:space="preserve"> DWR to file an appropriately adjusted Revenue Requirement on or prior to the Transition Date.  </w:t>
      </w:r>
      <w:r>
        <w:rPr/>
        <w:t>The</w:t>
      </w:r>
      <w:r>
        <w:rPr/>
        <w:t xml:space="preserve"> proposed Rate Agreement also provides that prior to the Transition Date, the Commission, DWR, and the applicable Electrical Corporation shall together develop a plan to transfer the responsibility for procuring the residual net-short load to the Electrical Corporation.  The plan may include the assignment of DWR</w:t>
      </w:r>
      <w:r>
        <w:rPr>
          <w:rFonts w:cs="Times New Roman" w:ascii="Times New Roman" w:hAnsi="Times New Roman"/>
        </w:rPr>
        <w:t>’</w:t>
      </w:r>
      <w:r>
        <w:rPr/>
        <w:t>s Power Purchase Contracts to the Electrical Corporation.</w:t>
      </w:r>
      <w:r>
        <w:rPr>
          <w:rStyle w:val="FootnoteCharacters"/>
          <w:rStyle w:val="FootnoteReference"/>
        </w:rPr>
        <w:footnoteReference w:id="56"/>
      </w:r>
      <w:r>
        <w:rPr/>
        <w:t xml:space="preserve">  </w:t>
      </w:r>
    </w:p>
    <w:p>
      <w:pPr>
        <w:pStyle w:val="standard"/>
        <w:rPr/>
      </w:pPr>
      <w:r>
        <w:rPr/>
        <w:t>The proposed Rate Agreement states that once the Commission has provided notice to DWR that an Electrical Corporation is ready to procure its residual net-short load, DWR will not solicit additional power contracts of more than one-year duration for the provision of power to the retail customers of the Electrical Corporation.  However, the fact that the Commission provides such notice does not affect the ability, right, or obligation of DWR to perform its obligations under AB 1X or the contracts entered into prior to the Transition Date; nor does it affect the right, ability, or obligation of the Commission to perform its obligations under the Rate Agreement.</w:t>
      </w:r>
      <w:r>
        <w:rPr>
          <w:rStyle w:val="FootnoteCharacters"/>
          <w:rStyle w:val="FootnoteReference"/>
        </w:rPr>
        <w:footnoteReference w:id="57"/>
      </w:r>
      <w:r>
        <w:rPr/>
        <w:t xml:space="preserve"> </w:t>
      </w:r>
    </w:p>
    <w:p>
      <w:pPr>
        <w:pStyle w:val="Heading1"/>
        <w:widowControl/>
        <w:numPr>
          <w:ilvl w:val="0"/>
          <w:numId w:val="5"/>
        </w:numPr>
        <w:rPr/>
      </w:pPr>
      <w:bookmarkStart w:id="8" w:name="__RefHeading___Toc523530391"/>
      <w:r>
        <w:rPr/>
        <w:t>Discussion</w:t>
      </w:r>
      <w:bookmarkEnd w:id="8"/>
      <w:r>
        <w:rPr/>
        <w:t xml:space="preserve">  </w:t>
      </w:r>
    </w:p>
    <w:p>
      <w:pPr>
        <w:pStyle w:val="standard"/>
        <w:rPr/>
      </w:pPr>
      <w:r>
        <w:rPr/>
        <w:t xml:space="preserve">The proposed Rate Agreement has a number of significant ramifications.  The most significant is that the Rate Agreement makes DWR exclusively responsible for both determining whether its AB 1X-authorized power purchase costs passed on to ratepayers are just and reasonable and determining what process it will use in making that determination.  In its submissions, DWR did not indicate what public process it would provide in future instances.  In addition, the proposed Rate Agreement forecloses further debate on the business model DWR has adopted.  That business model requires DWR to buy and sell power until the Bonds are paid off with the result that the state must maintain – at least partially – its role as the purchaser of net short power for at least another decade.  The Rate Agreement also ensures that DWR will have adequate funds to pay both power suppliers and bondholders, thereby enabling DWR to carry out its plan to guarantee payment for power suppliers in advance of bondholders.  Finally, the Rate Agreement also forecloses debate on whether DWR should fund interruptible programs, as the proposed Rate Agreement allows DWR to include the cost of these programs in its Revenue Requirement.  </w:t>
      </w:r>
    </w:p>
    <w:p>
      <w:pPr>
        <w:pStyle w:val="standard"/>
        <w:rPr/>
      </w:pPr>
      <w:r>
        <w:rPr/>
        <w:t xml:space="preserve">Adoption of the Rate Agreement without modification—as urged by DWR—raises significant concerns.  All parties commenting on the Rate Agreement, with the exception of the Treasurer and DWR, urge the Commission to reject or significantly modify the terms of the proposed Rate Agreement or to delay adoption of the Rate Agreement until evidentiary hearings on DWR’s costs are held or until the Financing Documents are final.  We will modify the agreement to address certain of these concerns, including incorporating some of the modifications suggested by TURN and the Treasurer.  However, adoption of the modified Rate Agreement is a significant event.  Once adopted and finalized, the Rate Agreement will be irrevocable.  Because the Commission’s decision is discretionary, we are faced with an important and historic decision. </w:t>
      </w:r>
    </w:p>
    <w:p>
      <w:pPr>
        <w:pStyle w:val="Heading2"/>
        <w:numPr>
          <w:ilvl w:val="1"/>
          <w:numId w:val="5"/>
        </w:numPr>
        <w:rPr/>
      </w:pPr>
      <w:bookmarkStart w:id="9" w:name="__RefHeading___Toc523530392"/>
      <w:r>
        <w:rPr/>
        <w:t>The Rate Agreement Is in the Public Interest</w:t>
      </w:r>
      <w:bookmarkEnd w:id="9"/>
      <w:r>
        <w:rPr/>
        <w:t xml:space="preserve">  </w:t>
      </w:r>
    </w:p>
    <w:p>
      <w:pPr>
        <w:pStyle w:val="standard"/>
        <w:rPr/>
      </w:pPr>
      <w:r>
        <w:rPr/>
        <w:t xml:space="preserve">The parties have raised several issues regarding the proposed Rate Agreement.  Parties are particularly concerned that the Rate Agreement lacks any provisions to protect the due process rights of the parties or to ensure that the costs included by DWR in its Revenue Requirements are just and reasonable.  This is especially disturbing, in the parties’ view, given that the Rate Agreement is irrevocable.  </w:t>
      </w:r>
    </w:p>
    <w:p>
      <w:pPr>
        <w:pStyle w:val="standard"/>
        <w:rPr/>
      </w:pPr>
      <w:r>
        <w:rPr/>
        <w:t>We understand and share the unease that many parties articulated concerning the Rate Agreement.  However, adoption of the Rate Agreement, as modified today, is vital to California’s ability to pay for the excessive wholesale costs that were charged by power suppliers during the electricity crisis.  The Rate Agreement establishes an irrevocable mechanism for DWR to recover its Revenue Requirement.  We accept DWR’s representation that, in order for it to issue Bonds with investment-grade credit ratings pursuant to the power-purchase program and Bond repayment structure that it has created, the Rate Agreement must include a mechanism that allows DWR to recover its Operating Expenses in addition to Bond-Related Costs.</w:t>
      </w:r>
      <w:r>
        <w:rPr>
          <w:rStyle w:val="FootnoteCharacters"/>
          <w:rStyle w:val="FootnoteReference"/>
        </w:rPr>
        <w:footnoteReference w:id="58"/>
      </w:r>
      <w:r>
        <w:rPr/>
        <w:t xml:space="preserve">  Thus, the Rate Agreement is a necessary predicate to the bond transaction developed and undertaken by the Administration and the State Treasurer.  The issuance of Bonds to repay power purchases made with General Fund monies, in turn, is essential to protect the financial integrity of the State of California by providing funds to reimburse the State for billions of dollars it has spent to purchase power.</w:t>
      </w:r>
    </w:p>
    <w:p>
      <w:pPr>
        <w:pStyle w:val="standard"/>
        <w:rPr/>
      </w:pPr>
      <w:r>
        <w:rPr/>
        <w:t>Moreover, because AB 1X requires the Commission to provide DWR with revenues from rates sufficient to meet its AB 1X-authorized power purchase costs and the cost of repaying principal and interest on the Bonds, the Rate Agreement constitutes a valid means of carrying out the Legislature’s intent, to the extent that it contains provisions that accomplish that goal.</w:t>
      </w:r>
    </w:p>
    <w:p>
      <w:pPr>
        <w:pStyle w:val="standard"/>
        <w:rPr/>
      </w:pPr>
      <w:r>
        <w:rPr/>
        <w:t xml:space="preserve">Despite our unease with the Rate Agreement, we conclude that the Rate Agreement, as modified today, is, on balance, in the public interest and we shall adopt it.  However, as discussed in more detail below, not all provisions in the proposed Rate Agreement comply with AB 1X.  In addition, certain key provisions contained in AB 1X regarding the Commission’s authority and responsibilities are not reflected in the Agreement.  The Rate Agreement we adopt today in an amended form more closely conforms to AB 1X.   </w:t>
      </w:r>
    </w:p>
    <w:p>
      <w:pPr>
        <w:pStyle w:val="standard"/>
        <w:rPr/>
      </w:pPr>
      <w:r>
        <w:rPr/>
        <w:t xml:space="preserve">The Rate Agreement, as modified by today’s decision, provides DWR with considerable influence over both electric rates and electric utilities.  However, this influence does not constitute an unlawful transfer of the Commission’s regulatory authority to DWR.  Water Code § 80110 provides authority for those provisions in the Rate Agreement that preclude the Commission from determining whether the costs included by DWR in its Revenue Requirement are </w:t>
      </w:r>
      <w:r>
        <w:rPr/>
        <w:t>just</w:t>
      </w:r>
      <w:r>
        <w:rPr/>
        <w:t xml:space="preserve"> and </w:t>
      </w:r>
      <w:r>
        <w:rPr/>
        <w:t>reasonable</w:t>
      </w:r>
      <w:r>
        <w:rPr/>
        <w:t>.  Similarly, Water Code §§ 80110, 80130, and 80134 provide authority for those provisions that require the Commission, when requested by DWR, to set rates to recover the Revenue Requirement.  Similarly, Water Code §§ 80106(b) and 80108 provide authority for those provisions that require the Commission, when requested by DWR, to establish and enforce servicing agreements.</w:t>
      </w:r>
      <w:r>
        <w:rPr>
          <w:rStyle w:val="FootnoteCharacters"/>
          <w:rStyle w:val="FootnoteReference"/>
        </w:rPr>
        <w:footnoteReference w:id="59"/>
      </w:r>
      <w:r>
        <w:rPr/>
        <w:t xml:space="preserve">  In addition, Water Code §§ 80132(e) and 80200(e) provide authority for those provisions that require the Commission, when requested by DWR, to take action to protect the tax-exempt status of the Bonds.  All of the aforementioned provisions are necessary for the issuance of the Bonds as structured and undertaken by DWR and the Treasurer’s Office.  The Commission must adopt the Rate Agreement without delay according to comments filed by DWR, the Treasurer and the Treasurer’s Bond advisors.  </w:t>
      </w:r>
    </w:p>
    <w:p>
      <w:pPr>
        <w:pStyle w:val="standard"/>
        <w:rPr/>
      </w:pPr>
      <w:r>
        <w:rPr/>
        <w:t>There is no need for the Rate Agreement itself to contain provisions detailing the procedures that DWR must use to conduct the § 451 process required by Water Code Section 80110, such as notice and an opportunity for hearing on the reasonableness of those costs passed on to ratepayers.  Under AB 1X, DWR has exclusive authority to procure electric power pursuant to the statute</w:t>
      </w:r>
      <w:r>
        <w:rPr>
          <w:rStyle w:val="FootnoteCharacters"/>
          <w:rStyle w:val="FootnoteReference"/>
        </w:rPr>
        <w:footnoteReference w:id="60"/>
      </w:r>
      <w:r>
        <w:rPr/>
        <w:t xml:space="preserve"> and to “conduct” and to “determine” the reasonableness of its Revenue Requirement pursuant to Public Utilities Code § 451.</w:t>
      </w:r>
      <w:r>
        <w:rPr>
          <w:rStyle w:val="FootnoteCharacters"/>
          <w:rStyle w:val="FootnoteReference"/>
        </w:rPr>
        <w:footnoteReference w:id="61"/>
      </w:r>
      <w:r>
        <w:rPr/>
        <w:t xml:space="preserve">  DWR bears the responsibility in the first instance to determine and then to comply with whatever legal requirements are entailed in that statute.  We hope that DWR will take advantage of those provisions in the Rate Agreement that allow for advance scrutiny and consultation regarding its Revenue Requirement.  Further, because DWR is a state agency that must act in the public interest, we assume that DWR will establish those procedures necessary to ensure that its Revenue Requirement is just and reasonable.     </w:t>
      </w:r>
    </w:p>
    <w:p>
      <w:pPr>
        <w:pStyle w:val="BodyTextIndent3"/>
        <w:rPr/>
      </w:pPr>
      <w:r>
        <w:rPr/>
        <w:t>Whenever DWR submits its Revenue Requirement to the Commission, we will provide an opportunity for the public and affected interests to participate fully and publicly in our proceedings in which we set rates to enable DWR to recover its Revenue Requirement.</w:t>
      </w:r>
      <w:r>
        <w:rPr>
          <w:rStyle w:val="FootnoteCharacters"/>
        </w:rPr>
        <w:t xml:space="preserve"> </w:t>
      </w:r>
      <w:r>
        <w:rPr>
          <w:rStyle w:val="FootnoteCharacters"/>
          <w:rStyle w:val="FootnoteReference"/>
        </w:rPr>
        <w:footnoteReference w:id="62"/>
      </w:r>
      <w:r>
        <w:rPr/>
        <w:t xml:space="preserve">  Parties will have an opportunity in these proceedings to raise issues regarding (i) the need for balancing accounts and true-ups, and (ii) whether the rates established to recover DWR’s Revenue Requirement impinge upon any utility’s ability to recover its own revenue requirement.  We will also provide an opportunity for hearings in accordance with applicable laws and regulations.  However, because the Rate Agreement requires the Commission to set rates sufficient to enable DWR to recover its Revenue Requirement rapidly, we cannot commit in the Rate Agreement to any particular procedures or process.  </w:t>
      </w:r>
    </w:p>
    <w:p>
      <w:pPr>
        <w:pStyle w:val="BodyTextIndent3"/>
        <w:rPr/>
      </w:pPr>
      <w:r>
        <w:rPr/>
        <w:t xml:space="preserve">It is not possible to condition our approval of the Rate Agreement on our subsequent review and approval of the Financing Documents.  The adoption of the Rate Agreement is a necessary predicate to the bond transaction developed and structured by the Davis Administration and the State Treasurer.  If we were to wait until those documents were final before we approved the Rate Agreement, the participants in the bond transaction would then have to wait for the appeal period of the Rate Agreement decision to end before the transaction could close.  This would cause the timeline for the issuance of the DWR bonds to extend uncomfortably close to the time when the General Fund must be repaid. </w:t>
      </w:r>
    </w:p>
    <w:p>
      <w:pPr>
        <w:pStyle w:val="BodyTextIndent3"/>
        <w:rPr/>
      </w:pPr>
      <w:r>
        <w:rPr/>
        <w:t xml:space="preserve">So that we may set rates in a timely manner, the Rate Agreement requires DWR to provide specified information to the Commission whenever DWR submits its Revenue Requirement.  The Rate Agreement also contemplates that DWR will provide any additional information the Commission may need to carry out its responsibilities under the Agreement.  All information the Commission receives from DWR will be made available to interested parties consistent with applicable laws and regulations.  </w:t>
      </w:r>
    </w:p>
    <w:p>
      <w:pPr>
        <w:pStyle w:val="Heading2"/>
        <w:numPr>
          <w:ilvl w:val="1"/>
          <w:numId w:val="5"/>
        </w:numPr>
        <w:rPr/>
      </w:pPr>
      <w:bookmarkStart w:id="10" w:name="__RefHeading___Toc523530393"/>
      <w:r>
        <w:rPr/>
        <w:t>Amendments to the Rate Agreement</w:t>
      </w:r>
      <w:bookmarkEnd w:id="10"/>
      <w:r>
        <w:rPr/>
        <w:t xml:space="preserve">  </w:t>
      </w:r>
    </w:p>
    <w:p>
      <w:pPr>
        <w:pStyle w:val="standard"/>
        <w:rPr/>
      </w:pPr>
      <w:r>
        <w:rPr/>
        <w:t xml:space="preserve">Under AB 1X, the Commission has a duty to include in rates only those costs that are authorized by the statue.  To discharge this duty, we conclude that it is necessary to amend the Rate Agreement in several respects.  </w:t>
      </w:r>
    </w:p>
    <w:p>
      <w:pPr>
        <w:pStyle w:val="standard"/>
        <w:rPr/>
      </w:pPr>
      <w:r>
        <w:rPr/>
        <w:t xml:space="preserve">First, as a threshold matter of statutory interpretation, the only costs that DWR may include in its Revenue Requirement pursuant to AB 1X are those that DWR has determined to be just and reasonable.  To ensure that the costs we pass onto ratepayers meet this requirement, we will amend Section 4.2 to state that DWR will determine if its Revenue Requirement is just and reasonable in accordance with whatever procedures are required by law.  We also amend Section 4.2 to adopt TURN’s related proposal to clarify that DWR, like the Commission, is bound by Water Code § 80110, which states that “any just and reasonable review under [Pub. Util. Code] Section 451 shall be conducted and determined by the department.”  ORA’s proposals regarding the administration of DWR’s contracts are well-taken and should be accommodated by this process.  </w:t>
      </w:r>
    </w:p>
    <w:p>
      <w:pPr>
        <w:pStyle w:val="standard"/>
        <w:rPr/>
      </w:pPr>
      <w:r>
        <w:rPr/>
        <w:t>Second, we amend Section 5.1(a) to state that the Commission may correct any arithmetic error in the Revenue Requirement submitted by DWR or exclude from the Revenue Requirement any cost that is neither a Bond-Related Cost nor an Operating Expense.  Given the short amount of time the Commission consents to in order to respond to revenue requirements submitted by DWR, it makes little sense for us to point out the correction and await a recalculation.  The procedural record in this docket indicates that in order to respond timely to the submission of a DWR Revenue Requirement, it would be faster to make the re</w:t>
        <w:noBreakHyphen/>
        <w:t xml:space="preserve">calculations ourselves.  The only other approach would be to stop the 30-day and 90-day clocks while DWR re-calculated and re-submitted, and we suspect this would not be a result beneficial to the financial community.  </w:t>
      </w:r>
    </w:p>
    <w:p>
      <w:pPr>
        <w:pStyle w:val="standard"/>
        <w:rPr/>
      </w:pPr>
      <w:r>
        <w:rPr/>
        <w:t>Third, we amend the definition of Operating Expenses in Section 1.1 of the Rate Agreement to ensure that it only encompasses costs that are authorized by AB 1X.  For example, we amend Item (iii) under the definition of Operating Expenses to clarify that costs for conservation programs are included within the definition of Operating Expenses only insofar as DWR is specifically authorized by statute to incur these costs and pay for them out of the Fund.</w:t>
      </w:r>
      <w:r>
        <w:rPr>
          <w:rStyle w:val="FootnoteCharacters"/>
          <w:rStyle w:val="FootnoteReference"/>
        </w:rPr>
        <w:footnoteReference w:id="63"/>
      </w:r>
      <w:r>
        <w:rPr/>
        <w:t xml:space="preserve">  As a result, contemplated programs developed in conjunction with the ISO are not within the scope of the modified Rate Agreement.  We also alter the description of power-purchase and associated costs so that the description only includes those costs authorized by AB 1X.</w:t>
      </w:r>
    </w:p>
    <w:p>
      <w:pPr>
        <w:pStyle w:val="standard"/>
        <w:rPr/>
      </w:pPr>
      <w:r>
        <w:rPr/>
        <w:t>Fourth, to provide adequate time to discharge our duties and accommodate notice and due process requirements, we will modify Section 5.1(d) to provide the Commission with 45 days, rather than 30 days, to implement new rates to recover DWR’s Revenue Requirement.  Although DWR will need to obtain increased revenue quickly to avoid depleting its reserves below a minimum level, the procedural record in this docket relating to DWR’s current Revenue Requirement indicates that Commission action in a 30</w:t>
        <w:noBreakHyphen/>
        <w:t xml:space="preserve">day period is simply unrealistic, especially if the Commission provides a modicum of public comment and due process for interested parties.  </w:t>
      </w:r>
    </w:p>
    <w:p>
      <w:pPr>
        <w:pStyle w:val="standard"/>
        <w:rPr/>
      </w:pPr>
      <w:r>
        <w:rPr/>
        <w:t xml:space="preserve">Fifth, to help establish that the Revenue Requirement complies with AB 1X, we will adopt TURN and the Treasurer’s proposal to add a new Section 5.1(f), which requires DWR, when requested by the Commission, to participate in Commission proceedings pertaining to the establishment of rates to recover the Revenue Requirement.  The procedures that led up to the implementation of the current revenue requirement indicate that it is appropriate to make DWR a party to such proceedings.  </w:t>
      </w:r>
    </w:p>
    <w:p>
      <w:pPr>
        <w:pStyle w:val="standard"/>
        <w:rPr/>
      </w:pPr>
      <w:r>
        <w:rPr/>
        <w:t>Sixth, we amend Section 6.3(a) to clarify the power of the Bond Trustee to enforce the Commission’s covenants in the Rate Agreement.  The Rate Agreement currently provides that the Trustee’s enforcement powers begin when the Commission’s failure to act and DWR’s failure to enforce its rights produces a default under the Financing Documents.  This is designed to ensure that the Trustee will only act when there is an adverse impact on the bondholders.  We amend Section 6.3(a) to narrowly tailor the Trustee’s ability to enforce the Commission covenants in the Rate Agreement only in situations where the Commission has defaulted under the Rate Agreement, and such default has led to an independent default under the Financing Documents.  This would prevent, for example, the granting of enforcement power to the Trustee simply by making the Commission’s failure to act without any ensuing detriment to bondholders an event of default under the Financing Documents.</w:t>
      </w:r>
    </w:p>
    <w:p>
      <w:pPr>
        <w:pStyle w:val="standard"/>
        <w:rPr/>
      </w:pPr>
      <w:r>
        <w:rPr/>
        <w:t xml:space="preserve">Seventh, we believe ORA’s and TURN’s comments raise an important point about the Trustee.  The Trustee should not have a financial interest in California energy markets.  As a result, we amend the definition of Trustee in Section 1.1 to address basic conflicts concerns.  The adopted amendment recognizes that it may not be possible to find a Trustee that simultaneously satisfies the requirements in the Financing Documents and the Rate Agreement. </w:t>
      </w:r>
    </w:p>
    <w:p>
      <w:pPr>
        <w:pStyle w:val="standard"/>
        <w:rPr/>
      </w:pPr>
      <w:r>
        <w:rPr/>
        <w:t xml:space="preserve">Eighth, the Rate Agreement places no time limit on when DWR may issue Bonds and have the Rate Agreement apply to the newly issued Bonds.  Since circumstances may change over time, we believe that it is prudent to limit the length of time under the Rate Agreement that DWR may issue Bonds to which the Rate Agreement will apply.  Accordingly, we amend Section 7.1 to provide that the Rate Agreement shall apply only to (i) Bonds with a maturity of more than five years that are issued prior to December 31, 2002, and (ii) debt issued pursuant to the Credit and Security Agreement among the State of California acting through the Department of Water Resources, Various Lenders, and Morgan Guarantee Trust Company of New York, as Agent, Dated as of June 26, 2001 (the “Credit and Security Agreement”).    </w:t>
      </w:r>
    </w:p>
    <w:p>
      <w:pPr>
        <w:pStyle w:val="standard"/>
        <w:rPr/>
      </w:pPr>
      <w:r>
        <w:rPr/>
        <w:t>Ninth, we adopt the Treasurer’s recommendation to amend Section 7.2 to state that in the event a new law is enacted that provides for an alternative financing mechanism, DWR shall use its best efforts to implement the alternative by refinancing the Bonds or by amending the Financing Documents.</w:t>
      </w:r>
      <w:r>
        <w:rPr>
          <w:rStyle w:val="FootnoteCharacters"/>
          <w:rStyle w:val="FootnoteReference"/>
        </w:rPr>
        <w:footnoteReference w:id="64"/>
      </w:r>
      <w:r>
        <w:rPr/>
        <w:t xml:space="preserve">  We also modify Section 7.2 to ensure that (i) the State Treasurer and the Commission are actively involved in evaluating any alternative financing mechanism, and (ii) any alternative financing mechanism that is both legal and practical is implemented.  </w:t>
      </w:r>
    </w:p>
    <w:p>
      <w:pPr>
        <w:pStyle w:val="standard"/>
        <w:rPr/>
      </w:pPr>
      <w:r>
        <w:rPr/>
        <w:t xml:space="preserve">Tenth, in response to comments, and as a result of our recent experience in this docket regarding the implementation of DWR’s Revenue Requirement, we alter Section 4.1(a) to provide that the Revenue Requirement that DWR submits to the Commission shall include an accounting of DWR’s actual expenditures. </w:t>
      </w:r>
    </w:p>
    <w:p>
      <w:pPr>
        <w:pStyle w:val="standard"/>
        <w:rPr/>
      </w:pPr>
      <w:r>
        <w:rPr/>
        <w:t xml:space="preserve">Eleventh, in response to comments, we amend Section 5.2(a) to include a citation of the statutory authority for this section.  </w:t>
      </w:r>
    </w:p>
    <w:p>
      <w:pPr>
        <w:pStyle w:val="standard"/>
        <w:rPr/>
      </w:pPr>
      <w:r>
        <w:rPr/>
        <w:t xml:space="preserve">Twelfth, we add to the miscellaneous provisions a new Section 9.9 that express the intent of the Agreement in regards to third-party beneficiaries.  </w:t>
      </w:r>
    </w:p>
    <w:p>
      <w:pPr>
        <w:pStyle w:val="standard"/>
        <w:rPr/>
      </w:pPr>
      <w:r>
        <w:rPr/>
        <w:t xml:space="preserve">Thirteenth, we correct typographical errors in Sections 5.1 and 5.5. </w:t>
      </w:r>
    </w:p>
    <w:p>
      <w:pPr>
        <w:pStyle w:val="standard"/>
        <w:rPr/>
      </w:pPr>
      <w:r>
        <w:rPr/>
        <w:t>Fourteenth, we make several technical corrections to the Rate Agreement.  The title page, Sections 4.1(a), 4.1(b), 4.2, and 7.2 are corrected to read, in relevant part, as follows:</w:t>
      </w:r>
    </w:p>
    <w:p>
      <w:pPr>
        <w:pStyle w:val="Normal"/>
        <w:widowControl/>
        <w:numPr>
          <w:ilvl w:val="0"/>
          <w:numId w:val="0"/>
        </w:numPr>
        <w:spacing w:before="0" w:after="200"/>
        <w:ind w:hanging="0" w:start="1080" w:end="634"/>
        <w:rPr>
          <w:rFonts w:ascii="Palatino;Book Antiqua" w:hAnsi="Palatino;Book Antiqua" w:cs="Palatino;Book Antiqua"/>
          <w:sz w:val="26"/>
        </w:rPr>
      </w:pPr>
      <w:r>
        <w:rPr>
          <w:rFonts w:cs="Palatino;Book Antiqua" w:ascii="Palatino;Book Antiqua" w:hAnsi="Palatino;Book Antiqua"/>
          <w:sz w:val="26"/>
        </w:rPr>
        <w:t>The date on the title page of the Rate Agreement is changed to September 6.</w:t>
      </w:r>
    </w:p>
    <w:p>
      <w:pPr>
        <w:pStyle w:val="Normal"/>
        <w:widowControl/>
        <w:numPr>
          <w:ilvl w:val="0"/>
          <w:numId w:val="0"/>
        </w:numPr>
        <w:spacing w:before="0" w:after="200"/>
        <w:ind w:hanging="0" w:start="1080" w:end="634"/>
        <w:rPr>
          <w:rFonts w:ascii="Palatino;Book Antiqua" w:hAnsi="Palatino;Book Antiqua" w:cs="Palatino;Book Antiqua"/>
          <w:sz w:val="26"/>
        </w:rPr>
      </w:pPr>
      <w:r>
        <w:rPr>
          <w:rFonts w:cs="Palatino;Book Antiqua" w:ascii="Palatino;Book Antiqua" w:hAnsi="Palatino;Book Antiqua"/>
          <w:sz w:val="26"/>
        </w:rPr>
        <w:t xml:space="preserve">Section 4.1(a), third sentence, is corrected as follows:  The Department shall promptly notify the Commission following any determination or revision of the </w:t>
      </w:r>
      <w:r>
        <w:rPr>
          <w:rFonts w:cs="Palatino;Book Antiqua" w:ascii="Palatino;Book Antiqua" w:hAnsi="Palatino;Book Antiqua"/>
          <w:bCs/>
          <w:iCs/>
          <w:sz w:val="26"/>
        </w:rPr>
        <w:t>Retail</w:t>
      </w:r>
      <w:r>
        <w:rPr>
          <w:rFonts w:cs="Palatino;Book Antiqua" w:ascii="Palatino;Book Antiqua" w:hAnsi="Palatino;Book Antiqua"/>
          <w:sz w:val="26"/>
        </w:rPr>
        <w:t xml:space="preserve"> Revenue Requirements, including the amount of the Retail Revenue Requirement </w:t>
      </w:r>
      <w:r>
        <w:rPr>
          <w:rFonts w:cs="Palatino;Book Antiqua" w:ascii="Palatino;Book Antiqua" w:hAnsi="Palatino;Book Antiqua"/>
          <w:bCs/>
          <w:iCs/>
          <w:strike/>
          <w:sz w:val="26"/>
        </w:rPr>
        <w:t>required</w:t>
      </w:r>
      <w:r>
        <w:rPr>
          <w:rFonts w:cs="Palatino;Book Antiqua" w:ascii="Palatino;Book Antiqua" w:hAnsi="Palatino;Book Antiqua"/>
          <w:sz w:val="26"/>
        </w:rPr>
        <w:t xml:space="preserve"> </w:t>
      </w:r>
      <w:r>
        <w:rPr>
          <w:rFonts w:cs="Palatino;Book Antiqua" w:ascii="Palatino;Book Antiqua" w:hAnsi="Palatino;Book Antiqua"/>
          <w:sz w:val="26"/>
          <w:u w:val="single"/>
        </w:rPr>
        <w:t>proposed</w:t>
      </w:r>
      <w:r>
        <w:rPr>
          <w:rFonts w:cs="Palatino;Book Antiqua" w:ascii="Palatino;Book Antiqua" w:hAnsi="Palatino;Book Antiqua"/>
          <w:sz w:val="26"/>
        </w:rPr>
        <w:t xml:space="preserve"> to be collected from Retail End Use Customers in each Service Area. </w:t>
      </w:r>
      <w:r>
        <w:rPr>
          <w:rFonts w:cs="Palatino;Book Antiqua" w:ascii="Palatino;Book Antiqua" w:hAnsi="Palatino;Book Antiqua"/>
          <w:bCs/>
          <w:iCs/>
          <w:sz w:val="26"/>
        </w:rPr>
        <w:t xml:space="preserve">(Correction shown with strikethrough and underline.) </w:t>
      </w:r>
    </w:p>
    <w:p>
      <w:pPr>
        <w:pStyle w:val="Normal"/>
        <w:widowControl/>
        <w:numPr>
          <w:ilvl w:val="0"/>
          <w:numId w:val="0"/>
        </w:numPr>
        <w:spacing w:before="0" w:after="200"/>
        <w:ind w:hanging="0" w:start="1080" w:end="634"/>
        <w:rPr/>
      </w:pPr>
      <w:r>
        <w:rPr>
          <w:rFonts w:cs="Palatino;Book Antiqua" w:ascii="Palatino;Book Antiqua" w:hAnsi="Palatino;Book Antiqua"/>
          <w:sz w:val="26"/>
        </w:rPr>
        <w:t xml:space="preserve">Section 4.1(b), second sentence, is corrected as follows:  The Retail Revenue Requirements </w:t>
      </w:r>
      <w:r>
        <w:rPr>
          <w:rFonts w:cs="Palatino;Book Antiqua" w:ascii="Palatino;Book Antiqua" w:hAnsi="Palatino;Book Antiqua"/>
          <w:bCs/>
          <w:iCs/>
          <w:sz w:val="26"/>
        </w:rPr>
        <w:t>for</w:t>
      </w:r>
      <w:r>
        <w:rPr>
          <w:rFonts w:cs="Palatino;Book Antiqua" w:ascii="Palatino;Book Antiqua" w:hAnsi="Palatino;Book Antiqua"/>
          <w:sz w:val="26"/>
        </w:rPr>
        <w:t xml:space="preserve"> any period shall take into account any deficiency </w:t>
      </w:r>
      <w:r>
        <w:rPr>
          <w:rFonts w:cs="Palatino;Book Antiqua" w:ascii="Palatino;Book Antiqua" w:hAnsi="Palatino;Book Antiqua"/>
          <w:sz w:val="26"/>
          <w:u w:val="single"/>
        </w:rPr>
        <w:t>or any surplus</w:t>
      </w:r>
      <w:r>
        <w:rPr>
          <w:rFonts w:cs="Palatino;Book Antiqua" w:ascii="Palatino;Book Antiqua" w:hAnsi="Palatino;Book Antiqua"/>
          <w:sz w:val="26"/>
        </w:rPr>
        <w:t xml:space="preserve"> in amounts recovered in earlier periods. (Correction shown with underline.)</w:t>
      </w:r>
    </w:p>
    <w:p>
      <w:pPr>
        <w:pStyle w:val="Normal"/>
        <w:widowControl/>
        <w:numPr>
          <w:ilvl w:val="0"/>
          <w:numId w:val="0"/>
        </w:numPr>
        <w:spacing w:before="0" w:after="200"/>
        <w:ind w:hanging="0" w:start="1080" w:end="634"/>
        <w:rPr/>
      </w:pPr>
      <w:r>
        <w:rPr>
          <w:rFonts w:cs="Palatino;Book Antiqua" w:ascii="Palatino;Book Antiqua" w:hAnsi="Palatino;Book Antiqua"/>
          <w:bCs/>
          <w:iCs/>
          <w:sz w:val="26"/>
        </w:rPr>
        <w:t xml:space="preserve">Section 4.2 is revised to state in its entirety as follows:  The </w:t>
      </w:r>
      <w:r>
        <w:rPr>
          <w:rFonts w:cs="Palatino;Book Antiqua" w:ascii="Palatino;Book Antiqua" w:hAnsi="Palatino;Book Antiqua"/>
          <w:bCs/>
          <w:iCs/>
          <w:sz w:val="26"/>
          <w:u w:val="single"/>
        </w:rPr>
        <w:t>Department and the</w:t>
      </w:r>
      <w:r>
        <w:rPr>
          <w:rFonts w:cs="Palatino;Book Antiqua" w:ascii="Palatino;Book Antiqua" w:hAnsi="Palatino;Book Antiqua"/>
          <w:bCs/>
          <w:iCs/>
          <w:sz w:val="26"/>
        </w:rPr>
        <w:t xml:space="preserve"> Commission acknowledge</w:t>
      </w:r>
      <w:r>
        <w:rPr>
          <w:rFonts w:cs="Palatino;Book Antiqua" w:ascii="Palatino;Book Antiqua" w:hAnsi="Palatino;Book Antiqua"/>
          <w:bCs/>
          <w:iCs/>
          <w:strike/>
          <w:sz w:val="26"/>
        </w:rPr>
        <w:t>s</w:t>
      </w:r>
      <w:r>
        <w:rPr>
          <w:rFonts w:cs="Palatino;Book Antiqua" w:ascii="Palatino;Book Antiqua" w:hAnsi="Palatino;Book Antiqua"/>
          <w:bCs/>
          <w:iCs/>
          <w:sz w:val="26"/>
        </w:rPr>
        <w:t xml:space="preserve"> Section 80110 of the Act and agree</w:t>
      </w:r>
      <w:r>
        <w:rPr>
          <w:rFonts w:cs="Palatino;Book Antiqua" w:ascii="Palatino;Book Antiqua" w:hAnsi="Palatino;Book Antiqua"/>
          <w:bCs/>
          <w:iCs/>
          <w:strike/>
          <w:sz w:val="26"/>
        </w:rPr>
        <w:t>s</w:t>
      </w:r>
      <w:r>
        <w:rPr>
          <w:rFonts w:cs="Palatino;Book Antiqua" w:ascii="Palatino;Book Antiqua" w:hAnsi="Palatino;Book Antiqua"/>
          <w:bCs/>
          <w:iCs/>
          <w:sz w:val="26"/>
        </w:rPr>
        <w:t xml:space="preserve"> to be bound by it.  The Department agrees that prior to including any cost in the </w:t>
      </w:r>
      <w:r>
        <w:rPr>
          <w:rFonts w:cs="Palatino;Book Antiqua" w:ascii="Palatino;Book Antiqua" w:hAnsi="Palatino;Book Antiqua"/>
          <w:bCs/>
          <w:iCs/>
          <w:strike/>
          <w:sz w:val="26"/>
        </w:rPr>
        <w:t>Bond</w:t>
      </w:r>
      <w:r>
        <w:rPr>
          <w:rFonts w:cs="Palatino;Book Antiqua" w:ascii="Palatino;Book Antiqua" w:hAnsi="Palatino;Book Antiqua"/>
          <w:bCs/>
          <w:iCs/>
          <w:sz w:val="26"/>
        </w:rPr>
        <w:t xml:space="preserve"> </w:t>
      </w:r>
      <w:r>
        <w:rPr>
          <w:rFonts w:cs="Palatino;Book Antiqua" w:ascii="Palatino;Book Antiqua" w:hAnsi="Palatino;Book Antiqua"/>
          <w:bCs/>
          <w:iCs/>
          <w:sz w:val="26"/>
          <w:u w:val="single"/>
        </w:rPr>
        <w:t>Retail</w:t>
      </w:r>
      <w:r>
        <w:rPr>
          <w:rFonts w:cs="Palatino;Book Antiqua" w:ascii="Palatino;Book Antiqua" w:hAnsi="Palatino;Book Antiqua"/>
          <w:b/>
          <w:iCs/>
          <w:sz w:val="26"/>
        </w:rPr>
        <w:t xml:space="preserve"> </w:t>
      </w:r>
      <w:r>
        <w:rPr>
          <w:rFonts w:cs="Palatino;Book Antiqua" w:ascii="Palatino;Book Antiqua" w:hAnsi="Palatino;Book Antiqua"/>
          <w:bCs/>
          <w:iCs/>
          <w:sz w:val="26"/>
        </w:rPr>
        <w:t xml:space="preserve">Revenue Requirements communicated to the Commission in accordance with Section 4.1(a), the Department will </w:t>
      </w:r>
      <w:r>
        <w:rPr>
          <w:rFonts w:cs="Palatino;Book Antiqua" w:ascii="Palatino;Book Antiqua" w:hAnsi="Palatino;Book Antiqua"/>
          <w:b/>
          <w:iCs/>
          <w:sz w:val="26"/>
        </w:rPr>
        <w:t>conduct whatever procedures are required by law to</w:t>
      </w:r>
      <w:r>
        <w:rPr>
          <w:rFonts w:cs="Palatino;Book Antiqua" w:ascii="Palatino;Book Antiqua" w:hAnsi="Palatino;Book Antiqua"/>
          <w:bCs/>
          <w:iCs/>
          <w:sz w:val="26"/>
        </w:rPr>
        <w:t xml:space="preserve"> determine that such cost is just and reasonable within the meaning of Section 451 of the California Public Utilities Code.” (Correction shown with strikethrough and underline.  Amendment adopted previously in this decision shown in bold font.)</w:t>
      </w:r>
    </w:p>
    <w:p>
      <w:pPr>
        <w:pStyle w:val="Normal"/>
        <w:widowControl/>
        <w:numPr>
          <w:ilvl w:val="0"/>
          <w:numId w:val="0"/>
        </w:numPr>
        <w:spacing w:before="0" w:after="240"/>
        <w:ind w:hanging="0" w:start="1080" w:end="540"/>
        <w:rPr/>
      </w:pPr>
      <w:r>
        <w:rPr>
          <w:rFonts w:cs="Palatino;Book Antiqua" w:ascii="Palatino;Book Antiqua" w:hAnsi="Palatino;Book Antiqua"/>
          <w:bCs/>
          <w:iCs/>
          <w:sz w:val="26"/>
        </w:rPr>
        <w:t xml:space="preserve">Section 5(d), first sentence, is revised to read as follows:  The Commission shall calculate and impose adjusted Department Charges within </w:t>
      </w:r>
      <w:r>
        <w:rPr>
          <w:rFonts w:cs="Palatino;Book Antiqua" w:ascii="Palatino;Book Antiqua" w:hAnsi="Palatino;Book Antiqua"/>
          <w:b/>
          <w:iCs/>
          <w:strike/>
          <w:sz w:val="26"/>
        </w:rPr>
        <w:t>30</w:t>
      </w:r>
      <w:r>
        <w:rPr>
          <w:rFonts w:cs="Palatino;Book Antiqua" w:ascii="Palatino;Book Antiqua" w:hAnsi="Palatino;Book Antiqua"/>
          <w:b/>
          <w:iCs/>
          <w:sz w:val="26"/>
        </w:rPr>
        <w:t xml:space="preserve"> </w:t>
      </w:r>
      <w:r>
        <w:rPr>
          <w:rFonts w:cs="Palatino;Book Antiqua" w:ascii="Palatino;Book Antiqua" w:hAnsi="Palatino;Book Antiqua"/>
          <w:b/>
          <w:iCs/>
          <w:sz w:val="26"/>
          <w:u w:val="single"/>
        </w:rPr>
        <w:t>45</w:t>
      </w:r>
      <w:r>
        <w:rPr>
          <w:rFonts w:cs="Palatino;Book Antiqua" w:ascii="Palatino;Book Antiqua" w:hAnsi="Palatino;Book Antiqua"/>
          <w:bCs/>
          <w:iCs/>
          <w:sz w:val="26"/>
        </w:rPr>
        <w:t xml:space="preserve"> days or such longer period as the Department may in its sole discretion specify, of receipt of a Department certificate in the form attached hereto as </w:t>
      </w:r>
      <w:r>
        <w:rPr>
          <w:rFonts w:cs="Palatino;Book Antiqua" w:ascii="Palatino;Book Antiqua" w:hAnsi="Palatino;Book Antiqua"/>
          <w:bCs/>
          <w:iCs/>
          <w:sz w:val="26"/>
          <w:u w:val="single"/>
        </w:rPr>
        <w:t>Exhibit A</w:t>
      </w:r>
      <w:r>
        <w:rPr>
          <w:rFonts w:cs="Palatino;Book Antiqua" w:ascii="Palatino;Book Antiqua" w:hAnsi="Palatino;Book Antiqua"/>
          <w:bCs/>
          <w:iCs/>
          <w:sz w:val="26"/>
        </w:rPr>
        <w:t>, requesting such expedited adjustment of Department Charges.  (Correction shown with underline.  Amendment adopted previously in this decision shown in bold font.)</w:t>
      </w:r>
    </w:p>
    <w:p>
      <w:pPr>
        <w:pStyle w:val="Normal"/>
        <w:widowControl/>
        <w:numPr>
          <w:ilvl w:val="0"/>
          <w:numId w:val="0"/>
        </w:numPr>
        <w:spacing w:before="0" w:after="240"/>
        <w:ind w:hanging="0" w:start="1080" w:end="630"/>
        <w:rPr>
          <w:rFonts w:ascii="Palatino;Book Antiqua" w:hAnsi="Palatino;Book Antiqua" w:cs="Palatino;Book Antiqua"/>
          <w:bCs/>
          <w:iCs/>
          <w:sz w:val="26"/>
        </w:rPr>
      </w:pPr>
      <w:r>
        <w:rPr>
          <w:rFonts w:cs="Palatino;Book Antiqua" w:ascii="Palatino;Book Antiqua" w:hAnsi="Palatino;Book Antiqua"/>
          <w:bCs/>
          <w:iCs/>
          <w:sz w:val="26"/>
        </w:rPr>
        <w:t xml:space="preserve">Section 7.2, seventh paragraph, last clause of last sentence is corrected as follows:  </w:t>
      </w:r>
      <w:r>
        <w:rPr>
          <w:rFonts w:cs="Palatino;Book Antiqua" w:ascii="Palatino;Book Antiqua" w:hAnsi="Palatino;Book Antiqua"/>
          <w:color w:val="000000"/>
          <w:w w:val="100"/>
          <w:sz w:val="26"/>
          <w:lang w:val="en-CA" w:eastAsia="en-CA"/>
        </w:rPr>
        <w:t xml:space="preserve">(b) affect the right, ability or obligation of the Commission to perform its obligations under this Agreement or </w:t>
      </w:r>
      <w:r>
        <w:rPr>
          <w:rFonts w:cs="Palatino;Book Antiqua" w:ascii="Palatino;Book Antiqua" w:hAnsi="Palatino;Book Antiqua"/>
          <w:color w:val="000000"/>
          <w:w w:val="100"/>
          <w:sz w:val="26"/>
          <w:u w:val="single"/>
          <w:lang w:val="en-CA" w:eastAsia="en-CA"/>
        </w:rPr>
        <w:t>to carry out its statutory obligations</w:t>
      </w:r>
      <w:r>
        <w:rPr>
          <w:rFonts w:cs="Palatino;Book Antiqua" w:ascii="Palatino;Book Antiqua" w:hAnsi="Palatino;Book Antiqua"/>
          <w:color w:val="000000"/>
          <w:w w:val="100"/>
          <w:sz w:val="26"/>
          <w:lang w:val="en-CA" w:eastAsia="en-CA"/>
        </w:rPr>
        <w:t xml:space="preserve">. </w:t>
      </w:r>
      <w:r>
        <w:rPr>
          <w:rFonts w:cs="Palatino;Book Antiqua" w:ascii="Palatino;Book Antiqua" w:hAnsi="Palatino;Book Antiqua"/>
          <w:sz w:val="26"/>
        </w:rPr>
        <w:t xml:space="preserve">(Correction shown with underline.)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Finally, we amend the last page of the proposed Rate Agreement.  This page currently states that the Commission’s President will sign the Agreement, while the signature block for the Commission designates the Executive Director as the signatory.  We revise the Rate Agreement to state that all Commissioners voting in favor of the Rate Agreement will sign the Agreement.  </w:t>
      </w:r>
    </w:p>
    <w:p>
      <w:pPr>
        <w:pStyle w:val="Heading2"/>
        <w:numPr>
          <w:ilvl w:val="1"/>
          <w:numId w:val="5"/>
        </w:numPr>
        <w:rPr/>
      </w:pPr>
      <w:bookmarkStart w:id="11" w:name="__RefHeading___Toc523530394"/>
      <w:r>
        <w:rPr/>
        <w:t>Other Issues Raised by the Parties</w:t>
      </w:r>
      <w:bookmarkEnd w:id="11"/>
      <w:r>
        <w:rPr/>
        <w:t xml:space="preserve">   </w:t>
      </w:r>
    </w:p>
    <w:p>
      <w:pPr>
        <w:pStyle w:val="BodyTextIndent3"/>
        <w:rPr/>
      </w:pPr>
      <w:r>
        <w:rPr/>
        <w:t>The parties presented numerous criticisms of the Rate Agreement and recommendations for modifying the Rate Agreement.</w:t>
      </w:r>
      <w:r>
        <w:rPr>
          <w:rStyle w:val="FootnoteCharacters"/>
          <w:rStyle w:val="FootnoteReference"/>
        </w:rPr>
        <w:footnoteReference w:id="65"/>
      </w:r>
      <w:r>
        <w:rPr/>
        <w:t xml:space="preserve">  We addressed many of these in our previous discussion.  Of the parties’ remaining criticisms and recommendations, several pertain to procedures for adjusting electric rates to recover DWR’s Revenue Requirement.  We decline to adopt CU’s recommendation to modify the Rate Agreement to restrict rate increases to one time per year unless a predefined standard for an emergency is met.  Because the Rate Agreement will be in effect for many years, it is prudent to provide flexibility in the Agreement regarding how often rates may be revised up or down.  Conversely, if rate increases were restricted to once per year, DWR would likely have to increase the amount of money held in reserve for contingencies, which would result in higher costs for ratepayers.  </w:t>
      </w:r>
    </w:p>
    <w:p>
      <w:pPr>
        <w:pStyle w:val="BodyTextIndent3"/>
        <w:tabs>
          <w:tab w:val="clear" w:pos="720"/>
          <w:tab w:val="left" w:pos="5220" w:leader="none"/>
        </w:tabs>
        <w:rPr/>
      </w:pPr>
      <w:r>
        <w:rPr/>
        <w:t>We disagree with CU</w:t>
      </w:r>
      <w:r>
        <w:rPr>
          <w:rFonts w:cs="Times New Roman" w:ascii="Times New Roman" w:hAnsi="Times New Roman"/>
        </w:rPr>
        <w:t>’</w:t>
      </w:r>
      <w:r>
        <w:rPr/>
        <w:t xml:space="preserve">s assertions that the Rate Agreement fails to provide a meaningful timeline to adjust the Revenue Requirement in response to new legislation.  Section 7.2 recognizes that changes in law may require a recalculation of the Revenue Requirement, and refers to Section 4.1.  Section 4.1 requires DWR to promptly notify the Commission following any revision of its Revenue Requirement.  Sections 4.1 and 5.1 require the Commission to adjust rates within 90 days to reflect the revised Revenue Requirement.  These provisions establish an explicit and </w:t>
      </w:r>
      <w:r>
        <w:rPr/>
        <w:t>reasonably</w:t>
      </w:r>
      <w:r>
        <w:rPr/>
        <w:t xml:space="preserve"> quick process for </w:t>
      </w:r>
      <w:r>
        <w:rPr/>
        <w:t>adjusting</w:t>
      </w:r>
      <w:r>
        <w:rPr/>
        <w:t xml:space="preserve"> the Revenue Requirement and the associated rates in response to new legislation.  </w:t>
      </w:r>
    </w:p>
    <w:p>
      <w:pPr>
        <w:pStyle w:val="BodyTextIndent3"/>
        <w:rPr/>
      </w:pPr>
      <w:r>
        <w:rPr/>
        <w:t>We agree, in part, with CU’s recommendation to revise the Rate Agreement to require DWR to reflect in its Revenue Requirement all net revenues from the sale of surplus power and refunds ordered by the Federal Energy Regulatory Commission (FERC).  We agree that these revenues should be used in the determination of DWR’s Revenue Requirement.  However, we disagree that it is necessary to revise the Rate Agreement to include a specific provision that requires DWR to incorporate these revenues into its Revenue Requirement.  We concur with DWR’s assessment that it is already required to do so by AB 1X.</w:t>
      </w:r>
      <w:r>
        <w:rPr>
          <w:rStyle w:val="FootnoteCharacters"/>
          <w:rStyle w:val="FootnoteReference"/>
        </w:rPr>
        <w:footnoteReference w:id="66"/>
      </w:r>
      <w:r>
        <w:rPr/>
        <w:t xml:space="preserve">  The Revenue Requirement that DWR submits to the Commission must comply with AB 1X.  However, if the Revenue Requirement that DWR submits fails to reflect the previously identified revenues in contravention of AB 1X, we interpret Section 5.1(a) of the Rate Agreement, as amended by today’s decision, as providing the Commission with authority to correct the Revenue Requirement to include any revenues that DWR receives from the sale of surplus power and FERC-ordered refunds. </w:t>
      </w:r>
    </w:p>
    <w:p>
      <w:pPr>
        <w:pStyle w:val="BodyTextIndent3"/>
        <w:rPr/>
      </w:pPr>
      <w:r>
        <w:rPr/>
        <w:t xml:space="preserve">We decline to adopt ACWA’s suggestion to incorporate a provision in the Rate Agreement that explicitly requires DWR to determine whether an asset is used and useful prior to including any costs related to the asset (e.g., depreciation) in its Revenue Requirement.  The regulatory principle of “used and useful” is embodied in the Public Utilities Code and California law, and, therefore, is part of the “just and reasonable” test that DWR applies to costs in its Revenue Requirement.  </w:t>
      </w:r>
    </w:p>
    <w:p>
      <w:pPr>
        <w:pStyle w:val="standard"/>
        <w:rPr/>
      </w:pPr>
      <w:r>
        <w:rPr/>
        <w:t>Several of the parties’ criticisms and recommendations are targeted at specific sections of the Rate Agreement.  We decline to adopt PG&amp;E’s proposal to delete from the definition of “Servicing Agreement” in Section 1.1 of the Rate Agreement the phrase "an order of the Commission having the effect of such an agreement."  AB 1X requires the Commission, at the request of DWR, to issue orders that have the effect of a servicing agreement.</w:t>
      </w:r>
      <w:r>
        <w:rPr>
          <w:rStyle w:val="FootnoteCharacters"/>
          <w:rStyle w:val="FootnoteReference"/>
        </w:rPr>
        <w:footnoteReference w:id="67"/>
      </w:r>
      <w:r>
        <w:rPr/>
        <w:t xml:space="preserve">  Thus, even if the phrase were deleted, the Commission would still be obligated by AB 1X to issue orders that have the effect of a servicing agreement.</w:t>
      </w:r>
      <w:r>
        <w:rPr>
          <w:rStyle w:val="FootnoteCharacters"/>
          <w:rStyle w:val="FootnoteReference"/>
        </w:rPr>
        <w:footnoteReference w:id="68"/>
      </w:r>
      <w:r>
        <w:rPr/>
        <w:t xml:space="preserve"> </w:t>
      </w:r>
    </w:p>
    <w:p>
      <w:pPr>
        <w:pStyle w:val="standard"/>
        <w:rPr/>
      </w:pPr>
      <w:r>
        <w:rPr/>
        <w:t>We decline to adopt PG&amp;E and SCE’s recommendation to revise Sections 5.1(c) and 5.2(a) of the Rate Agreement to prohibit DWR from recovering the cost of surplus power in its Revenue Requirement.  We decline to opine on this record whether the cost of surplus power appears to be within the scope of expenses that DWR is authorized to incur pursuant to AB 1X.   AB 1X provides DWR with exclusive authority to conduct a § 451 proceeding to determine whether its costs are just and reasonable.  Consequently, we cannot exclude the cost of surplus power from rates if DWR deems that such costs meet the just and reasonable standards required by § 451.</w:t>
      </w:r>
    </w:p>
    <w:p>
      <w:pPr>
        <w:pStyle w:val="standard"/>
        <w:rPr/>
      </w:pPr>
      <w:r>
        <w:rPr/>
        <w:t>We decline to adopt PG&amp;E’s recommendation to delete Section 5.2 from the Rate Agreement.  This section states that the Commission has ordered and will continue to order utilities to deliver power on behalf of DWR.  PG&amp;E is mistaken that Section 5.2 prejudges the outcome of a concurrent proceeding involving a servicing agreement between PG&amp;E and DWR.  In D.01-01-061, we ordered PG&amp;E to deliver power on behalf of DWR.  In addition, AB 1X requires the Commission, when requested by DWR, to order utilities to deliver power on behalf of DWR.</w:t>
      </w:r>
      <w:r>
        <w:rPr>
          <w:rStyle w:val="FootnoteCharacters"/>
          <w:rStyle w:val="FootnoteReference"/>
        </w:rPr>
        <w:footnoteReference w:id="69"/>
      </w:r>
      <w:r>
        <w:rPr/>
        <w:t xml:space="preserve">  Thus, Section 5.2 simply reflects actions that the Commission has already taken or may be required to take pursuant to AB 1X.  </w:t>
      </w:r>
    </w:p>
    <w:p>
      <w:pPr>
        <w:pStyle w:val="standard"/>
        <w:rPr/>
      </w:pPr>
      <w:r>
        <w:rPr/>
        <w:t>We decline to adopt ORA’s recommendation to modify Section 5.2(c) to state that all monies collected by utilities from ratepayers for power provided by DWR will be held in trust by the utilities for the benefit of ratepayers.  While under normal operating circumstances the Commission would consider such ratepayer benefit requirements, the statute makes the disposition of these monies clear.  AB 1X provides that all revenues collected by utilities for power provided by DWR belongs to DWR.</w:t>
      </w:r>
      <w:r>
        <w:rPr>
          <w:rStyle w:val="FootnoteCharacters"/>
          <w:rStyle w:val="FootnoteReference"/>
          <w:sz w:val="26"/>
        </w:rPr>
        <w:footnoteReference w:id="70"/>
      </w:r>
      <w:r>
        <w:rPr/>
        <w:t xml:space="preserve">  Consequently, the Rate Agreement correctly reflects that all monies collected by the utilities for power provided by DWR will be held in trust by the utilities for the benefit of DWR, not ratepayers.</w:t>
      </w:r>
    </w:p>
    <w:p>
      <w:pPr>
        <w:pStyle w:val="standard"/>
        <w:rPr/>
      </w:pPr>
      <w:r>
        <w:rPr/>
        <w:t xml:space="preserve">We find no merit in PG&amp;E’s assertion that Section 5.5 unlawfully transfers the Commission’s regulatory authority to DWR by requiring the Commission to undertake enforcement actions at the direction of DWR.  In Section 5.5 the Commission covenants to enforce its own rules and regulations regarding the disconnection of utility service when customers fail to pay for </w:t>
      </w:r>
      <w:r>
        <w:rPr/>
        <w:t>electricity</w:t>
      </w:r>
      <w:r>
        <w:rPr/>
        <w:t xml:space="preserve"> provided by DWR.  However, there is nothing in Section 5.5 that requires the Commission to do anything other than enforce its own rules and </w:t>
      </w:r>
      <w:r>
        <w:rPr/>
        <w:t>regulations</w:t>
      </w:r>
      <w:r>
        <w:rPr/>
        <w:t xml:space="preserve">. </w:t>
      </w:r>
    </w:p>
    <w:p>
      <w:pPr>
        <w:pStyle w:val="standard"/>
        <w:rPr/>
      </w:pPr>
      <w:r>
        <w:rPr/>
        <w:t xml:space="preserve">We disagree with PG&amp;E and SDG&amp;E that Section 5.5 may violate Pub. Util. Code § 779.2, which prohibits utilities from terminating residential service for nonpayment of third-party charges.  PG&amp;E and SDG&amp;E’s argument presumes that utilities will be required to disconnect service solely because customers have not paid for power provided by DWR.  This is not possible as a practical matter.  In another decision that we issue today in this docket, we note that the power delivered to customers is provided by both DWR and the utility and that partial payments are shared pro-rata.  Consequently, when customers do not pay their electric bills, a portion of the shortfall will be attributable to the power provided by the utility.  It is undisputed that utilities may disconnect service for nonpayment.  Thus, if a utility disconnects service when customers fail to pay their electric bills, the utility will be doing so because of the customers’ failure to pay for the power provided by the utility.  </w:t>
      </w:r>
    </w:p>
    <w:p>
      <w:pPr>
        <w:pStyle w:val="standard"/>
        <w:rPr/>
      </w:pPr>
      <w:r>
        <w:rPr/>
        <w:t>We decline to adopt PG&amp;E and SCE’s recommendation to modify Section 7.2 to state that a utility may be required to resume the procurement of its net</w:t>
        <w:noBreakHyphen/>
        <w:t xml:space="preserve">short load only if the utility has an investment-grade credit rating.  PG&amp;E and SCE may be able to prove in an evidentiary showing subject to cross-examination that an investment-grade credit rating is a prerequisite to a utility resuming the procurement of its net-short load.  In that case, we will not require a utility to resume procurement unless it has an investment-grade credit rating.  On the other hand, there may be circumstances where a utility can procure its net-short load without an investment-grade rating.  It is not necessary for us to make this determination in this decision, or for us to accept PG&amp;E’s and Edison’s untested assertions or to exclude the possibility of these other circumstances from the Rate Agreement.  </w:t>
      </w:r>
    </w:p>
    <w:p>
      <w:pPr>
        <w:pStyle w:val="standard"/>
        <w:rPr/>
      </w:pPr>
      <w:r>
        <w:rPr/>
        <w:t xml:space="preserve">We decline to adopt PG&amp;E’s recommendation to modify Section 7.2 to ensure that neither the Commission nor DWR will compel a utility to accept the assignment of DWR’s Power Purchase Contracts.  It is possible that there may be a situation where it is in the public interest for a utility to accept the assignment, yet the utility refuses to do so out of its own self-interest.  The Rate Agreement, which contains DWR’s agreement to assign, should not limit the Commission’s options in such a situation.  It is for the Commission to determine if a utility should assume contracts </w:t>
      </w:r>
    </w:p>
    <w:p>
      <w:pPr>
        <w:pStyle w:val="standard"/>
        <w:rPr>
          <w:bCs/>
        </w:rPr>
      </w:pPr>
      <w:r>
        <w:rPr>
          <w:bCs/>
        </w:rPr>
        <w:t xml:space="preserve">We decline to adopt SDG&amp;E’s suggestion to revise Section 7.2 to state that DWR may assign its Power Purchase Contracts to the utilities only if such assignments are (1) consistent with the provisions in the Memorandum of Understanding (MOU) between DWR and SDG&amp;E, and (2) not subject to any reasonableness review.  Since the Rate Agreement may be in effect for many years, we believe that it is imprudent to specify in the Rate Agreement the conditions that will attach to any future assignment of DWR’s Power Purchase Contracts.  Rather, the determination of what conditions should attach to an assignment of DWR’s contracts should be made in the context of the circumstances that exist when the assignment is proposed. </w:t>
      </w:r>
    </w:p>
    <w:p>
      <w:pPr>
        <w:pStyle w:val="standard"/>
        <w:rPr/>
      </w:pPr>
      <w:r>
        <w:rPr/>
        <w:t>We disagree with SDG&amp;E that Section 7.2 of the Rate Agreement conflicts with Section 9 of the DWR/SDG&amp;E MOU.  Section 7.2 of the Rate Agreement states that the Commission may order a utility to resume the procurement of its residual net-short load with 120 days of notice.  Section 9 of the DWR/SDG&amp;E MOU provides for 180 days of notice.  These two provisions are not mutually exclusive.  The Commission can provide 180 days of notice under the MOU, followed 60 days later by 120 days of notice under the Rate Agreement.  In addition, the 120-day notice provision in the Rate Agreement is the minimum amount of notice the Commission must provide under the Agreement.  We also note that the Commission has not yet fully considered or adopted all the terms of the DWR/SDG&amp;E MOU.</w:t>
      </w:r>
    </w:p>
    <w:p>
      <w:pPr>
        <w:pStyle w:val="standard"/>
        <w:rPr>
          <w:bCs/>
        </w:rPr>
      </w:pPr>
      <w:r>
        <w:rPr>
          <w:bCs/>
        </w:rPr>
        <w:t xml:space="preserve">We will not adopt SDG&amp;E’s suggestion to revise Section 7.2 to state that SDG&amp;E’s resumption of procurement of its net-short load will be done in a way that complies specifically with Section 9 of the MOU.  Because the MOU has not been adopted, it is inappropriate to incorporate the MOU into the Rate Agreement at this time.  If the MOU is adopted, we will discharge our duties and exercise our prerogatives under the Rate Agreement in light of the MOU.  </w:t>
      </w:r>
    </w:p>
    <w:p>
      <w:pPr>
        <w:pStyle w:val="standard"/>
        <w:rPr/>
      </w:pPr>
      <w:r>
        <w:rPr/>
        <w:t xml:space="preserve">We next consider miscellaneous proposals offered by the parties.  We decline to adopt ORA’s proposal to require DWR’s consultants to comply with the Commission’s conflict-of-interest rules.  We have no authority to prescribe what conflict-of-interest rules should apply to consultants hired by DWR.  </w:t>
      </w:r>
    </w:p>
    <w:p>
      <w:pPr>
        <w:pStyle w:val="standard"/>
        <w:rPr/>
      </w:pPr>
      <w:r>
        <w:rPr/>
        <w:t xml:space="preserve">We </w:t>
      </w:r>
      <w:r>
        <w:rPr/>
        <w:t>decline</w:t>
      </w:r>
      <w:r>
        <w:rPr/>
        <w:t xml:space="preserve"> to consider in this decision CEC</w:t>
      </w:r>
      <w:r>
        <w:rPr>
          <w:rFonts w:cs="Times New Roman" w:ascii="Times New Roman" w:hAnsi="Times New Roman"/>
        </w:rPr>
        <w:t>’</w:t>
      </w:r>
      <w:r>
        <w:rPr/>
        <w:t>s recommendations regarding the recovery of costs associated with the implementation of real-time pricing (RTP).  CEC</w:t>
      </w:r>
      <w:r>
        <w:rPr>
          <w:rFonts w:cs="Times New Roman" w:ascii="Times New Roman" w:hAnsi="Times New Roman"/>
        </w:rPr>
        <w:t>’</w:t>
      </w:r>
      <w:r>
        <w:rPr/>
        <w:t xml:space="preserve">s recommendations are more </w:t>
      </w:r>
      <w:r>
        <w:rPr/>
        <w:t>appropriately</w:t>
      </w:r>
      <w:r>
        <w:rPr/>
        <w:t xml:space="preserve"> considered in other parts of this docket where we are addressing </w:t>
      </w:r>
      <w:r>
        <w:rPr/>
        <w:t>the</w:t>
      </w:r>
      <w:r>
        <w:rPr/>
        <w:t xml:space="preserve"> implementation of RTP tariffs.  CEC’s recommendation should not be irrevocably—and prematurely—established within the context of the Rate Agreement while the Commission is asking for additional information from CEC regarding the costs and benefits of the RTP tariffs proposed in related Commission proceedings.</w:t>
      </w:r>
    </w:p>
    <w:p>
      <w:pPr>
        <w:pStyle w:val="BodyTextIndent3"/>
        <w:rPr/>
      </w:pPr>
      <w:r>
        <w:rPr/>
        <w:t>We decline to adopt CU</w:t>
      </w:r>
      <w:r>
        <w:rPr>
          <w:rFonts w:cs="Times New Roman" w:ascii="Times New Roman" w:hAnsi="Times New Roman"/>
        </w:rPr>
        <w:t>’</w:t>
      </w:r>
      <w:r>
        <w:rPr/>
        <w:t xml:space="preserve">s recommendation to </w:t>
      </w:r>
      <w:r>
        <w:rPr/>
        <w:t>establish</w:t>
      </w:r>
      <w:r>
        <w:rPr/>
        <w:t xml:space="preserve"> subaccounts within the Fund to segregate monies necessary to repay the Bonds from the remainder of DWR’s revenue requirement.  We have no authority to adopt the recommendation, as the Fund is administered by DWR and the Administration.  Moreover, even if CU</w:t>
      </w:r>
      <w:r>
        <w:rPr>
          <w:rFonts w:cs="Times New Roman" w:ascii="Times New Roman" w:hAnsi="Times New Roman"/>
        </w:rPr>
        <w:t>’</w:t>
      </w:r>
      <w:r>
        <w:rPr/>
        <w:t>s recommendation were adopted, it might do little to protect the funds segregated to repay the Bonds.  DWR’s represents that it has negotiated long-term power contracts that require DWR to pay for the power it purchases ahead of debt service.  Thus, DWR’s obligations under its power contracts may have first call on all monies in the Fund, including any monies held in a Bond subaccount within the Fund.</w:t>
      </w:r>
      <w:r>
        <w:rPr>
          <w:rStyle w:val="FootnoteCharacters"/>
          <w:rStyle w:val="FootnoteReference"/>
        </w:rPr>
        <w:footnoteReference w:id="71"/>
      </w:r>
      <w:r>
        <w:rPr/>
        <w:t xml:space="preserve">  </w:t>
      </w:r>
    </w:p>
    <w:p>
      <w:pPr>
        <w:pStyle w:val="Heading3Text"/>
        <w:spacing w:lineRule="auto" w:line="360"/>
        <w:ind w:start="0" w:end="0"/>
        <w:rPr/>
      </w:pPr>
      <w:r>
        <w:rPr>
          <w:rFonts w:cs="Palatino;Book Antiqua" w:ascii="Palatino;Book Antiqua" w:hAnsi="Palatino;Book Antiqua"/>
          <w:sz w:val="26"/>
        </w:rPr>
        <w:t>We agree with SCE that DWR’s revenue requirement should include an allowance for uncollectables.  However, we disagree that it is necessary to revise the definition of Department Charges in the Rate Agreement to explicitly include uncollectables.  We believe that Item (i) of “Operating Expenses” in Section 1.1 of the Rate Agreement encompasses uncollectables.</w:t>
      </w:r>
      <w:r>
        <w:rPr>
          <w:rStyle w:val="FootnoteCharacters"/>
          <w:rStyle w:val="FootnoteReference"/>
          <w:rFonts w:cs="Palatino;Book Antiqua" w:ascii="Palatino;Book Antiqua" w:hAnsi="Palatino;Book Antiqua"/>
        </w:rPr>
        <w:footnoteReference w:id="72"/>
      </w:r>
      <w:r>
        <w:rPr>
          <w:rFonts w:cs="Palatino;Book Antiqua" w:ascii="Palatino;Book Antiqua" w:hAnsi="Palatino;Book Antiqua"/>
          <w:sz w:val="26"/>
        </w:rPr>
        <w:t xml:space="preserve">  Since Operating Expenses are explicitly included in the definition of “Department Charges,” uncollectables are also included in Department Charges.  </w:t>
      </w:r>
    </w:p>
    <w:p>
      <w:pPr>
        <w:pStyle w:val="Heading1"/>
        <w:widowControl/>
        <w:numPr>
          <w:ilvl w:val="0"/>
          <w:numId w:val="5"/>
        </w:numPr>
        <w:rPr/>
      </w:pPr>
      <w:bookmarkStart w:id="12" w:name="__RefHeading___Toc523530395"/>
      <w:r>
        <w:rPr/>
        <w:t>The Adopted Revised Rate Agreement</w:t>
      </w:r>
      <w:bookmarkEnd w:id="12"/>
      <w:r>
        <w:rPr/>
        <w:t xml:space="preserve">  </w:t>
      </w:r>
    </w:p>
    <w:p>
      <w:pPr>
        <w:pStyle w:val="standard"/>
        <w:rPr/>
      </w:pPr>
      <w:r>
        <w:rPr/>
        <w:t xml:space="preserve">The revised Rate Agreement adopted by this decision is contained in Appendix A.  The Commissioners voting to adopt the Rate Agreement, should they constitute a majority of this Commission, shall sign the adopted Rate Agreement on behalf of the Commission.  Once finalized through the Commission’s rehearing process and executed by DWR, the Commission-adopted Rate Agreement will have the force and effect of a financing order issued pursuant to Pub. Util. Code § 840 et seq.  Once DWR has signed the Rate Agreement, the Commission’s Executive Director shall file and serve a copy of the signed Rate Agreement.  The Commission’s General Counsel will retain the Commission’s copies of the original signed Rate Agreement.  </w:t>
      </w:r>
    </w:p>
    <w:p>
      <w:pPr>
        <w:pStyle w:val="Heading1"/>
        <w:widowControl/>
        <w:numPr>
          <w:ilvl w:val="0"/>
          <w:numId w:val="5"/>
        </w:numPr>
        <w:rPr/>
      </w:pPr>
      <w:bookmarkStart w:id="13" w:name="__RefHeading___Toc523530396"/>
      <w:r>
        <w:rPr/>
        <w:t>Pub. Util. Code Section 311(g)</w:t>
      </w:r>
      <w:bookmarkEnd w:id="13"/>
      <w:r>
        <w:rPr/>
        <w:t xml:space="preserve"> </w:t>
      </w:r>
    </w:p>
    <w:p>
      <w:pPr>
        <w:pStyle w:val="standard"/>
        <w:rPr/>
      </w:pPr>
      <w:r>
        <w:rPr/>
        <w:t>Pub. Util. Code § 311(g)(1) generally requires that a draft decision be served on all parties and subject to at least 30 days of public review and comment prior to a vote of the Commission.  However, pursuant to Rules 77.7(f) and 77.7(f)(9), the Commission may waive the 30</w:t>
        <w:noBreakHyphen/>
        <w:t xml:space="preserve">day period if required by public necessity.  These rules state, in relevant part, as follows: </w:t>
      </w:r>
    </w:p>
    <w:p>
      <w:pPr>
        <w:pStyle w:val="quote"/>
        <w:spacing w:before="0" w:after="360"/>
        <w:ind w:start="1080" w:end="720"/>
        <w:rPr/>
      </w:pPr>
      <w:r>
        <w:rPr/>
        <w:t>The Commission may reduce or waive the period for public review and comment . . . 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of the Commission adopting a decision before expiration of the 30-day review and comment period clearly outweighs the public interest in having the full 30-day period for review and comment...When acting pursuant to this subsection, the Commission will provide such reduced period for public review and comment as is consistent with the public necessity requiring reduction or waiver.</w:t>
      </w:r>
    </w:p>
    <w:p>
      <w:pPr>
        <w:pStyle w:val="standard"/>
        <w:rPr/>
      </w:pPr>
      <w:r>
        <w:rPr/>
        <w:t xml:space="preserve">In order to protect and maintain the financial condition of the State, the Treasurer and DWR have informed the Commission in their comments and in the comments of the Treasurer’s bond consultants that it is imperative that DWR issue “Bonds” (as defined in the Rate Agreement) as soon as possible.  Since the Bonds cannot be issued until a final Rate Agreement is in effect, we determine pursuant to Rule 77.7(f)(9) that the public interest in the Commission issuing a decision regarding the Rate Agreement before the expiration of the 30-day review and comment period outweighs the public interest in having the full comment period.  </w:t>
      </w:r>
    </w:p>
    <w:p>
      <w:pPr>
        <w:pStyle w:val="standard"/>
        <w:rPr/>
      </w:pPr>
      <w:r>
        <w:rPr/>
        <w:t xml:space="preserve">On August 24, 2001, the draft decision of Administrative Law Judge Kenney was mailed to the parties in accordance with Pub. Util. Code § 311(g)(1).  Comments regarding the draft decision were filed on September 4, 2001, by 10:00 a.m.  These comments have been reflected, as appropriate, in the final decision adopted by the Commission.  </w:t>
      </w:r>
    </w:p>
    <w:p>
      <w:pPr>
        <w:pStyle w:val="Heading1"/>
        <w:widowControl/>
        <w:numPr>
          <w:ilvl w:val="0"/>
          <w:numId w:val="5"/>
        </w:numPr>
        <w:rPr/>
      </w:pPr>
      <w:bookmarkStart w:id="14" w:name="__RefHeading___Toc523530397"/>
      <w:r>
        <w:rPr/>
        <w:t>Rehearing and Judicial Review</w:t>
      </w:r>
      <w:bookmarkEnd w:id="14"/>
      <w:r>
        <w:rPr/>
        <w:t xml:space="preserve">  </w:t>
      </w:r>
    </w:p>
    <w:p>
      <w:pPr>
        <w:pStyle w:val="standard"/>
        <w:rPr/>
      </w:pPr>
      <w:r>
        <w:rPr/>
        <w:t xml:space="preserve">This decision construes, applies, implements, and interprets the provisions of AB 1X.  Therefore, Pub. Util. Code § 1731(c) (applications for rehearing are due within 10 days after the issuance of the order or decision) and Pub. Util. Code § 1768 (procedures applicable to judicial review) are applicable.  </w:t>
      </w:r>
    </w:p>
    <w:p>
      <w:pPr>
        <w:pStyle w:val="dummy"/>
        <w:widowControl/>
        <w:numPr>
          <w:ilvl w:val="0"/>
          <w:numId w:val="0"/>
        </w:numPr>
        <w:ind w:hanging="0" w:start="0"/>
        <w:outlineLvl w:val="0"/>
        <w:rPr/>
      </w:pPr>
      <w:bookmarkStart w:id="15" w:name="__RefHeading___Toc523530398"/>
      <w:bookmarkEnd w:id="15"/>
      <w:r>
        <w:rPr/>
        <w:t>Findings of Fact</w:t>
      </w:r>
    </w:p>
    <w:p>
      <w:pPr>
        <w:pStyle w:val="num1"/>
        <w:numPr>
          <w:ilvl w:val="0"/>
          <w:numId w:val="3"/>
        </w:numPr>
        <w:ind w:hanging="0" w:start="0"/>
        <w:rPr/>
      </w:pPr>
      <w:r>
        <w:rPr/>
        <w:t>In D.01-01-061 and D.01-03-082, the Commission ordered PG&amp;E to deliver power to retail customers on behalf of DWR.</w:t>
      </w:r>
    </w:p>
    <w:p>
      <w:pPr>
        <w:pStyle w:val="num1"/>
        <w:numPr>
          <w:ilvl w:val="0"/>
          <w:numId w:val="3"/>
        </w:numPr>
        <w:ind w:hanging="0" w:start="0"/>
        <w:rPr/>
      </w:pPr>
      <w:r>
        <w:rPr/>
        <w:t xml:space="preserve">In accordance </w:t>
      </w:r>
      <w:r>
        <w:rPr/>
        <w:t>with</w:t>
      </w:r>
      <w:r>
        <w:rPr/>
        <w:t xml:space="preserve"> AB 1X and the Governor</w:t>
      </w:r>
      <w:r>
        <w:rPr>
          <w:rFonts w:cs="Times New Roman" w:ascii="Times New Roman" w:hAnsi="Times New Roman"/>
        </w:rPr>
        <w:t>’</w:t>
      </w:r>
      <w:r>
        <w:rPr/>
        <w:t>s Executive Orders, DWR and Commission staff discussed a draft Rate Agreement to facilitate the issuance of Bonds by DWR.  The proposed Rate Agreement includes a mechanism to set electric rates that allows DWR to timely recover the costs it incurs to implement AB 1X and the Governor</w:t>
      </w:r>
      <w:r>
        <w:rPr>
          <w:rFonts w:cs="Times New Roman" w:ascii="Times New Roman" w:hAnsi="Times New Roman"/>
        </w:rPr>
        <w:t>’</w:t>
      </w:r>
      <w:r>
        <w:rPr/>
        <w:t xml:space="preserve">s Executive Orders, including costs for purchased power, the 20/20 energy conservation program, and principal and </w:t>
      </w:r>
      <w:r>
        <w:rPr/>
        <w:t>interest</w:t>
      </w:r>
      <w:r>
        <w:rPr/>
        <w:t xml:space="preserve"> on debt issued </w:t>
      </w:r>
      <w:r>
        <w:rPr/>
        <w:t>pursuant</w:t>
      </w:r>
      <w:r>
        <w:rPr/>
        <w:t xml:space="preserve"> to AB 1X, SB 31X, and the Executive Orders.  Once executed, the Rate Agreement will have the force and effect of a financing order issued by the Commission pursuant to Pub. Util. Code § 840 et seq., and will be irrevocable except for amendments made in accordance with the Agreement.  The proposed Rate Agreement terminates when the Bonds and any associated financial obligations have been paid or provided for in accordance with the Financing Documents.</w:t>
      </w:r>
    </w:p>
    <w:p>
      <w:pPr>
        <w:pStyle w:val="num1"/>
        <w:numPr>
          <w:ilvl w:val="0"/>
          <w:numId w:val="3"/>
        </w:numPr>
        <w:ind w:hanging="0" w:start="0"/>
        <w:rPr/>
      </w:pPr>
      <w:r>
        <w:rPr/>
        <w:t>The definition of “Operating Expenses” in the proposed Rate Agreement may inadvertently allow DWR to recover costs in its Revenue Requirement that are not authorized by AB 1X.</w:t>
      </w:r>
    </w:p>
    <w:p>
      <w:pPr>
        <w:pStyle w:val="num1"/>
        <w:numPr>
          <w:ilvl w:val="0"/>
          <w:numId w:val="3"/>
        </w:numPr>
        <w:ind w:hanging="0" w:start="0"/>
        <w:rPr/>
      </w:pPr>
      <w:r>
        <w:rPr/>
        <w:t>Section 4.1(a) of the proposed Rate Agreement mistakenly implies that DWR determines the allocation of its Revenue Requirement among Service Areas.  DWR, in its comments filed on August 10, 2001, a summary of which is contained in Appendix B of this decision, acknowledges the Commission’s authority to make that allocation.</w:t>
      </w:r>
    </w:p>
    <w:p>
      <w:pPr>
        <w:pStyle w:val="num1"/>
        <w:numPr>
          <w:ilvl w:val="0"/>
          <w:numId w:val="3"/>
        </w:numPr>
        <w:ind w:hanging="0" w:start="0"/>
        <w:rPr/>
      </w:pPr>
      <w:r>
        <w:rPr/>
        <w:t>Section 4.1(b) of the proposed Rate Agreement mistakenly omits an indication that the Revenue Requirement that DWR submits to the Commission shall take into account any surplus in amounts recovered by DWR in earlier periods.</w:t>
      </w:r>
    </w:p>
    <w:p>
      <w:pPr>
        <w:pStyle w:val="num1"/>
        <w:numPr>
          <w:ilvl w:val="0"/>
          <w:numId w:val="3"/>
        </w:numPr>
        <w:ind w:hanging="0" w:start="0"/>
        <w:rPr/>
      </w:pPr>
      <w:r>
        <w:rPr/>
        <w:t>Section 4.2 of the proposed Rate Agreement mistakenly refers to “Bond Revenue Requirements.”  The correct reference is “Retail Revenue Requirement.”</w:t>
      </w:r>
    </w:p>
    <w:p>
      <w:pPr>
        <w:pStyle w:val="num1"/>
        <w:numPr>
          <w:ilvl w:val="0"/>
          <w:numId w:val="3"/>
        </w:numPr>
        <w:ind w:hanging="0" w:start="0"/>
        <w:rPr/>
      </w:pPr>
      <w:r>
        <w:rPr/>
        <w:t xml:space="preserve">There are typographical errors in Sections 5.1 and 5.5. </w:t>
      </w:r>
    </w:p>
    <w:p>
      <w:pPr>
        <w:pStyle w:val="num1"/>
        <w:numPr>
          <w:ilvl w:val="0"/>
          <w:numId w:val="3"/>
        </w:numPr>
        <w:ind w:hanging="0" w:start="0"/>
        <w:rPr/>
      </w:pPr>
      <w:r>
        <w:rPr/>
        <w:t xml:space="preserve">Section 7.2, seventh paragraph, last clause of last sentence mistakenly omits the Commission’s duty to carry out its statutory obligations.  </w:t>
      </w:r>
    </w:p>
    <w:p>
      <w:pPr>
        <w:pStyle w:val="num1"/>
        <w:numPr>
          <w:ilvl w:val="0"/>
          <w:numId w:val="3"/>
        </w:numPr>
        <w:ind w:hanging="0" w:start="0"/>
        <w:rPr/>
      </w:pPr>
      <w:r>
        <w:rPr/>
        <w:t>On the last page of the proposed Rate Agreement, the execution clause states that the Commission’s President will sign the Agreement, but the signature block for the Commission designates the Executive Director as the signatory.</w:t>
      </w:r>
    </w:p>
    <w:p>
      <w:pPr>
        <w:pStyle w:val="num1"/>
        <w:numPr>
          <w:ilvl w:val="0"/>
          <w:numId w:val="3"/>
        </w:numPr>
        <w:ind w:hanging="0" w:start="0"/>
        <w:rPr/>
      </w:pPr>
      <w:r>
        <w:rPr/>
        <w:t>It is not possible for the Commission to condition its approval of the Rate Agreement on the subsequent review and approval of the Financing Documents.  The adoption of the Rate Agreement is a necessary predicate to the bond transaction currently being undertaken by the Davis Administration and the State Treasurer.</w:t>
      </w:r>
    </w:p>
    <w:p>
      <w:pPr>
        <w:pStyle w:val="num1"/>
        <w:numPr>
          <w:ilvl w:val="0"/>
          <w:numId w:val="3"/>
        </w:numPr>
        <w:ind w:hanging="0" w:start="0"/>
        <w:rPr/>
      </w:pPr>
      <w:r>
        <w:rPr/>
        <w:t>It is necessary for the Rate Agreement to provide a mechanism that allows DWR to recover its Operating Expenses, in addition to Bond-Related Costs, in order for DWR to issue Bonds with investment-grade credit ratings under the structure of the bond transaction currently being undertaken by the Administration and the State Treasurer.</w:t>
      </w:r>
    </w:p>
    <w:p>
      <w:pPr>
        <w:pStyle w:val="num2"/>
        <w:numPr>
          <w:ilvl w:val="0"/>
          <w:numId w:val="3"/>
        </w:numPr>
        <w:ind w:hanging="0" w:start="0"/>
        <w:rPr/>
      </w:pPr>
      <w:r>
        <w:rPr/>
        <w:t xml:space="preserve">The State’s General Fund has advanced billions of dollars to DWR for the purpose of procuring power and delivering the power to millions of Californians.  Authority for these advances is provided by AB 1X, SB 7X, SB 31X, and the Governor’s Executive Orders.  </w:t>
      </w:r>
    </w:p>
    <w:p>
      <w:pPr>
        <w:pStyle w:val="num2"/>
        <w:numPr>
          <w:ilvl w:val="0"/>
          <w:numId w:val="3"/>
        </w:numPr>
        <w:ind w:hanging="0" w:start="0"/>
        <w:rPr/>
      </w:pPr>
      <w:r>
        <w:rPr/>
        <w:t xml:space="preserve">It is not realistic for the Commission to implement a revised Revenue Requirement in 30 days as provided for in Section 5.1(d) of the Rate Agreement.  </w:t>
      </w:r>
    </w:p>
    <w:p>
      <w:pPr>
        <w:pStyle w:val="num2"/>
        <w:numPr>
          <w:ilvl w:val="0"/>
          <w:numId w:val="3"/>
        </w:numPr>
        <w:ind w:hanging="0" w:start="0"/>
        <w:rPr/>
      </w:pPr>
      <w:r>
        <w:rPr/>
        <w:t>DWR’s power purchase contracts provide DWR with payment terms that give DWR sufficient flexibility to allow the Commission to have 45 days to implement a revised Revenue Requirement submitted by DWR pursuant to Section 5.1(d) of the Rate Agreement.</w:t>
      </w:r>
    </w:p>
    <w:p>
      <w:pPr>
        <w:pStyle w:val="num2"/>
        <w:numPr>
          <w:ilvl w:val="0"/>
          <w:numId w:val="3"/>
        </w:numPr>
        <w:ind w:hanging="0" w:start="0"/>
        <w:rPr/>
      </w:pPr>
      <w:r>
        <w:rPr/>
        <w:t xml:space="preserve">The Treasurer believes that the following amendments could be made to the Rate Agreement without jeopardizing the creditworthiness of the Bonds.  First, Sections 4.1(b) and 4.2 could be revised to state that (i) any overcollections by DWR will be used to reduce future Revenue Requirement, and (ii) both the Commission and DWR are bound by Water Code § 80110.  Second, a new provision could be added that requires DWR, when requested by the Commission, to participate in Commission proceedings pertaining to the establishment of rates to recover the Revenue Requirement.  Finally, Section 7.2 could be revised to state that if a new law is enacted that provides for an alternative financing mechanism, DWR shall use its best efforts to implement the alterative by refinancing the Bonds and/or amending the Financing Documents.  </w:t>
      </w:r>
    </w:p>
    <w:p>
      <w:pPr>
        <w:pStyle w:val="num2"/>
        <w:numPr>
          <w:ilvl w:val="0"/>
          <w:numId w:val="3"/>
        </w:numPr>
        <w:ind w:hanging="0" w:start="0"/>
        <w:rPr/>
      </w:pPr>
      <w:r>
        <w:rPr/>
        <w:t>Under the proposed servicing agreements, partial payment of bills will be pro rated between DWR and the utility.</w:t>
      </w:r>
    </w:p>
    <w:p>
      <w:pPr>
        <w:pStyle w:val="num2"/>
        <w:numPr>
          <w:ilvl w:val="0"/>
          <w:numId w:val="3"/>
        </w:numPr>
        <w:ind w:hanging="0" w:start="0"/>
        <w:rPr/>
      </w:pPr>
      <w:r>
        <w:rPr/>
        <w:t xml:space="preserve">It may not be possible to find Trustee that simultaneously satisfies the requirements set forth in the Financing Documents and the adopted Rate Agreement.  </w:t>
      </w:r>
    </w:p>
    <w:p>
      <w:pPr>
        <w:pStyle w:val="dummy"/>
        <w:widowControl/>
        <w:numPr>
          <w:ilvl w:val="0"/>
          <w:numId w:val="0"/>
        </w:numPr>
        <w:ind w:hanging="0" w:start="0"/>
        <w:outlineLvl w:val="0"/>
        <w:rPr/>
      </w:pPr>
      <w:bookmarkStart w:id="16" w:name="__RefHeading___Toc523530399"/>
      <w:bookmarkEnd w:id="16"/>
      <w:r>
        <w:rPr/>
        <w:t>Conclusions of Law</w:t>
      </w:r>
    </w:p>
    <w:p>
      <w:pPr>
        <w:pStyle w:val="num1"/>
        <w:numPr>
          <w:ilvl w:val="0"/>
          <w:numId w:val="11"/>
        </w:numPr>
        <w:tabs>
          <w:tab w:val="left" w:pos="-720" w:leader="none"/>
          <w:tab w:val="left" w:pos="720" w:leader="none"/>
        </w:tabs>
        <w:ind w:firstLine="360" w:start="0" w:end="0"/>
        <w:rPr/>
      </w:pPr>
      <w:r>
        <w:rPr/>
        <w:t>AB 1X, as amended by SB 31X, authorizes DWR to issue bonds for the following purposes:  (i) pay for the cost of electric power procured by DWR pursuant to AB 1X and the Governor's Emergency Proclamation dated January 17, 2001; (ii) reimburse the General Fund for any advances or appropriations for power costs; (ii) establish and maintain reserves in connection with the bonds; and (iv) other purposes identified in AB 1X and SB 31X.  The maximum aggregate amount of bonds that DWR may issue pursuant to AB 1X and SB 31X is $13.423 billion.</w:t>
      </w:r>
    </w:p>
    <w:p>
      <w:pPr>
        <w:pStyle w:val="num1"/>
        <w:numPr>
          <w:ilvl w:val="0"/>
          <w:numId w:val="10"/>
        </w:numPr>
        <w:tabs>
          <w:tab w:val="left" w:pos="-720" w:leader="none"/>
          <w:tab w:val="left" w:pos="720" w:leader="none"/>
        </w:tabs>
        <w:ind w:firstLine="360" w:start="0" w:end="0"/>
        <w:rPr/>
      </w:pPr>
      <w:r>
        <w:rPr/>
        <w:t>AB 1X requires DWR to establish a mechanism to ensure that the bonds will be sold at investment-grade ratings and repaid on a timely basis.</w:t>
      </w:r>
    </w:p>
    <w:p>
      <w:pPr>
        <w:pStyle w:val="num1"/>
        <w:numPr>
          <w:ilvl w:val="0"/>
          <w:numId w:val="3"/>
        </w:numPr>
        <w:tabs>
          <w:tab w:val="left" w:pos="-720" w:leader="none"/>
          <w:tab w:val="left" w:pos="720" w:leader="none"/>
        </w:tabs>
        <w:ind w:firstLine="360" w:start="0" w:end="0"/>
        <w:rPr/>
      </w:pPr>
      <w:r>
        <w:rPr/>
        <w:t>AB 1X establishes the Fund and directs the State Treasurer to administer the fund.  All revenues payable to DWR pursuant to AB 1X must be deposited into the Fund.  Disbursement from the Fund may be made only for the purposes specified in AB 1X, which include power purchases, debt service, and repaying the General Fund.</w:t>
      </w:r>
    </w:p>
    <w:p>
      <w:pPr>
        <w:pStyle w:val="num1"/>
        <w:numPr>
          <w:ilvl w:val="0"/>
          <w:numId w:val="3"/>
        </w:numPr>
        <w:tabs>
          <w:tab w:val="left" w:pos="-720" w:leader="none"/>
          <w:tab w:val="left" w:pos="720" w:leader="none"/>
        </w:tabs>
        <w:ind w:firstLine="360" w:start="0" w:end="0"/>
        <w:rPr/>
      </w:pPr>
      <w:r>
        <w:rPr/>
        <w:t>AB 1X requires DWR to determine annually, if not more frequently, a revenue requirement.  The statute defines the revenue requirement as the amount that is sufficient, together with any moneys on deposit in the Fund, to provide all of the following:  (i) the amounts necessary to timely pay the principal, interest, and other costs associated with the bonds issued by DWR; (ii) the amounts necessary to pay for power purchased by DWR, including the cost of transmission, scheduling, and other related expenses; (iii) reserves in such amount as DWR deems necessary or desirable; (iv) repayment of advances from the General Fund; (v) interest on moneys advanced by the General Fund; and (vi) the cost incurred by DWR to administer AB 1X.</w:t>
      </w:r>
    </w:p>
    <w:p>
      <w:pPr>
        <w:pStyle w:val="num1"/>
        <w:numPr>
          <w:ilvl w:val="0"/>
          <w:numId w:val="3"/>
        </w:numPr>
        <w:tabs>
          <w:tab w:val="left" w:pos="-720" w:leader="none"/>
          <w:tab w:val="left" w:pos="720" w:leader="none"/>
        </w:tabs>
        <w:ind w:firstLine="360" w:start="0" w:end="0"/>
        <w:rPr/>
      </w:pPr>
      <w:r>
        <w:rPr/>
        <w:t>AB 1X provides that DWR is entitled to recover its revenue requirement in electric rates established by the Commission.  AB 1X provides that the Commission’s authority to set electric rates to recover DWR’s revenue requirement shall be as set forth in Pub. Util. Code § 451, except that the determination of whether DWR’s revenue requirement is just and reasonable shall be conducted by DWR.</w:t>
      </w:r>
    </w:p>
    <w:p>
      <w:pPr>
        <w:pStyle w:val="num1"/>
        <w:numPr>
          <w:ilvl w:val="0"/>
          <w:numId w:val="3"/>
        </w:numPr>
        <w:tabs>
          <w:tab w:val="left" w:pos="-720" w:leader="none"/>
          <w:tab w:val="left" w:pos="720" w:leader="none"/>
        </w:tabs>
        <w:ind w:firstLine="360" w:start="0" w:end="0"/>
        <w:rPr/>
      </w:pPr>
      <w:r>
        <w:rPr/>
        <w:t>AB 1X authorizes, but does not require, the Commission and DWR to enter into an agreement regarding the recovery of DWR’s revenue requirement.  AB 1X provides that any such agreement shall have the force and effect of a financing order adopted by the Commission pursuant to Pub. Util. Code § 840 et seq.  Such an agreement may also be incorporated into the mechanism that AB 1X requires DWR to establish to ensure that any bonds issued by DWR pursuant to the statute will be sold at investment-grade ratings and repaid on a timely basis.</w:t>
      </w:r>
    </w:p>
    <w:p>
      <w:pPr>
        <w:pStyle w:val="num1"/>
        <w:numPr>
          <w:ilvl w:val="0"/>
          <w:numId w:val="3"/>
        </w:numPr>
        <w:tabs>
          <w:tab w:val="left" w:pos="-720" w:leader="none"/>
          <w:tab w:val="left" w:pos="720" w:leader="none"/>
        </w:tabs>
        <w:ind w:firstLine="360" w:start="0" w:end="0"/>
        <w:rPr/>
      </w:pPr>
      <w:r>
        <w:rPr/>
        <w:t>AB 1X, as amended by SB 31X, directs the Commission, at the request of DWR, to order electrical corporations to (i) transmit and distribute power procured by DWR to retail customers; and (ii) provide billing, collection, and other related services as an agent of DWR, on terms and conditions that (a) reasonably compensate electrical corporations for their services, and (b) adequately secure payment to DWR.  AB 1X also authorizes the Commission to issue rules regulating the enforcement of the agency function.</w:t>
      </w:r>
    </w:p>
    <w:p>
      <w:pPr>
        <w:pStyle w:val="num1"/>
        <w:numPr>
          <w:ilvl w:val="0"/>
          <w:numId w:val="3"/>
        </w:numPr>
        <w:tabs>
          <w:tab w:val="left" w:pos="-720" w:leader="none"/>
          <w:tab w:val="left" w:pos="720" w:leader="none"/>
        </w:tabs>
        <w:ind w:firstLine="360" w:start="0" w:end="0"/>
        <w:rPr/>
      </w:pPr>
      <w:r>
        <w:rPr/>
        <w:t xml:space="preserve">The Rate Agreement is vital to California’s ability to cope with the electricity crisis.  This is </w:t>
      </w:r>
      <w:r>
        <w:rPr/>
        <w:t>because</w:t>
      </w:r>
      <w:r>
        <w:rPr/>
        <w:t xml:space="preserve"> the Rate Agreement establishes an irrevocable mechanism for DWR to recover its Revenue Requirement.  This mechanism is a necessary predicate to DWR issuing Bonds with investment-grade credit ratings under the structure of the bond transaction currently being undertaken by the Administration and the State Treasurer.  The issuance of the Bonds will, in turn, protect the financial integrity of the State of California by providing funds to reimburse the State for billions of dollars it has spent to purchase power.</w:t>
      </w:r>
    </w:p>
    <w:p>
      <w:pPr>
        <w:pStyle w:val="num1"/>
        <w:numPr>
          <w:ilvl w:val="0"/>
          <w:numId w:val="3"/>
        </w:numPr>
        <w:tabs>
          <w:tab w:val="left" w:pos="-720" w:leader="none"/>
          <w:tab w:val="left" w:pos="720" w:leader="none"/>
        </w:tabs>
        <w:ind w:firstLine="360" w:start="0" w:end="0"/>
        <w:rPr/>
      </w:pPr>
      <w:r>
        <w:rPr/>
        <w:t>Water Code § 80110 provides authority for those portions of the Rate Agreement that allow DWR to determine if its Revenue Requirement is just and reasonable within the meaning of Pub. Util. Code § 451.</w:t>
      </w:r>
    </w:p>
    <w:p>
      <w:pPr>
        <w:pStyle w:val="num2"/>
        <w:numPr>
          <w:ilvl w:val="0"/>
          <w:numId w:val="3"/>
        </w:numPr>
        <w:ind w:hanging="0" w:start="0"/>
        <w:rPr/>
      </w:pPr>
      <w:r>
        <w:rPr/>
        <w:t xml:space="preserve">Water Code §§ 80110, 80130, and 80134 provide authority for those portions of the Rate Agreement that require the Commission, at the request of DWR, to set rates to timely recover the Revenue Requirement.  </w:t>
      </w:r>
    </w:p>
    <w:p>
      <w:pPr>
        <w:pStyle w:val="num2"/>
        <w:numPr>
          <w:ilvl w:val="0"/>
          <w:numId w:val="3"/>
        </w:numPr>
        <w:ind w:hanging="0" w:start="0"/>
        <w:rPr/>
      </w:pPr>
      <w:r>
        <w:rPr/>
        <w:t>Water Code §§ 80106(b) and 80108 provide authority for those portions of the Rate Agreement that require the Commission, at the request of DWR, to (i) issue orders establishing servicing agreements, and (ii) enforce the servicing agreements.</w:t>
      </w:r>
    </w:p>
    <w:p>
      <w:pPr>
        <w:pStyle w:val="num2"/>
        <w:numPr>
          <w:ilvl w:val="0"/>
          <w:numId w:val="3"/>
        </w:numPr>
        <w:ind w:hanging="0" w:start="0"/>
        <w:rPr/>
      </w:pPr>
      <w:r>
        <w:rPr/>
        <w:t>Water Code §§ 80132(e) and 80200(e) provide authority for those portions of the Rate Agreement that require the Commission, when requested by DWR, to take action to protect the tax-exempt status of the Bonds.</w:t>
      </w:r>
    </w:p>
    <w:p>
      <w:pPr>
        <w:pStyle w:val="num2"/>
        <w:numPr>
          <w:ilvl w:val="0"/>
          <w:numId w:val="3"/>
        </w:numPr>
        <w:ind w:hanging="0" w:start="0"/>
        <w:rPr/>
      </w:pPr>
      <w:r>
        <w:rPr/>
        <w:t>AB 1X vests with DWR the exclusive authority for (i) procuring power under the statute, and (ii) determining whether its Revenue Requirement is just and reasonable.  Consequently, it is unnecessary and inappropriate for the Commission to modify the Rate Agreement to:  (i) adopt the recommendation by many parties to require DWR to establish procedures to ensure that DWR procures power at the lowest possible cost; (ii) adopt the recommendation by many parties to specify the procedures that DWR uses to ensure that all costs included in its Revenue Requirement are just and reasonable; (iii) adopt CU’s recommendation to require the State Auditor to conduct an annual audit of DWR’s AB 1X-related activities; (iv) adopt the recommendation by many parties require DWR to provide notice and an opportunity for a hearing on its Revenue Requirement; and (vi) adopt the recommendation by some parties require the Commission to implement a process that allows the Commission and the public to assess whether the Revenue Requirement is just and reasonable.</w:t>
      </w:r>
    </w:p>
    <w:p>
      <w:pPr>
        <w:pStyle w:val="num2"/>
        <w:numPr>
          <w:ilvl w:val="0"/>
          <w:numId w:val="3"/>
        </w:numPr>
        <w:ind w:hanging="0" w:start="0"/>
        <w:rPr/>
      </w:pPr>
      <w:r>
        <w:rPr/>
        <w:t xml:space="preserve">In determining whether its Revenue Requirement is just and reasonable, DWR is obligated to comply with all applicable laws and </w:t>
      </w:r>
      <w:r>
        <w:rPr/>
        <w:t>regulations</w:t>
      </w:r>
      <w:r>
        <w:rPr/>
        <w:t>, including any requirements pertaining to notice and an opportunity for hearing on its Revenue Requirement.</w:t>
      </w:r>
    </w:p>
    <w:p>
      <w:pPr>
        <w:pStyle w:val="num2"/>
        <w:numPr>
          <w:ilvl w:val="0"/>
          <w:numId w:val="3"/>
        </w:numPr>
        <w:ind w:hanging="0" w:start="0"/>
        <w:rPr/>
      </w:pPr>
      <w:r>
        <w:rPr/>
        <w:t>In setting rates to recover the Revenue Requirement, the Commission will allow the public and affected interests an opportunity for hearing in accordance with applicable laws and regulations.</w:t>
      </w:r>
    </w:p>
    <w:p>
      <w:pPr>
        <w:pStyle w:val="num2"/>
        <w:numPr>
          <w:ilvl w:val="0"/>
          <w:numId w:val="3"/>
        </w:numPr>
        <w:ind w:hanging="0" w:start="0"/>
        <w:rPr/>
      </w:pPr>
      <w:r>
        <w:rPr/>
        <w:t>The intent of the Rate Agreement is for DWR to provide the Commission with any information the Commission needs to allocate DWR’s Revenue Requirement among the utilities and the various customer classes and to set rates to recover the Revenue Requirement.  All information the Commission receives will be made available to interested parties consistent with applicable laws and regulations.</w:t>
      </w:r>
    </w:p>
    <w:p>
      <w:pPr>
        <w:pStyle w:val="num2"/>
        <w:numPr>
          <w:ilvl w:val="0"/>
          <w:numId w:val="3"/>
        </w:numPr>
        <w:ind w:hanging="0" w:start="0"/>
        <w:rPr/>
      </w:pPr>
      <w:r>
        <w:rPr/>
        <w:t>The Rate Agreement should not be amended to restrict rate increases to once per year unless a predefined standard for an emergency is met.  Because the Rate Agreement will be in effect for many years, it is prudent to provide flexibility in the Agreement regarding how often rates may be revised up or down.  Additionally, if rate increases are restricted to once per year, DWR would likely increase the amount of money held in reserve for contingencies, which would result in higher costs for ratepayers.</w:t>
      </w:r>
    </w:p>
    <w:p>
      <w:pPr>
        <w:pStyle w:val="num2"/>
        <w:numPr>
          <w:ilvl w:val="0"/>
          <w:numId w:val="3"/>
        </w:numPr>
        <w:ind w:hanging="0" w:start="0"/>
        <w:rPr/>
      </w:pPr>
      <w:r>
        <w:rPr/>
        <w:t>Sections 4.1 and 7.2 of the Rate Agreement, as modified, together require DWR to promptly notify the Commission whenever there is an increase or decrease in DWR’s Revenue Requirement stemming from new legislation.</w:t>
      </w:r>
    </w:p>
    <w:p>
      <w:pPr>
        <w:pStyle w:val="num2"/>
        <w:numPr>
          <w:ilvl w:val="0"/>
          <w:numId w:val="3"/>
        </w:numPr>
        <w:ind w:hanging="0" w:start="0"/>
        <w:rPr/>
      </w:pPr>
      <w:r>
        <w:rPr/>
        <w:t>AB 1X requires DWR to (i) allocate its expenses between AB 1X-related activities and other programs; (ii) use all net revenues that it receives from the sale of surplus power and FERC-ordered refunds to reduce its Revenue Requirement; (iii) eliminate from its Revenue Requirement any costs that DWR has determined were not just and reasonable; and (iv) return overcollections to ratepayers.  The Revenue Requirement that DWR submits to the Commission must comply with AB 1X.</w:t>
      </w:r>
    </w:p>
    <w:p>
      <w:pPr>
        <w:pStyle w:val="num2"/>
        <w:numPr>
          <w:ilvl w:val="0"/>
          <w:numId w:val="3"/>
        </w:numPr>
        <w:ind w:hanging="0" w:start="0"/>
        <w:rPr/>
      </w:pPr>
      <w:r>
        <w:rPr/>
        <w:t>The definition of “Servicing Agreement” in the Rate Agreement should not be modified to delete the phrase “an order of the Commission having the effect of such an agreement.”  AB 1X requires the Commission to issue orders, at the request of DWR, that the have the effect of a servicing agreement.</w:t>
      </w:r>
    </w:p>
    <w:p>
      <w:pPr>
        <w:pStyle w:val="num2"/>
        <w:numPr>
          <w:ilvl w:val="0"/>
          <w:numId w:val="3"/>
        </w:numPr>
        <w:ind w:hanging="0" w:start="0"/>
        <w:rPr/>
      </w:pPr>
      <w:r>
        <w:rPr/>
        <w:t>AB 1X and the Rate Agreement provide the Commission with exclusive authority to allocate DWR’s Revenue Requirement among the utilities and the various customer classes, and to set rates to recover the Revenue Requirement.  This authority includes the power to prospectively modify the rate design and cost allocation methods used to recover DWR’s Revenue Requirement whenever necessary or desirable.</w:t>
      </w:r>
    </w:p>
    <w:p>
      <w:pPr>
        <w:pStyle w:val="num2"/>
        <w:numPr>
          <w:ilvl w:val="0"/>
          <w:numId w:val="3"/>
        </w:numPr>
        <w:ind w:hanging="0" w:start="0"/>
        <w:rPr/>
      </w:pPr>
      <w:r>
        <w:rPr/>
        <w:t>The Rate Agreement should not be modified to prohibit DWR from recovering in its Revenue Requirement the cost of surplus power.  DWR is authorized by AB 1X to include the cost of surplus power in its Revenue Requirement if such cost is (i) incurred for the purposes authorized by AB 1X, and (ii) just and reasonable.</w:t>
      </w:r>
    </w:p>
    <w:p>
      <w:pPr>
        <w:pStyle w:val="num2"/>
        <w:numPr>
          <w:ilvl w:val="0"/>
          <w:numId w:val="3"/>
        </w:numPr>
        <w:ind w:hanging="0" w:start="0"/>
        <w:rPr/>
      </w:pPr>
      <w:r>
        <w:rPr/>
        <w:t>The Rate Agreement does not address the issue of whether DWR can require a utility to deliver DWR power in excess of that needed to meet the utility’s net-short load.</w:t>
      </w:r>
    </w:p>
    <w:p>
      <w:pPr>
        <w:pStyle w:val="num2"/>
        <w:numPr>
          <w:ilvl w:val="0"/>
          <w:numId w:val="3"/>
        </w:numPr>
        <w:ind w:hanging="0" w:start="0"/>
        <w:rPr/>
      </w:pPr>
      <w:r>
        <w:rPr/>
        <w:t>The Rate Agreement correctly reflects the requirement in AB 1X that all monies collected by a utility for power provided by DWR will be held in trust by the utility for the benefit of DWR.</w:t>
      </w:r>
    </w:p>
    <w:p>
      <w:pPr>
        <w:pStyle w:val="num2"/>
        <w:numPr>
          <w:ilvl w:val="0"/>
          <w:numId w:val="3"/>
        </w:numPr>
        <w:ind w:hanging="0" w:start="0"/>
        <w:rPr/>
      </w:pPr>
      <w:r>
        <w:rPr/>
        <w:t>Section 5.2 of the Rate Agreement, by stating that the Commission has and will order PG&amp;E to deliver power on behalf of DWR, does not prejudge a concurrent proceeding involving a draft servicing agreement between PG&amp;E and DWR.  In D.01-01-061 and D.01-03-082, the Commission ordered PG&amp;E to deliver power on behalf of DWR, and the Commission has authority under AB 1X to order PG&amp;E to continue to deliver power on behalf of DWR.</w:t>
      </w:r>
    </w:p>
    <w:p>
      <w:pPr>
        <w:pStyle w:val="num2"/>
        <w:numPr>
          <w:ilvl w:val="0"/>
          <w:numId w:val="3"/>
        </w:numPr>
        <w:ind w:hanging="0" w:start="0"/>
        <w:rPr/>
      </w:pPr>
      <w:r>
        <w:rPr/>
        <w:t>Section 5.5 of the Rate Agreement does not require the Commission to take an enforcement action at the request of DWR.</w:t>
      </w:r>
    </w:p>
    <w:p>
      <w:pPr>
        <w:pStyle w:val="num2"/>
        <w:numPr>
          <w:ilvl w:val="0"/>
          <w:numId w:val="3"/>
        </w:numPr>
        <w:ind w:hanging="0" w:start="0"/>
        <w:rPr/>
      </w:pPr>
      <w:r>
        <w:rPr/>
        <w:t xml:space="preserve">Utilities have authority under Pub. Util. Code § 779.2 to terminate service to customers who do not pay all of their electric bills.  </w:t>
      </w:r>
    </w:p>
    <w:p>
      <w:pPr>
        <w:pStyle w:val="num2"/>
        <w:numPr>
          <w:ilvl w:val="0"/>
          <w:numId w:val="3"/>
        </w:numPr>
        <w:ind w:hanging="0" w:start="0"/>
        <w:rPr/>
      </w:pPr>
      <w:r>
        <w:rPr/>
        <w:t>Section 7.2 of the Rate Agreement should not be modified to state that the Commission may require a utility to resume the procurement of its residual net-short load only if the utility has an investment-grade credit rating.  There may be circumstances where a utility can acquire its net-short load without having an investment-grade rating.  This possibility should not be excluded from the Rate Agreement.</w:t>
      </w:r>
    </w:p>
    <w:p>
      <w:pPr>
        <w:pStyle w:val="num2"/>
        <w:numPr>
          <w:ilvl w:val="0"/>
          <w:numId w:val="3"/>
        </w:numPr>
        <w:ind w:hanging="0" w:start="0"/>
        <w:rPr/>
      </w:pPr>
      <w:r>
        <w:rPr/>
        <w:t>Section 7.2 of the Rate Agreement should not be modified to state that neither the Commission nor DWR shall compel a utility to accept the assignment of DWR’s Power Purchase Contracts.  There may be a situation where it is in the public interest for a utility to accept the assignment, yet the utility refuses to do so out of its own self-interest.  The Rate Agreement should not limit the Commission’s options in such a situation.</w:t>
      </w:r>
    </w:p>
    <w:p>
      <w:pPr>
        <w:pStyle w:val="num2"/>
        <w:numPr>
          <w:ilvl w:val="0"/>
          <w:numId w:val="3"/>
        </w:numPr>
        <w:ind w:hanging="0" w:start="0"/>
        <w:rPr/>
      </w:pPr>
      <w:r>
        <w:rPr/>
        <w:t>Section 7.2 should not be revised to specify the conditions that will attach to the assignment of DWR’s power-purchase contracts to a utility.  The determination of what conditions should attach to the assignment should be made in light of the circumstances that exist when the assignment is proposed.</w:t>
      </w:r>
    </w:p>
    <w:p>
      <w:pPr>
        <w:pStyle w:val="num2"/>
        <w:numPr>
          <w:ilvl w:val="0"/>
          <w:numId w:val="3"/>
        </w:numPr>
        <w:ind w:hanging="0" w:start="0"/>
        <w:rPr/>
      </w:pPr>
      <w:r>
        <w:rPr/>
        <w:t>There is no conflict between Section 7.2 of the Rate Agreement and Section 9 of the DWR/SDG&amp;E MOU.  Section 7.2 states that the Commission may order a utility to resume the procurement of its residual net-short load with 120 days of notice, while Section 9 of the MOU provides for 180 days of notice.  The Commission can provide 180 days of notice under the MOU, followed 60 days later by 120 days of notice under the Rate Agreement.  In addition, the 120</w:t>
        <w:noBreakHyphen/>
        <w:t>day notice provision in the Rate Agreement is the minimum amount of notice the Commission must provide under the Agreement.  There is nothing that prevents the Commission from providing 180 days of notice under the Rate Agreement.</w:t>
      </w:r>
    </w:p>
    <w:p>
      <w:pPr>
        <w:pStyle w:val="num2"/>
        <w:numPr>
          <w:ilvl w:val="0"/>
          <w:numId w:val="3"/>
        </w:numPr>
        <w:ind w:hanging="0" w:start="0"/>
        <w:rPr/>
      </w:pPr>
      <w:r>
        <w:rPr/>
        <w:t xml:space="preserve">Section 7.2 of the Rate Agreement should not be revised to incorporate provisions in the </w:t>
      </w:r>
      <w:r>
        <w:rPr>
          <w:bCs/>
        </w:rPr>
        <w:t>DWR/SDG&amp;E MOU, since the MOU has not been adopted.</w:t>
      </w:r>
    </w:p>
    <w:p>
      <w:pPr>
        <w:pStyle w:val="num2"/>
        <w:numPr>
          <w:ilvl w:val="0"/>
          <w:numId w:val="3"/>
        </w:numPr>
        <w:ind w:hanging="0" w:start="0"/>
        <w:rPr/>
      </w:pPr>
      <w:r>
        <w:rPr>
          <w:bCs/>
        </w:rPr>
        <w:t>I</w:t>
      </w:r>
      <w:r>
        <w:rPr/>
        <w:t>t is unnecessary to revise the definition of “Department Charges” in the Rate Agreement to explicitly include an allowance for uncollectables.  Item (i) of the definition of “Operating Expenses” in Section 1.1 of the Rate Agreement encompasses uncollectables, and Operating Expenses are explicitly included in definition of “Department Charges.”</w:t>
      </w:r>
    </w:p>
    <w:p>
      <w:pPr>
        <w:pStyle w:val="num2"/>
        <w:numPr>
          <w:ilvl w:val="0"/>
          <w:numId w:val="3"/>
        </w:numPr>
        <w:ind w:hanging="0" w:start="0"/>
        <w:rPr/>
      </w:pPr>
      <w:r>
        <w:rPr/>
        <w:t>The Commission lacks authority to adopt CU’s recommendation to establish subaccounts in the Fund to segregate monies necessary to repay Bonds from the remainder of DWR’s Revenue Requirement.</w:t>
      </w:r>
    </w:p>
    <w:p>
      <w:pPr>
        <w:pStyle w:val="num2"/>
        <w:numPr>
          <w:ilvl w:val="0"/>
          <w:numId w:val="3"/>
        </w:numPr>
        <w:ind w:hanging="0" w:start="0"/>
        <w:rPr>
          <w:rFonts w:cs="Courier New"/>
        </w:rPr>
      </w:pPr>
      <w:r>
        <w:rPr/>
        <w:t xml:space="preserve">In proceedings where the Commission sets rates to recover DWR’s Revenue Requirement, parties will have an opportunity to raise issues concerning:  (i) whether the rates established to recover DWR’s Revenue Requirement impinge upon any utility’s ability to recover its own revenue requirement; and (ii) whether the Commission should establish </w:t>
      </w:r>
      <w:r>
        <w:rPr>
          <w:rFonts w:cs="Courier New"/>
        </w:rPr>
        <w:t>balancing accounts and true-ups in connection with the recovery of DWR’s Revenue Requirement.</w:t>
      </w:r>
    </w:p>
    <w:p>
      <w:pPr>
        <w:pStyle w:val="num2"/>
        <w:numPr>
          <w:ilvl w:val="0"/>
          <w:numId w:val="3"/>
        </w:numPr>
        <w:ind w:hanging="0" w:start="0"/>
        <w:rPr/>
      </w:pPr>
      <w:r>
        <w:rPr/>
        <w:t>It is unnecessary to consider in this decision CEC</w:t>
      </w:r>
      <w:r>
        <w:rPr>
          <w:rFonts w:cs="Times New Roman" w:ascii="Times New Roman" w:hAnsi="Times New Roman"/>
        </w:rPr>
        <w:t>’</w:t>
      </w:r>
      <w:r>
        <w:rPr/>
        <w:t>s recommendations regarding the recovery of costs associated with the implementation of RTP.  CEC</w:t>
      </w:r>
      <w:r>
        <w:rPr>
          <w:rFonts w:cs="Times New Roman" w:ascii="Times New Roman" w:hAnsi="Times New Roman"/>
        </w:rPr>
        <w:t>’</w:t>
      </w:r>
      <w:r>
        <w:rPr/>
        <w:t xml:space="preserve">s recommendations are more </w:t>
      </w:r>
      <w:r>
        <w:rPr/>
        <w:t>appropriately</w:t>
      </w:r>
      <w:r>
        <w:rPr/>
        <w:t xml:space="preserve"> considered in other parts of this docket where the Commission is addressing </w:t>
      </w:r>
      <w:r>
        <w:rPr/>
        <w:t>the</w:t>
      </w:r>
      <w:r>
        <w:rPr/>
        <w:t xml:space="preserve"> implementation of RTP tariffs.</w:t>
      </w:r>
    </w:p>
    <w:p>
      <w:pPr>
        <w:pStyle w:val="num2"/>
        <w:numPr>
          <w:ilvl w:val="0"/>
          <w:numId w:val="3"/>
        </w:numPr>
        <w:ind w:hanging="0" w:start="0"/>
        <w:rPr/>
      </w:pPr>
      <w:r>
        <w:rPr/>
        <w:t xml:space="preserve">It is unnecessary to modify the Rate Agreement to require CDWR to adhere to the regulatory principle of “used and useful” when determining whether asset-related costs should be included in its Revenue Requirement.  Because the regulatory principle of “used and useful” is embodied in the Public Utilities Code and California law, the principle is part of “just and reasonable” test set forth in Pub. Util. Code § 451 that DWR must apply to any cost before including the cost in its Revenue Requirement.  </w:t>
      </w:r>
    </w:p>
    <w:p>
      <w:pPr>
        <w:pStyle w:val="num2"/>
        <w:numPr>
          <w:ilvl w:val="0"/>
          <w:numId w:val="3"/>
        </w:numPr>
        <w:ind w:hanging="0" w:start="0"/>
        <w:rPr/>
      </w:pPr>
      <w:r>
        <w:rPr/>
        <w:t>The definition of Operating Expenses in Section 1.1 of the Rate Agreement should be amended to ensure that it only encompasses costs that are authorized by AB 1X.</w:t>
      </w:r>
    </w:p>
    <w:p>
      <w:pPr>
        <w:pStyle w:val="num2"/>
        <w:numPr>
          <w:ilvl w:val="0"/>
          <w:numId w:val="3"/>
        </w:numPr>
        <w:ind w:hanging="0" w:start="0"/>
        <w:rPr/>
      </w:pPr>
      <w:r>
        <w:rPr/>
        <w:t>The definition of Trustee in Section 1.1 of the Rate Agreement should be amended to ensure that the Trustee, to the extent possible, does not have a financial interest in California energy markets.</w:t>
      </w:r>
    </w:p>
    <w:p>
      <w:pPr>
        <w:pStyle w:val="num2"/>
        <w:numPr>
          <w:ilvl w:val="0"/>
          <w:numId w:val="3"/>
        </w:numPr>
        <w:ind w:hanging="0" w:start="0"/>
        <w:rPr/>
      </w:pPr>
      <w:r>
        <w:rPr/>
        <w:t>Section 4.1(a) should be corrected to indicate that when DWR submits its Revenue Requirement to the Commission, the Commission, and not DWR, determines the allocation of the Revenue Requirement among Service Areas.</w:t>
      </w:r>
    </w:p>
    <w:p>
      <w:pPr>
        <w:pStyle w:val="num2"/>
        <w:numPr>
          <w:ilvl w:val="0"/>
          <w:numId w:val="3"/>
        </w:numPr>
        <w:ind w:hanging="0" w:start="0"/>
        <w:rPr/>
      </w:pPr>
      <w:r>
        <w:rPr/>
        <w:t>Section 4.1(a) should be amended to provide that the Revenue Requirement that DWR submits to the Commission shall include an accounting of DWR’s actual expenditures.</w:t>
      </w:r>
    </w:p>
    <w:p>
      <w:pPr>
        <w:pStyle w:val="num2"/>
        <w:numPr>
          <w:ilvl w:val="0"/>
          <w:numId w:val="3"/>
        </w:numPr>
        <w:ind w:hanging="0" w:start="0"/>
        <w:rPr/>
      </w:pPr>
      <w:r>
        <w:rPr/>
        <w:t>Section 4.1(b) of the Rate Agreement should be corrected to state that the Revenue Requirement that DWR submits to the Commission will take into account any surplus in amounts recovered by DWR in earlier periods.</w:t>
      </w:r>
    </w:p>
    <w:p>
      <w:pPr>
        <w:pStyle w:val="num2"/>
        <w:numPr>
          <w:ilvl w:val="0"/>
          <w:numId w:val="3"/>
        </w:numPr>
        <w:ind w:hanging="0" w:start="0"/>
        <w:rPr/>
      </w:pPr>
      <w:r>
        <w:rPr/>
        <w:t xml:space="preserve">To ensure that the Commission can fulfill its statutory responsibility to set rates based on a Revenue Requirement that contains only costs that are just and reasonable, Section 4.2 of the Rate Agreement should be amended to state that (i) DWR is bound by Water Code § 80110, which requires DWR to “conduct” and “determine” that its costs are just and reasonable within the meaning of Pub. Util. Code § 451; and (ii) DWR will determine if its Revenue Requirement is just and reasonable in accordance with whatever procedures are required by law. </w:t>
      </w:r>
    </w:p>
    <w:p>
      <w:pPr>
        <w:pStyle w:val="num2"/>
        <w:numPr>
          <w:ilvl w:val="0"/>
          <w:numId w:val="3"/>
        </w:numPr>
        <w:ind w:hanging="0" w:start="0"/>
        <w:rPr/>
      </w:pPr>
      <w:r>
        <w:rPr/>
        <w:t>Because the Rate Agreement provides the Commission with a very limited amount of time to set rates to implement DWR’s submitted Revenue Requirement, it is necessary to amend Section 5.1(a) of the Rate Agreement to provide the Commission with authority to correct any arithmetic error in the Revenue Requirement and exclude from the Revenue Requirement any cost that is neither a Bond-Related Cost nor an Operating Expense.</w:t>
      </w:r>
    </w:p>
    <w:p>
      <w:pPr>
        <w:pStyle w:val="num2"/>
        <w:numPr>
          <w:ilvl w:val="0"/>
          <w:numId w:val="3"/>
        </w:numPr>
        <w:ind w:hanging="0" w:start="0"/>
        <w:rPr/>
      </w:pPr>
      <w:r>
        <w:rPr/>
        <w:t>Section 5.1(d) of the Rate Agreement should be modified to provide the Commission with 45 days, instead of 30 days, to implement a revised Revenue Requirement submitted by DWR.</w:t>
      </w:r>
    </w:p>
    <w:p>
      <w:pPr>
        <w:pStyle w:val="num2"/>
        <w:numPr>
          <w:ilvl w:val="0"/>
          <w:numId w:val="3"/>
        </w:numPr>
        <w:ind w:hanging="0" w:start="0"/>
        <w:rPr/>
      </w:pPr>
      <w:r>
        <w:rPr/>
        <w:t>To enable the Commission to establish that the Revenue Requirement complies with AB 1X, a new Section 5.1(f) should be added to the Rate Agreement that requires DWR, when requested by the Commission, to participate in Commission proceedings where the Commission implements rates to recover DWR’s Revenue Requirement.</w:t>
      </w:r>
    </w:p>
    <w:p>
      <w:pPr>
        <w:pStyle w:val="num2"/>
        <w:numPr>
          <w:ilvl w:val="0"/>
          <w:numId w:val="3"/>
        </w:numPr>
        <w:ind w:hanging="0" w:start="0"/>
        <w:rPr/>
      </w:pPr>
      <w:r>
        <w:rPr/>
        <w:t>Section 5.2(a) should be amended to include a citation of the statutory authority for this section.</w:t>
      </w:r>
    </w:p>
    <w:p>
      <w:pPr>
        <w:pStyle w:val="num2"/>
        <w:numPr>
          <w:ilvl w:val="0"/>
          <w:numId w:val="3"/>
        </w:numPr>
        <w:ind w:hanging="0" w:start="0"/>
        <w:rPr/>
      </w:pPr>
      <w:r>
        <w:rPr/>
        <w:t>Section 6.3(a) should be amended to ensure that the Trustee can enforce Commission covenants in the Rate Agreement only when there is an independent default under the Financing Documents.</w:t>
      </w:r>
    </w:p>
    <w:p>
      <w:pPr>
        <w:pStyle w:val="num2"/>
        <w:numPr>
          <w:ilvl w:val="0"/>
          <w:numId w:val="3"/>
        </w:numPr>
        <w:ind w:hanging="0" w:start="0"/>
        <w:rPr/>
      </w:pPr>
      <w:r>
        <w:rPr/>
        <w:t>Since circumstances may change over time, Section 7.1 should be amended to provide that the Rate Agreement shall only apply to (i) Bonds with a maturity of more than five years that are issued prior to December 31, 2002, and (ii) debt issued pursuant to the Credit and Security Agreement dated June 26, 2001.</w:t>
      </w:r>
    </w:p>
    <w:p>
      <w:pPr>
        <w:pStyle w:val="num2"/>
        <w:numPr>
          <w:ilvl w:val="0"/>
          <w:numId w:val="3"/>
        </w:numPr>
        <w:ind w:hanging="0" w:start="0"/>
        <w:rPr/>
      </w:pPr>
      <w:r>
        <w:rPr/>
        <w:t>The last paragraph of Section 7.2 should be amended to state that in the event a new law is enacted that provides for an alternative financing mechanism after the Bonds are issued, then (i) DWR and the Commission shall determine the legality and practicality of implementing the alternative; and (ii) if DWR, in consultation with the Commission determines the alternative is legal and practical, then DWR in conjunction with the State Treasurer shall implement the alternative by refinancing the Bonds or by amending the Financing Documents.</w:t>
      </w:r>
    </w:p>
    <w:p>
      <w:pPr>
        <w:pStyle w:val="num2"/>
        <w:numPr>
          <w:ilvl w:val="0"/>
          <w:numId w:val="3"/>
        </w:numPr>
        <w:ind w:hanging="0" w:start="0"/>
        <w:rPr/>
      </w:pPr>
      <w:r>
        <w:rPr/>
        <w:t xml:space="preserve">A new Section 9.9 should be added that express the intent of the Rate Agreement regarding third-party beneficiaries.  </w:t>
      </w:r>
    </w:p>
    <w:p>
      <w:pPr>
        <w:pStyle w:val="num2"/>
        <w:numPr>
          <w:ilvl w:val="0"/>
          <w:numId w:val="3"/>
        </w:numPr>
        <w:ind w:hanging="0" w:start="0"/>
        <w:rPr/>
      </w:pPr>
      <w:r>
        <w:rPr/>
        <w:t>The last page of the Rate Agreement should be amended to state that the Commissioners approving the Rate Agreement, and not the Commission’s President or Executive Director, will sign the Rate Agreement.</w:t>
      </w:r>
    </w:p>
    <w:p>
      <w:pPr>
        <w:pStyle w:val="num1"/>
        <w:numPr>
          <w:ilvl w:val="0"/>
          <w:numId w:val="3"/>
        </w:numPr>
        <w:ind w:hanging="0" w:start="0"/>
        <w:rPr/>
      </w:pPr>
      <w:r>
        <w:rPr/>
        <w:t xml:space="preserve">The proposed Rate Agreement should be amended to incorporate the technical corrections identified in the body of the decision.  </w:t>
      </w:r>
    </w:p>
    <w:p>
      <w:pPr>
        <w:pStyle w:val="num1"/>
        <w:numPr>
          <w:ilvl w:val="0"/>
          <w:numId w:val="3"/>
        </w:numPr>
        <w:ind w:hanging="0" w:start="0"/>
        <w:rPr/>
      </w:pPr>
      <w:r>
        <w:rPr/>
        <w:t xml:space="preserve">Typographical errors in the Rate Agreement should be corrected.  </w:t>
      </w:r>
    </w:p>
    <w:p>
      <w:pPr>
        <w:pStyle w:val="num2"/>
        <w:numPr>
          <w:ilvl w:val="0"/>
          <w:numId w:val="3"/>
        </w:numPr>
        <w:ind w:hanging="0" w:start="0"/>
        <w:rPr/>
      </w:pPr>
      <w:r>
        <w:rPr/>
        <w:t>The Rate Agreement, as amended by this decision, is in the public interest and should be adopted.</w:t>
      </w:r>
    </w:p>
    <w:p>
      <w:pPr>
        <w:pStyle w:val="num2"/>
        <w:numPr>
          <w:ilvl w:val="0"/>
          <w:numId w:val="3"/>
        </w:numPr>
        <w:ind w:hanging="0" w:start="0"/>
        <w:rPr/>
      </w:pPr>
      <w:r>
        <w:rPr/>
        <w:t>This decision construes, applies, implements, and interprets the provisions of AB 1X.  Therefore, Pub. Util. Code § 1731(c) (applications for rehearing are due within 10 days after the issuance of the order or decision) and Pub. Util. Code § 1768 (procedures applicable to judicial review) are applicable.</w:t>
      </w:r>
    </w:p>
    <w:p>
      <w:pPr>
        <w:pStyle w:val="num2"/>
        <w:numPr>
          <w:ilvl w:val="0"/>
          <w:numId w:val="3"/>
        </w:numPr>
        <w:ind w:hanging="0" w:start="0"/>
        <w:rPr/>
      </w:pPr>
      <w:r>
        <w:rPr/>
        <w:t>In order to protect and maintain the financial condition of the State, it is vital that DWR issue Bonds as soon as possible to reimburse the State for the billions of dollars that it has spent to purchase electric power.  Since the Bonds cannot be issued until after the Commission adopts a Rate Agreement, public necessity requires that the Commission exercise its authority under Rule 77.7(f)(9) to reduce the 30</w:t>
        <w:noBreakHyphen/>
        <w:t>day period for public review and comment so that the Rate Agreement in Appendix A may be adopted and implemented expeditiously.</w:t>
      </w:r>
    </w:p>
    <w:p>
      <w:pPr>
        <w:pStyle w:val="num2"/>
        <w:numPr>
          <w:ilvl w:val="0"/>
          <w:numId w:val="3"/>
        </w:numPr>
        <w:ind w:hanging="0" w:start="0"/>
        <w:rPr/>
      </w:pPr>
      <w:r>
        <w:rPr/>
        <w:t>The following order should be effective immediately so that the adopted Rate Agreement may be signed and implemented expeditiously.</w:t>
      </w:r>
    </w:p>
    <w:p>
      <w:pPr>
        <w:pStyle w:val="num1"/>
        <w:numPr>
          <w:ilvl w:val="0"/>
          <w:numId w:val="0"/>
        </w:numPr>
        <w:ind w:hanging="0" w:start="0"/>
        <w:rPr/>
      </w:pPr>
      <w:r>
        <w:rPr/>
      </w:r>
    </w:p>
    <w:p>
      <w:pPr>
        <w:pStyle w:val="ORDERHEADING"/>
        <w:rPr/>
      </w:pPr>
      <w:bookmarkStart w:id="17" w:name="__RefHeading___Toc523530400"/>
      <w:bookmarkEnd w:id="17"/>
      <w:r>
        <w:rPr/>
        <w:t>INTERIM ORDER</w:t>
      </w:r>
    </w:p>
    <w:p>
      <w:pPr>
        <w:pStyle w:val="main"/>
        <w:keepNext w:val="true"/>
        <w:keepLines/>
        <w:widowControl/>
        <w:rPr/>
      </w:pPr>
      <w:r>
        <w:rPr/>
      </w:r>
    </w:p>
    <w:p>
      <w:pPr>
        <w:pStyle w:val="standard"/>
        <w:keepNext w:val="true"/>
        <w:keepLines/>
        <w:numPr>
          <w:ilvl w:val="0"/>
          <w:numId w:val="0"/>
        </w:numPr>
        <w:ind w:firstLine="720" w:start="0"/>
        <w:outlineLvl w:val="0"/>
        <w:rPr/>
      </w:pPr>
      <w:r>
        <w:rPr>
          <w:b/>
        </w:rPr>
        <w:t>IT IS ORDERED</w:t>
      </w:r>
      <w:r>
        <w:rPr/>
        <w:t xml:space="preserve"> that:</w:t>
      </w:r>
    </w:p>
    <w:p>
      <w:pPr>
        <w:pStyle w:val="num1"/>
        <w:numPr>
          <w:ilvl w:val="0"/>
          <w:numId w:val="9"/>
        </w:numPr>
        <w:tabs>
          <w:tab w:val="left" w:pos="-720" w:leader="none"/>
          <w:tab w:val="left" w:pos="720" w:leader="none"/>
        </w:tabs>
        <w:ind w:firstLine="360" w:start="0" w:end="0"/>
        <w:rPr/>
      </w:pPr>
      <w:r>
        <w:rPr/>
        <w:t>The amended Rate Agreement between the California Department of Water Resources (DWR) and the California Public Utilities Commission (Commission) contained in Appendix A of this order is adopted by the Commission pursuant to Water Code §§ 80110 and 80130.</w:t>
      </w:r>
    </w:p>
    <w:p>
      <w:pPr>
        <w:pStyle w:val="num1"/>
        <w:numPr>
          <w:ilvl w:val="0"/>
          <w:numId w:val="3"/>
        </w:numPr>
        <w:tabs>
          <w:tab w:val="left" w:pos="-720" w:leader="none"/>
          <w:tab w:val="left" w:pos="720" w:leader="none"/>
        </w:tabs>
        <w:ind w:firstLine="360" w:start="0" w:end="0"/>
        <w:rPr/>
      </w:pPr>
      <w:r>
        <w:rPr/>
        <w:t>The Commissioners who voted to approve the Rate Agreement shall sign the adopted Rate Agreement on behalf of the Commission.  Once DWR has signed the Rate Agreement, the Executive Director shall file and serve a copy of the signed Agreement.  The Commission’s General Counsel shall retain the Commission’s copies of the original signed Rate Agreement.</w:t>
      </w:r>
    </w:p>
    <w:p>
      <w:pPr>
        <w:pStyle w:val="num1"/>
        <w:numPr>
          <w:ilvl w:val="0"/>
          <w:numId w:val="3"/>
        </w:numPr>
        <w:tabs>
          <w:tab w:val="left" w:pos="-720" w:leader="none"/>
          <w:tab w:val="left" w:pos="720" w:leader="none"/>
        </w:tabs>
        <w:ind w:firstLine="360" w:start="0" w:end="0"/>
        <w:rPr/>
      </w:pPr>
      <w:r>
        <w:rPr/>
        <w:t>Once all parties to the Agreement have signed the adopted Rate Agreement, the Rate Agreement shall have the force and effect of a financing order issued by the Commission pursuant to Pub. Util. Code § 840 et seq.</w:t>
      </w:r>
    </w:p>
    <w:p>
      <w:pPr>
        <w:pStyle w:val="num1"/>
        <w:numPr>
          <w:ilvl w:val="0"/>
          <w:numId w:val="0"/>
        </w:numPr>
        <w:ind w:hanging="0" w:start="810" w:end="0"/>
        <w:rPr/>
      </w:pPr>
      <w:r>
        <w:rPr/>
        <w:t>This order is effective today.</w:t>
      </w:r>
    </w:p>
    <w:p>
      <w:pPr>
        <w:pStyle w:val="num1"/>
        <w:numPr>
          <w:ilvl w:val="0"/>
          <w:numId w:val="0"/>
        </w:numPr>
        <w:ind w:hanging="0" w:start="810" w:end="0"/>
        <w:rPr/>
      </w:pPr>
      <w:r>
        <w:rPr/>
        <w:t>Dated ____________________, at San Francisco, California.</w:t>
      </w:r>
    </w:p>
    <w:p>
      <w:pPr>
        <w:pStyle w:val="standard"/>
        <w:tabs>
          <w:tab w:val="clear" w:pos="720"/>
          <w:tab w:val="right" w:pos="8550" w:leader="none"/>
        </w:tabs>
        <w:spacing w:lineRule="auto" w:line="240"/>
        <w:ind w:hanging="0" w:end="0"/>
        <w:rPr/>
      </w:pPr>
      <w:r>
        <w:rPr/>
      </w:r>
    </w:p>
    <w:p>
      <w:pPr>
        <w:pStyle w:val="standard"/>
        <w:tabs>
          <w:tab w:val="clear" w:pos="720"/>
          <w:tab w:val="right" w:pos="8550" w:leader="none"/>
        </w:tabs>
        <w:spacing w:lineRule="auto" w:line="240"/>
        <w:ind w:hanging="0" w:end="0"/>
        <w:rPr/>
      </w:pPr>
      <w:r>
        <w:rPr/>
      </w:r>
    </w:p>
    <w:p>
      <w:pPr>
        <w:pStyle w:val="standard"/>
        <w:tabs>
          <w:tab w:val="clear" w:pos="720"/>
          <w:tab w:val="right" w:pos="8550" w:leader="none"/>
        </w:tabs>
        <w:spacing w:lineRule="auto" w:line="240"/>
        <w:ind w:hanging="0" w:end="0"/>
        <w:rPr/>
      </w:pPr>
      <w:r>
        <w:rPr/>
      </w:r>
    </w:p>
    <w:p>
      <w:pPr>
        <w:pStyle w:val="standard"/>
        <w:tabs>
          <w:tab w:val="clear" w:pos="720"/>
          <w:tab w:val="right" w:pos="8550" w:leader="none"/>
        </w:tabs>
        <w:spacing w:lineRule="auto" w:line="240"/>
        <w:ind w:hanging="0" w:end="0"/>
        <w:rPr/>
      </w:pPr>
      <w:r>
        <w:rPr/>
      </w:r>
    </w:p>
    <w:p>
      <w:pPr>
        <w:pStyle w:val="standard"/>
        <w:tabs>
          <w:tab w:val="clear" w:pos="720"/>
          <w:tab w:val="right" w:pos="8550" w:leader="none"/>
        </w:tabs>
        <w:spacing w:lineRule="auto" w:line="240"/>
        <w:ind w:hanging="0" w:end="0"/>
        <w:rPr/>
      </w:pPr>
      <w:r>
        <w:rPr/>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2" w:fmt="decimal"/>
          <w:formProt w:val="false"/>
          <w:textDirection w:val="lrTb"/>
          <w:docGrid w:type="default" w:linePitch="360" w:charSpace="0"/>
        </w:sectPr>
        <w:pStyle w:val="standard"/>
        <w:tabs>
          <w:tab w:val="clear" w:pos="720"/>
          <w:tab w:val="right" w:pos="8550" w:leader="none"/>
        </w:tabs>
        <w:spacing w:lineRule="auto" w:line="240"/>
        <w:ind w:hanging="0" w:end="0"/>
        <w:rPr/>
      </w:pPr>
      <w:r>
        <w:rPr/>
      </w:r>
    </w:p>
    <w:p>
      <w:pPr>
        <w:pStyle w:val="standard"/>
        <w:tabs>
          <w:tab w:val="clear" w:pos="720"/>
          <w:tab w:val="right" w:pos="8550" w:leader="none"/>
        </w:tabs>
        <w:spacing w:lineRule="auto" w:line="240"/>
        <w:ind w:hanging="0" w:end="0"/>
        <w:jc w:val="center"/>
        <w:rPr>
          <w:b/>
          <w:bCs/>
          <w:sz w:val="40"/>
        </w:rPr>
      </w:pPr>
      <w:r>
        <w:rPr>
          <w:b/>
          <w:bCs/>
          <w:sz w:val="40"/>
        </w:rPr>
        <w:t>Appendix A</w:t>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t>Adopted Rate Agreement</w:t>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r>
    </w:p>
    <w:p>
      <w:pPr>
        <w:pStyle w:val="Heading6"/>
        <w:numPr>
          <w:ilvl w:val="0"/>
          <w:numId w:val="0"/>
        </w:numPr>
        <w:ind w:hanging="0" w:start="0"/>
        <w:rPr>
          <w:b w:val="false"/>
          <w:bCs/>
          <w:sz w:val="40"/>
        </w:rPr>
      </w:pPr>
      <w:r>
        <w:rPr>
          <w:b w:val="false"/>
          <w:bCs/>
          <w:sz w:val="40"/>
        </w:rPr>
      </w:r>
    </w:p>
    <w:p>
      <w:pPr>
        <w:pStyle w:val="standard"/>
        <w:tabs>
          <w:tab w:val="clear" w:pos="720"/>
          <w:tab w:val="right" w:pos="8550" w:leader="none"/>
        </w:tabs>
        <w:spacing w:lineRule="auto" w:line="240"/>
        <w:ind w:hanging="0" w:end="0"/>
        <w:jc w:val="center"/>
        <w:rPr>
          <w:b/>
          <w:bCs/>
          <w:sz w:val="40"/>
        </w:rPr>
      </w:pPr>
      <w:r>
        <w:rPr>
          <w:b/>
          <w:bCs/>
          <w:sz w:val="40"/>
        </w:rPr>
      </w:r>
    </w:p>
    <w:p>
      <w:pPr>
        <w:pStyle w:val="standard"/>
        <w:ind w:hanging="0" w:end="0"/>
        <w:rPr>
          <w:b/>
          <w:bCs/>
          <w:sz w:val="40"/>
        </w:rPr>
      </w:pPr>
      <w:r>
        <w:rPr>
          <w:b/>
          <w:bCs/>
          <w:sz w:val="40"/>
        </w:rPr>
      </w:r>
    </w:p>
    <w:p>
      <w:pPr>
        <w:pStyle w:val="standard"/>
        <w:ind w:hanging="0" w:end="0"/>
        <w:rPr/>
      </w:pPr>
      <w:r>
        <w:rPr/>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440"/>
          <w:pgNumType w:start="2" w:fmt="decimal"/>
          <w:formProt w:val="false"/>
          <w:textDirection w:val="lrTb"/>
          <w:docGrid w:type="default" w:linePitch="360" w:charSpace="0"/>
        </w:sectPr>
        <w:pStyle w:val="standard"/>
        <w:ind w:hanging="0" w:end="0"/>
        <w:rPr/>
      </w:pPr>
      <w:r>
        <w:rPr/>
      </w:r>
    </w:p>
    <w:p>
      <w:pPr>
        <w:pStyle w:val="standard"/>
        <w:tabs>
          <w:tab w:val="clear" w:pos="720"/>
          <w:tab w:val="right" w:pos="8550" w:leader="none"/>
        </w:tabs>
        <w:spacing w:lineRule="auto" w:line="240"/>
        <w:ind w:hanging="0" w:end="0"/>
        <w:jc w:val="center"/>
        <w:rPr>
          <w:b/>
          <w:bCs/>
          <w:sz w:val="40"/>
        </w:rPr>
      </w:pPr>
      <w:r>
        <w:rPr>
          <w:b/>
          <w:bCs/>
          <w:sz w:val="40"/>
        </w:rPr>
        <w:t>Appendix B</w:t>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t xml:space="preserve">Summary of the Positions of the Parties </w:t>
      </w:r>
    </w:p>
    <w:p>
      <w:pPr>
        <w:pStyle w:val="standard"/>
        <w:ind w:hanging="0" w:end="0"/>
        <w:rPr>
          <w:b/>
          <w:bCs/>
          <w:sz w:val="40"/>
        </w:rPr>
      </w:pPr>
      <w:r>
        <w:rPr>
          <w:b/>
          <w:bCs/>
          <w:sz w:val="40"/>
        </w:rPr>
      </w:r>
    </w:p>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152" w:footer="720" w:bottom="1440"/>
          <w:pgNumType w:start="2" w:fmt="decimal"/>
          <w:formProt w:val="false"/>
          <w:textDirection w:val="lrTb"/>
          <w:docGrid w:type="default" w:linePitch="360" w:charSpace="0"/>
        </w:sectPr>
        <w:pStyle w:val="standard"/>
        <w:ind w:hanging="0" w:end="0"/>
        <w:rPr/>
      </w:pPr>
      <w:r>
        <w:rPr/>
      </w:r>
    </w:p>
    <w:p>
      <w:pPr>
        <w:pStyle w:val="BodyTextIndent3"/>
        <w:rPr/>
      </w:pPr>
      <w:r>
        <w:rPr/>
        <w:t xml:space="preserve">The Commission received comments regarding the Rate Agreement from the following parties:  the Association of California Water Agencies (ACWA), the California Energy Commission (CEC), California Industrial Users (CIU), Consumers Union (CU), Federal Executive Agencies (FEA), the Foundation for Taxpayer and Consumer Rights (FTCR), the Office of Ratepayer Advocates (ORA), Pacific Gas and Electric Company (PG&amp;E,) Southern California Edison company (SCE), San Diego Gas &amp; Electric Company (SDG&amp;E), The Utility Reform Network (TURN), the California Department of Water Resources (DWR), the State Treasurer’s Office (Treasurer), and Senator Haynes.  </w:t>
      </w:r>
    </w:p>
    <w:p>
      <w:pPr>
        <w:pStyle w:val="BodyTextIndent3"/>
        <w:rPr/>
      </w:pPr>
      <w:r>
        <w:rPr/>
        <w:t xml:space="preserve">All parties who filed comments oppose the Rate Agreement with the exception of DWR and the Treasurer.  The parties’ primary concern is that the Rate Agreement provides DWR with vast new powers to raise electric rates without any public oversight or opportunity for public input.  The parties also raise other significant concerns.  Some parties believe the Rate Agreement is flawed beyond redemption and should be rejected outright.  Others believe the Agreement can corrected by amending the document.  What follows is a summary of each party’s position.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A. Association of California Water Agencies </w:t>
      </w:r>
    </w:p>
    <w:p>
      <w:pPr>
        <w:pStyle w:val="BodyTextIndent3"/>
        <w:rPr/>
      </w:pPr>
      <w:r>
        <w:rPr/>
        <w:t xml:space="preserve">ACWA states that the Rate Agreement </w:t>
      </w:r>
      <w:r>
        <w:rPr/>
        <w:t>requires</w:t>
      </w:r>
      <w:r>
        <w:rPr/>
        <w:t xml:space="preserve"> the Commission to set rates to recover whatever costs that DWR deems to be </w:t>
      </w:r>
      <w:r>
        <w:rPr/>
        <w:t>just</w:t>
      </w:r>
      <w:r>
        <w:rPr/>
        <w:t xml:space="preserve"> and reasonable.  ACWA believes this arrangement unwisely cedes the Commission</w:t>
      </w:r>
      <w:r>
        <w:rPr>
          <w:rFonts w:cs="Times New Roman" w:ascii="Times New Roman" w:hAnsi="Times New Roman"/>
        </w:rPr>
        <w:t>’</w:t>
      </w:r>
      <w:r>
        <w:rPr/>
        <w:t>s historic responsibility to determine prudent electricity costs for the State.</w:t>
      </w:r>
    </w:p>
    <w:p>
      <w:pPr>
        <w:pStyle w:val="BodyTextIndent3"/>
        <w:rPr/>
      </w:pPr>
      <w:r>
        <w:rPr/>
        <w:t xml:space="preserve">ACWA states that in the unlikely event that DWR admits its expenditures were not just and reasonable, there is no provision in the Rate Agreement to deal with this contingency.  ACWA also notes that the Rate Agreement contains no provisions concerning the determination of whether assets are “used and useful.”  ACWA believes this oversight may haunt the State when the California Power Authority, which is authorized to build and operate power plants, seeks to recover its costs through DWR’s Revenue Requirement.   </w:t>
      </w:r>
    </w:p>
    <w:p>
      <w:pPr>
        <w:pStyle w:val="BodyTextIndent3"/>
        <w:rPr/>
      </w:pPr>
      <w:r>
        <w:rPr/>
        <w:t>ACWA states that the Rate Agreement is not the only place where the authority of the Commission is being lost.  ACWA notes that both the SCE MOU and the SDG&amp;E MOU include a clause that states that the utility</w:t>
      </w:r>
      <w:r>
        <w:rPr>
          <w:rFonts w:cs="Times New Roman" w:ascii="Times New Roman" w:hAnsi="Times New Roman"/>
        </w:rPr>
        <w:t>’</w:t>
      </w:r>
      <w:r>
        <w:rPr/>
        <w:t xml:space="preserve">s rate of return is not subject to review by the Commission.  ACWA also anticipates that the Commission will eliminate the ability of consumers to choose their electricity providers.  Thus, if the Commission approves the Rate Agreement, California consumers will be required to (1) buy electricity from DWR at rates that have never been independently determined to be just and reasonable, and (2) pay for power plants that have not been determined to be used and useful.  The result, according to ACWA, is that the system of checks and balances that California electric </w:t>
      </w:r>
      <w:r>
        <w:rPr/>
        <w:t>ratepayers</w:t>
      </w:r>
      <w:r>
        <w:rPr/>
        <w:t xml:space="preserve"> rely upon for protection will be lost.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B. California Energy Commission </w:t>
      </w:r>
    </w:p>
    <w:p>
      <w:pPr>
        <w:pStyle w:val="BodyTextIndent3"/>
        <w:rPr/>
      </w:pPr>
      <w:r>
        <w:rPr/>
        <w:t xml:space="preserve">CEC states AB 28X </w:t>
      </w:r>
      <w:r>
        <w:rPr/>
        <w:t>requires</w:t>
      </w:r>
      <w:r>
        <w:rPr/>
        <w:t xml:space="preserve"> the Commission to implement real-time pricing (RTP) for electric utilities by December 31, 2001.  The CEC states that it is essential for Commission and DWR to announce where the cost for implementation of RTP will be recovered.   </w:t>
      </w:r>
    </w:p>
    <w:p>
      <w:pPr>
        <w:pStyle w:val="BodyTextIndent3"/>
        <w:rPr/>
      </w:pPr>
      <w:r>
        <w:rPr/>
        <w:t xml:space="preserve">CEC offers two alternatives for recovery of RTP-related costs.  First, the costs can be recovered as part of the RTP tariffs implemented by the utilities.  If this alternative is chosen, there is no need for the Rate Agreement to address RTP.  Second, the costs for RTP may be included in the Revenue Requirement that DWR recovers in rates.  If this alternative is chosen, the Rate Agreement would have to be modified to identify RTP as one of the costs that DWR may include in its Revenue Requirement.  </w:t>
      </w:r>
    </w:p>
    <w:p>
      <w:pPr>
        <w:pStyle w:val="standard"/>
        <w:keepNext w:val="true"/>
        <w:spacing w:before="120" w:after="0"/>
        <w:rPr>
          <w:rFonts w:ascii="Helvetica;Arial" w:hAnsi="Helvetica;Arial" w:cs="Helvetica;Arial"/>
          <w:b/>
          <w:bCs/>
        </w:rPr>
      </w:pPr>
      <w:r>
        <w:rPr>
          <w:rFonts w:cs="Helvetica;Arial" w:ascii="Helvetica;Arial" w:hAnsi="Helvetica;Arial"/>
          <w:b/>
          <w:bCs/>
        </w:rPr>
        <w:t>C. California Industrial Users</w:t>
      </w:r>
      <w:r>
        <w:rPr>
          <w:rStyle w:val="FootnoteCharacters"/>
          <w:rStyle w:val="FootnoteReference"/>
          <w:sz w:val="26"/>
        </w:rPr>
        <w:footnoteReference w:id="73"/>
      </w:r>
    </w:p>
    <w:p>
      <w:pPr>
        <w:pStyle w:val="Normal"/>
        <w:widowControl/>
        <w:spacing w:lineRule="auto" w:line="360"/>
        <w:ind w:firstLine="720" w:end="0"/>
        <w:rPr>
          <w:rFonts w:ascii="Palatino;Book Antiqua" w:hAnsi="Palatino;Book Antiqua" w:cs="Palatino;Book Antiqua"/>
          <w:sz w:val="26"/>
        </w:rPr>
      </w:pPr>
      <w:r>
        <w:rPr>
          <w:rFonts w:cs="Palatino;Book Antiqua" w:ascii="Palatino;Book Antiqua" w:hAnsi="Palatino;Book Antiqua"/>
          <w:sz w:val="26"/>
        </w:rPr>
        <w:t xml:space="preserve">CIU states that the Rate Agreement may have a 20-year life span.  Because of the long life of the Agreement, CIU cautions the Commission to be wary of going any further in the Rate Agreement than is absolutely necessary.  </w:t>
      </w:r>
    </w:p>
    <w:p>
      <w:pPr>
        <w:pStyle w:val="standard"/>
        <w:rPr>
          <w:szCs w:val="20"/>
        </w:rPr>
      </w:pPr>
      <w:r>
        <w:rPr>
          <w:szCs w:val="20"/>
        </w:rPr>
        <w:t xml:space="preserve">CIU asserts that the Rate Agreement allows DWR to include in its Revenue Requirement the following costs that are not authorized by AB 1X:  </w:t>
      </w:r>
    </w:p>
    <w:p>
      <w:pPr>
        <w:pStyle w:val="BodyTextIndent3"/>
        <w:numPr>
          <w:ilvl w:val="0"/>
          <w:numId w:val="8"/>
        </w:numPr>
        <w:spacing w:lineRule="auto" w:line="240" w:before="80" w:after="80"/>
        <w:ind w:hanging="360" w:start="1080" w:end="720"/>
        <w:rPr/>
      </w:pPr>
      <w:r>
        <w:rPr/>
        <w:t>Reasonable administrative, general, and overhead expenses and payments for employee benefits, including but not limited to payments to savings, pension, retirement, health and hospitalization funds; provided all such expenses and payments shall be as appropriated or approved by the Legislature.</w:t>
      </w:r>
    </w:p>
    <w:p>
      <w:pPr>
        <w:pStyle w:val="BodyTextIndent3"/>
        <w:numPr>
          <w:ilvl w:val="0"/>
          <w:numId w:val="8"/>
        </w:numPr>
        <w:spacing w:lineRule="auto" w:line="240" w:before="80" w:after="80"/>
        <w:ind w:hanging="360" w:start="1080" w:end="720"/>
        <w:rPr/>
      </w:pPr>
      <w:r>
        <w:rPr/>
        <w:t>Insurance premiums.</w:t>
      </w:r>
    </w:p>
    <w:p>
      <w:pPr>
        <w:pStyle w:val="BodyTextIndent3"/>
        <w:numPr>
          <w:ilvl w:val="0"/>
          <w:numId w:val="8"/>
        </w:numPr>
        <w:spacing w:lineRule="auto" w:line="240" w:before="80" w:after="80"/>
        <w:ind w:hanging="360" w:start="1080" w:end="720"/>
        <w:rPr/>
      </w:pPr>
      <w:r>
        <w:rPr/>
        <w:t>Legal and engineering expenses.</w:t>
      </w:r>
    </w:p>
    <w:p>
      <w:pPr>
        <w:pStyle w:val="BodyTextIndent3"/>
        <w:numPr>
          <w:ilvl w:val="0"/>
          <w:numId w:val="8"/>
        </w:numPr>
        <w:spacing w:lineRule="auto" w:line="240" w:before="80" w:after="80"/>
        <w:ind w:hanging="360" w:start="1080" w:end="720"/>
        <w:rPr/>
      </w:pPr>
      <w:r>
        <w:rPr/>
        <w:t>Expenses for consulting and technical services.</w:t>
      </w:r>
    </w:p>
    <w:p>
      <w:pPr>
        <w:pStyle w:val="BodyTextIndent3"/>
        <w:numPr>
          <w:ilvl w:val="0"/>
          <w:numId w:val="8"/>
        </w:numPr>
        <w:spacing w:lineRule="auto" w:line="240" w:before="80" w:after="80"/>
        <w:ind w:hanging="360" w:start="1080" w:end="720"/>
        <w:rPr/>
      </w:pPr>
      <w:r>
        <w:rPr/>
        <w:t>Charges payable by DWR pursuant to any licenses, orders or mandates from any agency or regulatory body having lawful jurisdiction.</w:t>
      </w:r>
    </w:p>
    <w:p>
      <w:pPr>
        <w:pStyle w:val="BodyTextIndent3"/>
        <w:numPr>
          <w:ilvl w:val="0"/>
          <w:numId w:val="8"/>
        </w:numPr>
        <w:spacing w:lineRule="auto" w:line="240" w:before="80" w:after="360"/>
        <w:ind w:hanging="360" w:start="1080" w:end="720"/>
        <w:rPr/>
      </w:pPr>
      <w:r>
        <w:rPr/>
        <w:t xml:space="preserve">Any taxes, governmental charges, and other costs and expenses required to be paid by DWR. </w:t>
      </w:r>
    </w:p>
    <w:p>
      <w:pPr>
        <w:pStyle w:val="standard"/>
        <w:rPr/>
      </w:pPr>
      <w:r>
        <w:rPr/>
        <w:t xml:space="preserve">CIU argues that the above costs exceed the scope of costs authorized by AB 1X.  For example, “general and overhead expenses” (G&amp;O expenses) may include costs not directly related to AB 1X.  CIU recommends that the Rate Agreement be revised to state that DWR can only charge for the “true” costs of executing AB 1X, and that G&amp;O expenses will be allocated, as </w:t>
      </w:r>
      <w:r>
        <w:rPr/>
        <w:t>appropriate</w:t>
      </w:r>
      <w:r>
        <w:rPr/>
        <w:t xml:space="preserve">, among the programs administered by DWR.  </w:t>
      </w:r>
    </w:p>
    <w:p>
      <w:pPr>
        <w:pStyle w:val="standard"/>
        <w:rPr/>
      </w:pPr>
      <w:r>
        <w:rPr/>
        <w:t xml:space="preserve">CIU maintains that the Rate Agreement diminishes the Commission’s discretion to engage in a decision-making process that allows for the development of an adequate record and comprehensive analysis of complex issues.  In particular, Section 5.1 requires the Commission to set DWR’s rates in 90 days, and in as little as 30 days in certain emergency circumstances.  CIU understands the need for the 30-day period in emergency situations, but CIU believes there is no reason for the Commission to consent to a hurried consideration of complex rate-making issues in non-emergency situations.  </w:t>
      </w:r>
    </w:p>
    <w:p>
      <w:pPr>
        <w:pStyle w:val="Normal"/>
        <w:widowControl/>
        <w:spacing w:lineRule="auto" w:line="360"/>
        <w:ind w:firstLine="720" w:end="0"/>
        <w:rPr>
          <w:rFonts w:ascii="Palatino;Book Antiqua" w:hAnsi="Palatino;Book Antiqua" w:cs="Palatino;Book Antiqua"/>
          <w:sz w:val="26"/>
        </w:rPr>
      </w:pPr>
      <w:r>
        <w:rPr>
          <w:rFonts w:cs="Palatino;Book Antiqua" w:ascii="Palatino;Book Antiqua" w:hAnsi="Palatino;Book Antiqua"/>
          <w:sz w:val="26"/>
        </w:rPr>
        <w:t xml:space="preserve">CIU states that ratemaking is a legislative function that the Commission cannot legally delegate.  CIU also states that Pub. Util. Code § 1708 provides the Commission with discretion, after proper notice and an opportunity to be heard, to “rescind, alter, or amend any order or decision made by it.”  CIU is concerned, however, that in the Rate Agreement the Commission surrenders both its legislative power and its authority to change its mind.  For example, Section 5.3(b) requires the Commission “to act at the direction of [DWR] with respect to those matters within its control that could adversely affect the exclusion of interest on Bonds from gross income for purposes of federal income taxation.”  CIU contends that it is imprudent for the Commission to turn decision-making over to DWR on an untold range of issues for an extended period of time.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D. Consumers Union </w:t>
      </w:r>
    </w:p>
    <w:p>
      <w:pPr>
        <w:pStyle w:val="BodyTextIndent3"/>
        <w:rPr/>
      </w:pPr>
      <w:r>
        <w:rPr/>
        <w:t xml:space="preserve">CU recommends that subaccounts be </w:t>
      </w:r>
      <w:r>
        <w:rPr/>
        <w:t>established</w:t>
      </w:r>
      <w:r>
        <w:rPr/>
        <w:t xml:space="preserve"> within the Fund to segregate monies necessary to repay Bonds from the remainder of DWR’s revenue requirement.  CU states that subaccounts could be treated differently in the Rate Agreement, with DWR and the Commission agreeing that the Commission would (1) pass along all Bond-Related Costs, and (2) determine if all other costs are just and reasonable.  CU argues that if Bond-Related Costs and all other costs are paid from a single fund without sub-fund accounting, then disallowing any of DWR’s expenses could risk repayment of the bonds.  CU states that whether or not sub-fund accounting is used, it would still be valuable to separately identify on ratepayer bills the amounts that ratepayers pay for Bond-Related Costs, current power purchases, conservation programs, and other expenses which by law are to be passed on to ratepayers.</w:t>
      </w:r>
      <w:r>
        <w:rPr>
          <w:rStyle w:val="FootnoteCharacters"/>
          <w:rStyle w:val="FootnoteReference"/>
        </w:rPr>
        <w:footnoteReference w:id="74"/>
      </w:r>
    </w:p>
    <w:p>
      <w:pPr>
        <w:pStyle w:val="BodyTextIndent3"/>
        <w:rPr/>
      </w:pPr>
      <w:r>
        <w:rPr/>
        <w:t xml:space="preserve">CU states that the Rate Agreement enables DWR to incur costs and then pass these costs to ratepayers without any scrutiny.  CU argues that the Rate Agreement must be revised to require the Commission to determine if every element of DWR’s Revenue Requirement is just and reasonable.  CU believes that such an arrangement would provide needed oversight of DWR’s expenditures as well as an incentive for DWR to be careful in incurring expenses that are passed on to ratepayers.  </w:t>
      </w:r>
    </w:p>
    <w:p>
      <w:pPr>
        <w:pStyle w:val="BodyTextIndent3"/>
        <w:rPr/>
      </w:pPr>
      <w:r>
        <w:rPr/>
        <w:t xml:space="preserve">CU states that the Rate Agreement should not be approved until DWR establishes policies and procedures to ensure that the Revenue Requirement includes only costs that are just and reasonable.  The policies and procedures recommended by CU include the following:  (1) standards for determining whether costs are just and reasonable; (2) internal accounting controls; (3) public disclosure of all costs that were incurred, why the costs are justified, and what costs did not meet the just and reasonable standard; (4) policies governing the use, selection, and payment of outside consultants, including public disclosure and conflict-of-interest rules; (5) policies for allocating costs among programs, regions, and customers of different utilities; and (6) annual financial and managerial audits by the State Auditor.  CU notes that while AB 1X calls for an audit, the audit report is not required to be made public until March 2003.  CU recommends that the State Auditor conduct annual audits beginning in 2001, and promptly release all audit reports once they are complete.  </w:t>
      </w:r>
    </w:p>
    <w:p>
      <w:pPr>
        <w:pStyle w:val="BodyTextIndent3"/>
        <w:rPr/>
      </w:pPr>
      <w:r>
        <w:rPr/>
        <w:t xml:space="preserve">CU recommends that the Rate Agreement be modified to require public notice and comment on DWR’s Revenue Requirement.  CU states that public notice and comment can provide an independent check on the otherwise unbridled discretion of DWR to obtain additional revenue from ratepayers.  CU adds that ratepayers have a right to know the details of the costs that DWR seeks to recover in rates.  CU further asserts that ratepayers should be allowed to bring disputes to the Commission regarding DWR’s Revenue Requirement.  The Commission should then be entitled to determine whether costs are just, reasonable, and sufficiently related to the purposes of the Bonds that they should be passed on to ratepayers.  </w:t>
      </w:r>
    </w:p>
    <w:p>
      <w:pPr>
        <w:pStyle w:val="BodyTextIndent3"/>
        <w:rPr/>
      </w:pPr>
      <w:r>
        <w:rPr/>
        <w:t xml:space="preserve">CU asserts that the Rate Agreement requires DWR to submit only a bare itemization of its Revenue Requirement, with no supporting documentation.  CU recommends that the Rate Agreement be modified to require DWR to submit documentation that (1) contains detailed support for projected expenses, and (2) shows actual costs compared to the projections for the same period.  CU also recommends that the Rate Agreement be revised to expressly require that all net revenues from the sale of surplus power and FERC-ordered refunds be used to reduce the Revenue Requirement.  </w:t>
      </w:r>
    </w:p>
    <w:p>
      <w:pPr>
        <w:pStyle w:val="BodyTextIndent3"/>
        <w:rPr/>
      </w:pPr>
      <w:r>
        <w:rPr/>
        <w:t xml:space="preserve">CU states that the Rate Agreement should be modified to restrict </w:t>
      </w:r>
      <w:r>
        <w:rPr/>
        <w:t>rate</w:t>
      </w:r>
      <w:r>
        <w:rPr/>
        <w:t xml:space="preserve"> increases for Department Charges to once per year unless a predefined standard for an emergency is met.  CU maintains that restricting rate increases to once per year would reduce confusion about utility bills, help customers plan for their future energy costs, and enhance perceptions of marketplace stability.  CU argues that costs related to the Bonds, such as reserve requirements, are predictable and would not be affected by its recommendation.  </w:t>
      </w:r>
    </w:p>
    <w:p>
      <w:pPr>
        <w:pStyle w:val="BodyTextIndent3"/>
        <w:rPr/>
      </w:pPr>
      <w:r>
        <w:rPr/>
        <w:t xml:space="preserve">CU states that the Commission should not approve the Rate Agreement without knowing the terms of the Financing Documents, since these terms will define many of the future costs to be imposed on ratepayers.  Accordingly, CU recommends that the Commission condition its approval of the Rate Agreement on subsequent review and approval of the Financing Documents.  </w:t>
      </w:r>
    </w:p>
    <w:p>
      <w:pPr>
        <w:pStyle w:val="BodyTextIndent3"/>
        <w:rPr/>
      </w:pPr>
      <w:r>
        <w:rPr/>
        <w:t>CU asserts the Rate Agreement lacks a meaningful timeline to adjust the Revenue Requirement in response to legislative changes.  CU states that the while the Rate Agreement recognizes that changes in law may require an adjustment of the Revenue Requirement, it sets no deadline for the adjustment, merely referring to Section 4.1, which requires DWR to submit its Revenue Requirement to the Commission at least annually.  CU recommends that a shorter timeline be added to the Rate Agreement.</w:t>
      </w:r>
    </w:p>
    <w:p>
      <w:pPr>
        <w:pStyle w:val="standard"/>
        <w:keepNext w:val="true"/>
        <w:spacing w:before="120" w:after="0"/>
        <w:rPr>
          <w:rFonts w:ascii="Helvetica;Arial" w:hAnsi="Helvetica;Arial" w:cs="Helvetica;Arial"/>
          <w:b/>
          <w:bCs/>
        </w:rPr>
      </w:pPr>
      <w:r>
        <w:rPr>
          <w:rFonts w:cs="Helvetica;Arial" w:ascii="Helvetica;Arial" w:hAnsi="Helvetica;Arial"/>
          <w:b/>
          <w:bCs/>
        </w:rPr>
        <w:t>E. Federal Executive Agencies</w:t>
      </w:r>
    </w:p>
    <w:p>
      <w:pPr>
        <w:pStyle w:val="BodyText"/>
        <w:spacing w:before="0" w:after="0"/>
        <w:ind w:firstLine="720" w:end="0"/>
        <w:rPr>
          <w:rFonts w:ascii="Palatino;Book Antiqua" w:hAnsi="Palatino;Book Antiqua" w:cs="Courier New"/>
          <w:sz w:val="26"/>
        </w:rPr>
      </w:pPr>
      <w:r>
        <w:rPr>
          <w:rFonts w:cs="Courier New" w:ascii="Palatino;Book Antiqua" w:hAnsi="Palatino;Book Antiqua"/>
          <w:sz w:val="26"/>
        </w:rPr>
        <w:t>FEA states that Section 4.1(a) appears to allow DWR to determine how much of its total Revenue Requirement should be allocated to each utility.  Section 4.1(a) provides, in part, as follows:</w:t>
      </w:r>
    </w:p>
    <w:p>
      <w:pPr>
        <w:pStyle w:val="BodyText"/>
        <w:spacing w:lineRule="auto" w:line="240" w:before="0" w:after="360"/>
        <w:ind w:firstLine="4" w:start="1080" w:end="720"/>
        <w:rPr/>
      </w:pPr>
      <w:r>
        <w:rPr>
          <w:rFonts w:cs="Courier New" w:ascii="Palatino;Book Antiqua" w:hAnsi="Palatino;Book Antiqua"/>
          <w:sz w:val="26"/>
        </w:rPr>
        <w:t>[DWR] shall, at least annually, and more frequently as deemed reasonably necessary or appropriate by [DWR] review, determine and revise its Retail Revenue Requirements</w:t>
      </w:r>
      <w:r>
        <w:rPr>
          <w:rFonts w:cs="Times New Roman"/>
          <w:sz w:val="26"/>
        </w:rPr>
        <w:t>…</w:t>
      </w:r>
      <w:r>
        <w:rPr>
          <w:rFonts w:cs="Courier New" w:ascii="Palatino;Book Antiqua" w:hAnsi="Palatino;Book Antiqua"/>
          <w:sz w:val="26"/>
        </w:rPr>
        <w:t xml:space="preserve">[DWR] shall promptly notify the Commission following any determination or revision of the Retail Revenue Requirements, </w:t>
      </w:r>
      <w:r>
        <w:rPr>
          <w:rFonts w:cs="Courier New" w:ascii="Palatino;Book Antiqua" w:hAnsi="Palatino;Book Antiqua"/>
          <w:sz w:val="26"/>
          <w:u w:val="single"/>
        </w:rPr>
        <w:t>including the amount of the Retail Revenue Requirements required to be collected from Retail End Use Customers in each Service Area</w:t>
      </w:r>
      <w:r>
        <w:rPr>
          <w:rFonts w:cs="Courier New" w:ascii="Palatino;Book Antiqua" w:hAnsi="Palatino;Book Antiqua"/>
          <w:sz w:val="26"/>
        </w:rPr>
        <w:t>.  (Emphasis added.)</w:t>
      </w:r>
    </w:p>
    <w:p>
      <w:pPr>
        <w:pStyle w:val="BodyText"/>
        <w:spacing w:before="0" w:after="0"/>
        <w:rPr>
          <w:rFonts w:ascii="Palatino;Book Antiqua" w:hAnsi="Palatino;Book Antiqua" w:cs="Courier New"/>
          <w:sz w:val="26"/>
        </w:rPr>
      </w:pPr>
      <w:r>
        <w:rPr>
          <w:rFonts w:cs="Courier New" w:ascii="Palatino;Book Antiqua" w:hAnsi="Palatino;Book Antiqua"/>
          <w:sz w:val="26"/>
        </w:rPr>
        <w:t xml:space="preserve">FEA asserts that AB 1X does not authorize DWR to allocate its Revenue Requirement among the utilities or the customers of the utilities.  Rather, AB 1X provides that DWR is entitled to collect its Revenue Requirement, while the Commission is responsible for setting rates that are sufficient for DWR to recover its Revenue Requirement.   </w:t>
      </w:r>
    </w:p>
    <w:p>
      <w:pPr>
        <w:pStyle w:val="BodyText"/>
        <w:spacing w:before="0" w:after="0"/>
        <w:ind w:firstLine="720" w:end="0"/>
        <w:rPr>
          <w:rFonts w:ascii="Palatino;Book Antiqua" w:hAnsi="Palatino;Book Antiqua" w:cs="Courier New"/>
          <w:sz w:val="26"/>
        </w:rPr>
      </w:pPr>
      <w:r>
        <w:rPr>
          <w:rFonts w:cs="Courier New" w:ascii="Palatino;Book Antiqua" w:hAnsi="Palatino;Book Antiqua"/>
          <w:sz w:val="26"/>
        </w:rPr>
        <w:t>FEA believes that in order for the Commission properly to allocate DWR’s Revenue Requirement among the utilities, and to subsequently design rates that are fair and reasonable, the Commission must obtain a significant amount of detailed information from DWR.  Accordingly, FEA recommends that the Rate Agreement be modified to require DWR to provide the Commission, upon request, any information that DWR has pertaining to the allocation of revenue requirements and rate design.</w:t>
      </w:r>
    </w:p>
    <w:p>
      <w:pPr>
        <w:pStyle w:val="BodyText"/>
        <w:spacing w:before="0" w:after="0"/>
        <w:ind w:firstLine="720" w:end="0"/>
        <w:rPr>
          <w:rFonts w:ascii="Palatino;Book Antiqua" w:hAnsi="Palatino;Book Antiqua" w:cs="Courier New"/>
          <w:sz w:val="26"/>
        </w:rPr>
      </w:pPr>
      <w:r>
        <w:rPr>
          <w:rFonts w:cs="Courier New" w:ascii="Palatino;Book Antiqua" w:hAnsi="Palatino;Book Antiqua"/>
          <w:sz w:val="26"/>
        </w:rPr>
        <w:t xml:space="preserve">FEA states that there are certain milestones that must be achieved in order for DWR to issue Bonds.  FEA believes that the complex task of allocating the Revenue Requirement among the utilities and setting rate to recover the Revenue Requirement cannot be accomplished as quickly as the milestone dates require.  FEA suggests that the Rate Agreement be modified to allow for interim allocation of costs, with balancing accounts established to true up the interim allocations after the final allocations are established.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F. Foundation for Taxpayer and Consumer Rights </w:t>
      </w:r>
    </w:p>
    <w:p>
      <w:pPr>
        <w:pStyle w:val="standard"/>
        <w:rPr/>
      </w:pPr>
      <w:r>
        <w:rPr/>
        <w:t xml:space="preserve">FTCR asserts that the Rate Agreement allows DWR to pass all of its energy-related costs to ratepayers without any review of the costs by the Commission.  FTCR argues that such an arrangement violates the California Constitution, Article XII, Section 6, which directs the Commission to "fix rates, establish rules, examine records, issue subpoenas, administer oaths, take testimony, punish for contempt and prescribe a uniform system of accounts for all public utilities subject to its jurisdiction."  </w:t>
      </w:r>
    </w:p>
    <w:p>
      <w:pPr>
        <w:pStyle w:val="standard"/>
        <w:rPr/>
      </w:pPr>
      <w:r>
        <w:rPr/>
        <w:t xml:space="preserve">FTCR is alarmed that the Rate Agreement creates an irrevocable contract that requires the Commission to impose any rate hike requested by the DWR while simultaneously denying information to the Commission and the public that is vital to assessing the reasonableness of the costs incurred by DWR.  FTCR says this arrangement will exempt DWR from the decades-old system of regulatory checks and balances designed to protect consumers.  FTCR asserts that in order to ensure that power purchases by DWR are reasonable, it is essential that the public and the Commission have the right to scrutinize the actions of DWR.  </w:t>
      </w:r>
    </w:p>
    <w:p>
      <w:pPr>
        <w:pStyle w:val="standard"/>
        <w:rPr/>
      </w:pPr>
      <w:r>
        <w:rPr/>
        <w:t xml:space="preserve">FTCR maintains that AB 1X does not require the Commission to enter into the Rate Agreement.  FTCR states that although the Commission has discretion under AB 1X to enter into a contract with DWR, there is nothing in the statute that contemplates the comprehensive dismantling of Commission’s oversight functions as contained in the Rate Agreement. </w:t>
      </w:r>
    </w:p>
    <w:p>
      <w:pPr>
        <w:pStyle w:val="standard"/>
        <w:rPr/>
      </w:pPr>
      <w:r>
        <w:rPr/>
        <w:t>FTCR asserts that the Rate Agreement allows DWR to recover from ratepayers many types of costs that are not authorized by AB 1X.  FTCR states that the Rate Agreement does not even limit the costs that DWR may recover to those listed in the Agreement, since the definition of "Operating Expenses" contains the expansive language "</w:t>
      </w:r>
      <w:r>
        <w:rPr>
          <w:u w:val="single"/>
        </w:rPr>
        <w:t>including but not limited to.</w:t>
      </w:r>
      <w:r>
        <w:rPr/>
        <w:t xml:space="preserve">" (Emphasis added.)  FTCR states that the public should not be held financially responsible for a potentially unlimited array of expenses that is constrained, if at all, by DWR’s internal reasonableness review that is devoid of public oversight.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G. Office of Ratepayer Advocates </w:t>
      </w:r>
    </w:p>
    <w:p>
      <w:pPr>
        <w:pStyle w:val="BodyTextIndent3"/>
        <w:rPr/>
      </w:pPr>
      <w:r>
        <w:rPr/>
        <w:t>ORA recognizes that AB 1X delegates to DWR the responsibility for determining the wholesale power revenue requirement for PG&amp;E, SCE, and SDG&amp;E, aside from that portion that is produced by each utility</w:t>
      </w:r>
      <w:r>
        <w:rPr>
          <w:rFonts w:cs="Times New Roman" w:ascii="Times New Roman" w:hAnsi="Times New Roman"/>
        </w:rPr>
        <w:t>’</w:t>
      </w:r>
      <w:r>
        <w:rPr/>
        <w:t xml:space="preserve">s retained generation.  ORA is concerned, however, that the Rate Agreement contains no provision for either the Commission or the public to participate in DWR’s determination of its Revenue Requirement.  </w:t>
      </w:r>
    </w:p>
    <w:p>
      <w:pPr>
        <w:pStyle w:val="BodyTextIndent3"/>
        <w:rPr/>
      </w:pPr>
      <w:r>
        <w:rPr/>
        <w:t xml:space="preserve">ORA also recognizes that the Rate Agreement allows DWR to contract for various services, including legal, engineering, consulting, and technical services.  ORA asserts that DWR needs to establish an internal process to guard against unreasonable expenditures.  At a minimum, ORA believes that DWR’s consultants should comply with the Commission’s “conflict rules” to avoid even the appearance of self-dealing or other conflicts of interest. </w:t>
      </w:r>
    </w:p>
    <w:p>
      <w:pPr>
        <w:pStyle w:val="standard"/>
        <w:rPr/>
      </w:pPr>
      <w:r>
        <w:rPr/>
        <w:t xml:space="preserve">ORA recommends a partnership arrangement between the Commission and DWR in managing DWR’s power contracts.  Under the arrangement envisioned by ORA, DWR would periodically submit to ORA and the Commission a “contract management plan” that describes each power contract and how the contract was actually executed.  ORA, the Commission, and DWR would then work collaboratively to ensure that the contracts are managed in a cost-effective manner.  ORA also recommends that DWR make use of existing expertise within the Commission and the Energy Commission to forecast revenue and power requirements.  In addition, ORA urges the Commission to ensure that DWR’s power procurement efforts are coordinated with the work of many other agencies that collaborating on how integrated planning might be conducted in the most cost-effective manner.  </w:t>
      </w:r>
    </w:p>
    <w:p>
      <w:pPr>
        <w:pStyle w:val="standard"/>
        <w:rPr/>
      </w:pPr>
      <w:r>
        <w:rPr/>
        <w:t>ORA states that Section 5.2(c) of the Rate Agreement is not clear as to whether the utilities or DWR has the right to the interest on monies collected by the utilities in rates that will later by remitted to DWR.  ORA recommends that the wording of this section be changed to clarify that all monies should be held in trust for the benefit of ratepayers, not DWR.</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H. Pacific Gas and Electric Company </w:t>
      </w:r>
    </w:p>
    <w:p>
      <w:pPr>
        <w:pStyle w:val="standard"/>
        <w:rPr/>
      </w:pPr>
      <w:r>
        <w:rPr/>
        <w:t xml:space="preserve">PG&amp;E believes that the Rate Agreement should be strictly limited those provisions that are necessary for DWR to issue Bonds.  PG&amp;E contends that most provisions in the Rate Agreement are unrelated to the issuance of Bonds, and that such provisions should be excised from the Agreement.  </w:t>
      </w:r>
    </w:p>
    <w:p>
      <w:pPr>
        <w:pStyle w:val="standard"/>
        <w:rPr/>
      </w:pPr>
      <w:r>
        <w:rPr/>
        <w:t xml:space="preserve">PG&amp;E asserts that the Rate Agreement transfers much of the Commission’s authority to DWR.  For example, Section 5.3(b) requires the Commission “to act at the direction of [DWR]” regarding all matters that could adversely affect the tax-exempt status of the Bonds.  Likewise, Sections 5.2(c) and 5.5 require the Commission to undertake enforcement actions at the direction of DWR.  PG&amp;E also states that numerous provisions in Rate Agreement bind the Commission to provide for recovery of DWR’s revenue requirement (e.g., Sections 3.2, 4.1, 4.2, 5.1, 5.2, 5.3, 5.5, 6.1, 6.2, 6.3, 7.1, 7.2, 8.1, and 9.8.).  PG&amp;E asserts that the Commission cannot cede its authority under the California Constitution or the Public Utilities Code, nor bind itself or future Commissions. </w:t>
      </w:r>
    </w:p>
    <w:p>
      <w:pPr>
        <w:pStyle w:val="standard"/>
        <w:rPr/>
      </w:pPr>
      <w:r>
        <w:rPr/>
        <w:t xml:space="preserve">PG&amp;E is concerned that while the Rate Agreement requires the Commission to automatically impose major rate changes requested by DWR, there is nothing in the Agreement that provides for notice or an opportunity for hearings regarding the rate changes.  PG&amp;E asserts that the lack of notice and opportunity for hearings violates Public Utilities Code §§ 454 and 1701.1(a).  PG&amp;E further asserts that given the irrevocable and binding nature of the Rate Agreement, the Commission cannot approve it until interested parties are provided notice and an opportunity for evidentiary hearings on the Agreement.  </w:t>
      </w:r>
    </w:p>
    <w:p>
      <w:pPr>
        <w:pStyle w:val="standard"/>
        <w:rPr/>
      </w:pPr>
      <w:r>
        <w:rPr/>
        <w:t>PG&amp;E notes that the Rate Agreement allows DWR to recover both Bond</w:t>
        <w:noBreakHyphen/>
        <w:t xml:space="preserve">Related Costs and Operating Expenses.  The Rate Agreement then brings these costs within the “force and effect” of an irrevocable financing order.  PG&amp;E suggests that to the extent that the Rate Agreement is a “financing order” in its entirety, the Commission should clarify that the “Operating Expenses” recovered by DWR under the agreement are not themselves irrevocable for purposes of later revision and adjustment of overcollections and undercollections.  Similarly, the Rate Agreement should make clear that the Commission retains the right to prospectively modify the rate design and cost allocation methods used in recovering DWR’s Revenue Requirement from customers.  </w:t>
      </w:r>
    </w:p>
    <w:p>
      <w:pPr>
        <w:pStyle w:val="standard"/>
        <w:rPr/>
      </w:pPr>
      <w:r>
        <w:rPr/>
        <w:t xml:space="preserve">PG&amp;E states that Section 1.1 of the Rate Agreement defines "Servicing Agreements" to include "an order of the Commission having the effect of such an agreement."  PG&amp;E asserts that no order of the Commission can have the effect of a servicing agreement until it is reviewed and approved by the U.S. Bankruptcy Court.  Because of this, PG&amp;E </w:t>
      </w:r>
      <w:r>
        <w:rPr/>
        <w:t>recommends</w:t>
      </w:r>
      <w:r>
        <w:rPr/>
        <w:t xml:space="preserve"> that Rate Agreement be revised to delete from the definition of Servicing </w:t>
      </w:r>
      <w:r>
        <w:rPr/>
        <w:t>Agreement</w:t>
      </w:r>
      <w:r>
        <w:rPr/>
        <w:t xml:space="preserve"> the phrase "an order of the Commission having the effect of such an agreement."  </w:t>
      </w:r>
    </w:p>
    <w:p>
      <w:pPr>
        <w:pStyle w:val="standard"/>
        <w:rPr/>
      </w:pPr>
      <w:r>
        <w:rPr/>
        <w:t>PG&amp;E is concerned that there is nothing in the Rate Agreement that provides the Commission with the right to audit DWR.  PG&amp;E asserts that without full disclosure of information and the right to independently audit DWR, the Commission’s review of DWR’s multi-billion dollar revenue requirement will be meaningless.  Accordingly, PG&amp;E recommends that the Commission amend the Rate Agreement to provide the Commission and interested parties with the ability to obtain additional information from DWR and the right to audit DWR’s books, records, and accounts.</w:t>
      </w:r>
    </w:p>
    <w:p>
      <w:pPr>
        <w:pStyle w:val="standard"/>
        <w:rPr/>
      </w:pPr>
      <w:r>
        <w:rPr/>
        <w:t xml:space="preserve">PG&amp;E is also concerned about Section 5.1(b), which states that "Department Charges shall be established without regard to the levels or amounts of any particular rates or charges authorized by the Commission to be charged by any Electrical Corporation for power sold by such Electrical Corporations."  PG&amp;E argues that this provision should be clarified to ensure that DWR’s revenue requirement is determined independently from the utility revenue requirement.  PG&amp;E says the two revenue requirements should then be added together to determine the overall revenue requirement to be recovered through each utility's rates.  </w:t>
      </w:r>
    </w:p>
    <w:p>
      <w:pPr>
        <w:pStyle w:val="standard"/>
        <w:rPr/>
      </w:pPr>
      <w:r>
        <w:rPr/>
        <w:t xml:space="preserve">PG&amp;E objects to the provision in Section 5.1(c) that requires the Commission to calculate and impose rates for DWR power "sold, to be sold or deemed to be sold" to retail customers.  PG&amp;E states that rates should be strictly limited to DWR power that is actually sold and delivered to customers.  PG&amp;E states that DWR should not be allowed to obtain reimbursement for power that it purchases but does not deliver to customers.  PG&amp;E asserts that DWR should be at risk for over-contracting, not the utilities and ratepayers.  </w:t>
      </w:r>
    </w:p>
    <w:p>
      <w:pPr>
        <w:pStyle w:val="standard"/>
        <w:rPr/>
      </w:pPr>
      <w:r>
        <w:rPr/>
        <w:t xml:space="preserve">PG&amp;E also objects to Sections 5.2(a) and 5.2(b).  Section 5.2 states that the Commission “has ordered” utilities to deliver power on behalf of DWR, and that the Commission will continue to do so.  Section 5.2(b) indicates that DWR has requested a servicing agreement with PG&amp;E, and that the Commission will enforce this servicing agreement.  PG&amp;E asserts that Section 5.2 unlawfully prejudges the outcome of current proceedings involving a servicing agreement between PG&amp;E and DWR.  </w:t>
      </w:r>
    </w:p>
    <w:p>
      <w:pPr>
        <w:pStyle w:val="standard"/>
        <w:rPr/>
      </w:pPr>
      <w:r>
        <w:rPr/>
        <w:t xml:space="preserve">PG&amp;E opposes the inclusion of Sections 5.2(b) and 5.2(c) in the Rate Agreement.  These sections require the Commission to issue orders and enforce servicing agreements at the request of DWR.  PG&amp;E asserts these provisions are illegal, since they deny the utilities due process and transfer enforcement powers to DWR in contravention of the Public Utilities Code.  </w:t>
      </w:r>
    </w:p>
    <w:p>
      <w:pPr>
        <w:pStyle w:val="standard"/>
        <w:rPr/>
      </w:pPr>
      <w:r>
        <w:rPr/>
        <w:t xml:space="preserve">PG&amp;E notes that Section 5.5 states that the Commission shall cause utilities "to enforce the rules and regulations . . .providing for discontinuance of or disconnection from the supply of Power for nonpayment of rates or other charges" for DWR.  PG&amp;E states that Pub. Util. Code § 779.2 prohibits PG&amp;E from terminating a residential customer's service for nonpayment of third-party charges if that customer has paid the PG&amp;E portion of the bill.  </w:t>
      </w:r>
    </w:p>
    <w:p>
      <w:pPr>
        <w:pStyle w:val="standard"/>
        <w:rPr/>
      </w:pPr>
      <w:r>
        <w:rPr/>
        <w:t xml:space="preserve">PG&amp;E asserts that Section 7.2 of the Rate Agreement is impractical and legally untenable.  Section 7.2 provides that DWR’s purchase of the net-short load for a utility may terminate earlier than January 1, 2003, if the Commission determines that the utility “has sufficient financial resources to purchase sufficient power on the market to meet the residual net-short load.”  PG&amp;E asserts that its creditworthiness is dependent on achieving at least an investment-grade rating from rating agencies; and FERC-jurisdictional wholesale sellers will not (and in the case of the California ISO, cannot) sell to PG&amp;E if it is not creditworthy within objective standards.  </w:t>
      </w:r>
    </w:p>
    <w:p>
      <w:pPr>
        <w:pStyle w:val="standard"/>
        <w:rPr/>
      </w:pPr>
      <w:r>
        <w:rPr/>
        <w:t xml:space="preserve">Finally, PG&amp;E objects to the portion of Section 7.2 where DWR agrees to consider the assignment of one or more of its power contracts to a utility if requested to do so by the Commission.  PG&amp;E states that this provision might be interpreted as allowing DWR and/or the Commission to force PG&amp;E to take an assignment of a power contract from DWR.  PG&amp;E recommends that this section be modified to ensure that neither the Commission nor DWR shall compel a utility to accept the assignment of DWR’s power contracts.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I. San Diego Gas &amp; Electric </w:t>
      </w:r>
    </w:p>
    <w:p>
      <w:pPr>
        <w:pStyle w:val="standard"/>
        <w:rPr>
          <w:bCs/>
          <w:i/>
          <w:i/>
        </w:rPr>
      </w:pPr>
      <w:r>
        <w:rPr>
          <w:bCs/>
        </w:rPr>
        <w:t xml:space="preserve">SDG&amp;E recommends that the Commission and DWR, when allocating DWR’s Revenue Requirement, ensure that (1) the customers of each utility pay only for the cost of the power they use, and (2) the customers of one utility do not subsidize the customers of other utilities.  </w:t>
      </w:r>
    </w:p>
    <w:p>
      <w:pPr>
        <w:pStyle w:val="standard"/>
        <w:rPr/>
      </w:pPr>
      <w:r>
        <w:rPr/>
        <w:t xml:space="preserve">SDG&amp;E notes that Section 4.2 states contains the term “Bond Revenue Requirement.”  </w:t>
      </w:r>
      <w:r>
        <w:rPr>
          <w:bCs/>
        </w:rPr>
        <w:t xml:space="preserve">SDG&amp;E states that this term appears to be a typographical error, and that the correct term is “Retail Revenue Requirement.”  </w:t>
      </w:r>
    </w:p>
    <w:p>
      <w:pPr>
        <w:pStyle w:val="standard"/>
        <w:rPr>
          <w:bCs/>
        </w:rPr>
      </w:pPr>
      <w:r>
        <w:rPr>
          <w:bCs/>
        </w:rPr>
        <w:t xml:space="preserve">SDG&amp;E, like PG&amp;E, believes that Section 5.5 is problematic, since the Public Utilities Code does not clearly allow a utility to disconnect service for failure to pay for power provided by DWR.  SDG&amp;E recommends that the Commission revise the applicable rules and regulations to ensure that SDG&amp;E’s obligations regarding disconnects on behalf of DWR are clearly delineated.  </w:t>
      </w:r>
    </w:p>
    <w:p>
      <w:pPr>
        <w:pStyle w:val="standard"/>
        <w:rPr/>
      </w:pPr>
      <w:r>
        <w:rPr/>
        <w:t>SDG&amp;E has several concerns about the provision in Section 7.2 of the Rate Agreement that states the Commission may order an Electrical Corporation to resume purchasing the Corporation</w:t>
      </w:r>
      <w:r>
        <w:rPr>
          <w:rFonts w:cs="Times New Roman" w:ascii="Times New Roman" w:hAnsi="Times New Roman"/>
        </w:rPr>
        <w:t>’</w:t>
      </w:r>
      <w:r>
        <w:rPr/>
        <w:t xml:space="preserve">s residual net-short load with 120 days notice.  First, SDG&amp;E states that the 120-day notice period conflicts with Section 9 of the DWR/SDG&amp;E MOU, which provides for a 180-day notice period.  SDG&amp;E believes the Rate Agreement should be consistent with the MOU, i.e., provide for a 180-day notice period.  </w:t>
      </w:r>
    </w:p>
    <w:p>
      <w:pPr>
        <w:pStyle w:val="standard"/>
        <w:rPr>
          <w:bCs/>
        </w:rPr>
      </w:pPr>
      <w:r>
        <w:rPr>
          <w:bCs/>
        </w:rPr>
        <w:t xml:space="preserve">Second, SDG&amp;E states that the other conditions precedent to SDG&amp;E’s resumption of the electric procurement function identified in Section 9 of the DWR/SDG&amp;E MOU should incorporated into the Rate Agreement.  These conditions include the adoption by the Commission of (1) implementing decisions for the URG Cost Recovery Mechanism and the Procurement Cost Recovery Mechanism, and (2) the settlement agreement between SDG&amp;E and ORA that addresses SDG&amp;E’s electric procurement activities from July 1, 1999, through February 7, 2001.  </w:t>
      </w:r>
    </w:p>
    <w:p>
      <w:pPr>
        <w:pStyle w:val="standard"/>
        <w:rPr/>
      </w:pPr>
      <w:r>
        <w:rPr>
          <w:bCs/>
        </w:rPr>
        <w:t>Finally, SDG&amp;E notes that Section 7.2 allows the Commission to ask DWR to consider the assignment of some or all of DWR</w:t>
      </w:r>
      <w:r>
        <w:rPr>
          <w:rFonts w:cs="Times New Roman" w:ascii="Times New Roman" w:hAnsi="Times New Roman"/>
          <w:bCs/>
        </w:rPr>
        <w:t>’</w:t>
      </w:r>
      <w:r>
        <w:rPr>
          <w:bCs/>
        </w:rPr>
        <w:t xml:space="preserve">s Power Purchase Contracts to an Electrical Corporation.  SDG&amp;E states that such a request is reasonable only if (1) DWR’s consideration of such assignments is consistent with the relevant provisions of the DWR/SDG&amp;E MOU, and (2) any contracts assigned to SDG&amp;E are not subject to reasonableness review.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J. Southern California Edison Company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states that the Rate Agreement does not define the procedures that DWR will use to review its costs and determine its Revenue Requirement.  SCE recommends that the Rate Agreement be modified to require DWR to adopt procedures for notice and comment that will ensure adequate public participation in the determination of DWR’s Revenue Requirement.  SCE adds that these procedures must comply with California Administrative Procedures Act set forth in Gov. Code § 11340 et seq.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SCE asserts that the Rate Agreement should require DWR to develop procedures to ensure cost control and adequate review.  For example, the Agreement should require DWR to establish internal controls, develop and publish standards to evaluate its revenue requirement, and conduct annual audits of its power procurement program.  SCE believes these procedures would facilitate public review of DWR’s Revenue Requirement and enhance Commission’s ability to monitor and understand the Revenue Requirement.</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asserts that in order to set rates to recover the Revenue Requirement, the Commission will have to (1) allocate DWR’s Revenue Requirement among the utilities on the basis of the costs the utility’s customers cause DWR to incur, and (2) set rates in a way that recovers DWR’s revenue requirement in a fair and equitable manner.  SCE states that these determinations are dependent, at least in part, on information that only DWR can provide.  Because of this, SCE recommends that the Agreement be modified to provide a process for the Commission to obtain the information it will need to carry out its responsibilities.  SCE also recommends that the Commission establish interim rates for DWR’s Revenue Requirement with subsequent true up so that the Commission’s cost allocation and rate design process does not interfere with the issuance of DWR’s Bonds or recovery of its Revenue Requirement.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SCE states that DWR’s power costs and revenue requirement are likely to be volatile over time.  For example, changes in market conditions and extraneous events, such as weather or economic conditions, can influence the size of DWR’s revenue requirement.  SCE recommends that DWR submit monthly reports that inform the Commission whether DWR’s rate recovery is adequate in light of its then current revenue requirement projections.  SCE believes that such reports would assist the Commission and interested parties in monitoring DWR’s revenue requirement and allow the Commission to act quickly if DWR’s revenue requirement needs change.</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states that the definition of Operating Expenses in Section 1.1 of the Rate Agreement is so broad as to allow DWR to recover in rates costs that are unrelated to the procurement of power for utility customers.  SCE recommends that the definition of Operating Expenses be limited to costs that are reasonably related to the purchase and delivery of power.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SCE states that DWR’s revenue requirement should include an allowance for uncollectibles, and recommends that that the definition of Department Charges be modified to explicitly include an allowance for uncollectables.  SCE also recommends that the Rate Agreement specify the treatment of franchise fees.  SCE states that if franchise fees apply to DWR’s sales to Retail End Use Customers, the definition of Department Charges in the Rate Agreement should be modified to explicitly include this cost.  Alternatively, if SCE pays these charges on behalf of DWR to cities and counties, the Rate Agreement should indicate that the compensating payments from DWR to SCE should be made in accordance with the terms of the servicing agreements.</w:t>
      </w:r>
      <w:r>
        <w:rPr>
          <w:rStyle w:val="FootnoteCharacters"/>
          <w:rStyle w:val="FootnoteReference"/>
          <w:rFonts w:cs="Palatino;Book Antiqua" w:ascii="Palatino;Book Antiqua" w:hAnsi="Palatino;Book Antiqua"/>
        </w:rPr>
        <w:footnoteReference w:id="75"/>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notes that Section 5.2(a) of the Rate Agreement provides that the “Commission has ordered and agrees to continue to order all Electrical Corporations to deliver all Power made available by the Department to Retail End Use Customers within their respective Service Areas.”  SCE argues that this provision is overly broad and inconsistent with AB 1X.  SCE states that a utility is only obligated to deliver DWR power for that portion of the retail customers’ load that the utility is unable to serve with its own generation.  Thus, if DWR acquires more power than is needed to meet the utility’s net-short load, SCE argues that utilities are not required to deliver and sell the excess power to retail customers in place of utility generated power.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expresses concern about the implications of Section 5.2(c), which provides that utilities are to hold in trust money received through the sale of “power acquired by the Department.”  SCE states that Section 5.2(c) raises the issue of who is required to sell excess power in the imbalance market.  This situation could occur, for example, if the retail load is less than forecast.  SCE asserts that DWR is only entitled under AB 1X to sell sufficient power to meet the net-short load of the utility’s customers.  Thus, if DWR procures more power than is needed to meet the net-short load, then DWR, and not the utilities, should be required to sell the surplus power in the imbalance market.  SCE further asserts that since DWR would not deliver the surplus power to retail customers, DWR should not be entitled to recover the cost of the surplus power in its Revenue Requirement.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 xml:space="preserve">SCE, like PG&amp;E and SDG&amp;E, believes that the provisions in Section 7.2 regarding the reinstatement of a utility’s responsibility to procure the net-short load are problematic.  SCE contends that a utility cannot purchase power to cover the net-short load of its customers without an investment-grade credit rating.  SCE recommends that the Rate Agreement be modified to state that no utility will be required to resume the procurement of the net-short unless (1) the utility has an investment-grade credit rating, and (2) the Commission has in place a mechanism to ensure the continuance of the investment-grade credit rating.  </w:t>
      </w:r>
    </w:p>
    <w:p>
      <w:pPr>
        <w:pStyle w:val="Heading3Text"/>
        <w:spacing w:lineRule="auto" w:line="360"/>
        <w:ind w:start="0" w:end="0"/>
        <w:rPr>
          <w:rFonts w:ascii="Palatino;Book Antiqua" w:hAnsi="Palatino;Book Antiqua" w:cs="Palatino;Book Antiqua"/>
          <w:sz w:val="26"/>
        </w:rPr>
      </w:pPr>
      <w:r>
        <w:rPr>
          <w:rFonts w:cs="Palatino;Book Antiqua" w:ascii="Palatino;Book Antiqua" w:hAnsi="Palatino;Book Antiqua"/>
          <w:sz w:val="26"/>
        </w:rPr>
        <w:t>Finally, SCE notes that the execution clause on the last page of the Rate Agreement indicates that the Commission’s President will sign the Agreement, but the signature block for the Commission designates the Executive Director as the signatory.  SCE states that these provisions should be conformed.</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K. The Utility Reform Network </w:t>
      </w:r>
    </w:p>
    <w:p>
      <w:pPr>
        <w:pStyle w:val="BodyTextIndent3"/>
        <w:rPr/>
      </w:pPr>
      <w:r>
        <w:rPr/>
        <w:t xml:space="preserve">TURN states that the Financing Documents referred to in the Rate Agreement have not been made available for review.  TURN requests an opportunity to review the Financing Documents and to provide additional comments to the Commission before the Commission enters into the Rate Agreement.  </w:t>
      </w:r>
    </w:p>
    <w:p>
      <w:pPr>
        <w:pStyle w:val="BodyTextIndent3"/>
        <w:rPr/>
      </w:pPr>
      <w:r>
        <w:rPr/>
        <w:t xml:space="preserve">TURN states that the Rate Agreement provides that DWR will determine whether its Revenue Requirement is just and reasonable, but is silent as to how DWR will make this critical determination.  TURN asserts that the Rate Agreement must be modified to require DWR to (1) provide an opportunity for public participation, and (2) develop a record to prove its Revenue Requirement is just and reasonable.  </w:t>
      </w:r>
    </w:p>
    <w:p>
      <w:pPr>
        <w:pStyle w:val="BodyTextIndent3"/>
        <w:rPr/>
      </w:pPr>
      <w:r>
        <w:rPr/>
        <w:t>TURN acknowledges that the Commission is bound by AB 1X to accept DWR’s determination that a particular Revenue Requirement is just and reasonable.  TURN asserts, however, that if DWR requests a Revenue Requirement that will result in a rate increase, the Commission is required by Pub. Util. Code § 454(a) to hold an evidentiary hearing.</w:t>
      </w:r>
      <w:r>
        <w:rPr>
          <w:rStyle w:val="FootnoteCharacters"/>
          <w:rStyle w:val="FootnoteReference"/>
        </w:rPr>
        <w:footnoteReference w:id="76"/>
      </w:r>
      <w:r>
        <w:rPr/>
        <w:t xml:space="preserve">  </w:t>
      </w:r>
    </w:p>
    <w:p>
      <w:pPr>
        <w:pStyle w:val="standard"/>
        <w:rPr/>
      </w:pPr>
      <w:r>
        <w:rPr/>
        <w:t xml:space="preserve">TURN notes that although the Rate Agreement allows DWR to obtain a rate increase to recover prior undercollections, there is no similar provision that requires a rate decrease to return overcollections.  TURN recommends that the Rate Agreement be revised to correct this oversight.  </w:t>
      </w:r>
      <w:r>
        <w:rPr>
          <w:szCs w:val="26"/>
        </w:rPr>
        <w:t xml:space="preserve">TURN also suggests that Exhibit A of the Rate Agreement be modified to require DWR to seek an expedited reduction of its Revenue Requirement if certain conditions are met (e.g., the amount in the Electric Power Fund exceeds by $500 million the amount required to be held by DWR to pay for DWR’s AB 1X-related obligations).   </w:t>
      </w:r>
    </w:p>
    <w:p>
      <w:pPr>
        <w:pStyle w:val="standard"/>
        <w:rPr/>
      </w:pPr>
      <w:r>
        <w:rPr/>
        <w:t xml:space="preserve">Finally, TURN notes that Rate Agreement anticipates that the Financing Documents will name one or more Trustees who might succeed DWR’s position under the Rate Agreement.  TURN contends that a Trustee should be allowed to succeed to DWR’s position only if the Trustee does not have a financial interest in the utilities or the power contracts that have been negotiated by DWR.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L. California Department of Water Resources  </w:t>
      </w:r>
    </w:p>
    <w:p>
      <w:pPr>
        <w:pStyle w:val="standard"/>
        <w:rPr/>
      </w:pPr>
      <w:r>
        <w:rPr/>
        <w:t xml:space="preserve">DWR asks the Commission to approve the Rate Agreement without modification.  DWR states that the Rate Agreement is crucial to DWR’s ability to procure power and issue Bonds on favorable terms.  This is because the Rate Agreement assures the availability, adequacy, and timeliness of the revenues needed by DWR to buy power, service debt, and establish reserves. </w:t>
      </w:r>
    </w:p>
    <w:p>
      <w:pPr>
        <w:pStyle w:val="standard"/>
        <w:rPr/>
      </w:pPr>
      <w:r>
        <w:rPr/>
        <w:t xml:space="preserve">DWR states that it has had numerous meetings with credit-rating agencies, credit-enhancement providers, and investors.  DWR represents that almost all of these market participants informed DWR of the critical importance of the Rate Agreement in their deliberations.  For example, because DWR is contractually obligated to pay for power purchases before debt service, the mechanism in the Rate Agreement that provides for the timely recovery of DWR’s Revenue Requirement provides assurance to bondholders that DWR will have sufficient revenues to timely pay Bond principal and interest.  </w:t>
      </w:r>
    </w:p>
    <w:p>
      <w:pPr>
        <w:pStyle w:val="standard"/>
        <w:rPr/>
      </w:pPr>
      <w:r>
        <w:rPr/>
        <w:t xml:space="preserve">DWR believes that it is not required by AB 1X or other statutes to provide an opportunity for public hearings on whether its Revenue Requirement is just and reasonable.  To place the need for hearings in context, DWR states that it is necessary to understand how DWR differs from investor-owned utilities.  DWR states that its power-supply program is a nonprofit enterprise operated in the public interest.  To this end, Water Code § 80116 requires DWR to sell power to retail customers at cost.  In addition, because DWR’s power-supply program is a governmental enterprise, it is subject to legislative oversight and various statutes concerning the conduct of such an enterprise (e.g., the Public Records Act and the reporting and audit requirements of Water Code §§ 80250 and 80270).    </w:t>
      </w:r>
    </w:p>
    <w:p>
      <w:pPr>
        <w:pStyle w:val="standard"/>
        <w:rPr/>
      </w:pPr>
      <w:r>
        <w:rPr/>
        <w:t xml:space="preserve">DWR maintains that it welcomes public input regarding the determination of its Revenue Requirement, as was demonstrated with the Revenue Requirement that DWR submitted to the Commission on August 8, 2001.  After the Revenue Requirement was submitted, DWR notes that it participated in a Commission-sponsored workshop in which the Commission and interested parties had an opportunity to ask questions about the Revenue Requirement.  DWR states that it answered the questions, and subsequently revised its Revenue Requirement to reflect the input it received at the workshop.  DWR adds that it plans to publish annual audited financial statements for its power-purchase program (as it does for the State Water Project); and that the Financing Documents will require financial reporting and continuous public disclosure in accordance with the laws governing financial markets.  </w:t>
      </w:r>
    </w:p>
    <w:p>
      <w:pPr>
        <w:pStyle w:val="standard"/>
        <w:rPr>
          <w:color w:val="000000"/>
        </w:rPr>
      </w:pPr>
      <w:r>
        <w:rPr>
          <w:color w:val="000000"/>
        </w:rPr>
        <w:t xml:space="preserve">DWR believes that the manner in which it assembled a portfolio of power-supply contracts assures that the cost incurred by DWR in the operation of its power-supply program will be just and reasonable.  DWR states that it released two public solicitations for long-term power-supply contracts, one in January 2001, and another in February 2001.  The requests for bids (RFBs) were advertised on DWR’s web site and mailed to all parties on the California ISO’s extensive list of interested parties.  In addition, DWR held two public workshops for solicitation of Summer 2001 peaking supply bids.  DWR states it received over 120 formal responses to the RFBs, and dozens of proposals for power-peaking facilities and supplies.  DWR asserts that the previously described process ensures that the power contracts it entered into were the result of a competitive solicitation process. </w:t>
      </w:r>
    </w:p>
    <w:p>
      <w:pPr>
        <w:pStyle w:val="standard"/>
        <w:rPr/>
      </w:pPr>
      <w:r>
        <w:rPr/>
        <w:t xml:space="preserve">DWR states that the Commission, and not DWR, is responsible for allocating the Revenue Requirement among utilities and customers, and setting rates to recover the Revenue Requirement.  DWR maintains that the intent of the Rate Agreement is for DWR to provide the Commission with information regarding the Revenue Requirement in such detail as is necessary for the Commission to establish Department Charges.  </w:t>
      </w:r>
    </w:p>
    <w:p>
      <w:pPr>
        <w:pStyle w:val="standard"/>
        <w:rPr/>
      </w:pPr>
      <w:r>
        <w:rPr/>
        <w:t>DWR notes that under Water Code § 80260, it cannot enter into new contracts for the purchase of power, whether in the spot market or otherwise, on and after January 1, 2003.  DWR states that the Rate Agreement contemplates that DWR and the Commission will work collaboratively to transfer from DWR to Electrical Corporations the responsibility for procuring the “residual net-short load” by no later than January 1, 2003.</w:t>
      </w:r>
      <w:r>
        <w:rPr>
          <w:rStyle w:val="FootnoteCharacters"/>
          <w:rStyle w:val="FootnoteReference"/>
        </w:rPr>
        <w:footnoteReference w:id="77"/>
      </w:r>
      <w:r>
        <w:rPr/>
        <w:t xml:space="preserve">”  DWR states that although many aspects of the transfer remain to be determined, including the actual timing of the transfer and the required credit quality of the Electrical Corporations to effectuate the transfer, the Rate Agreement provides a mechanism for the transfer to take place based on conditions at the time of the transfer.  </w:t>
      </w:r>
    </w:p>
    <w:p>
      <w:pPr>
        <w:pStyle w:val="standard"/>
        <w:rPr/>
      </w:pPr>
      <w:bookmarkStart w:id="18" w:name="_DV_C31"/>
      <w:bookmarkStart w:id="19" w:name="_DV_IPM0"/>
      <w:bookmarkStart w:id="20" w:name="_DV_M0"/>
      <w:bookmarkEnd w:id="19"/>
      <w:bookmarkEnd w:id="20"/>
      <w:r>
        <w:rPr/>
        <w:t xml:space="preserve">DWR dismisses the claims by several parties that the Rate Agreement is unlawful in various respects.  </w:t>
      </w:r>
      <w:bookmarkStart w:id="21" w:name="_DV_M37"/>
      <w:bookmarkEnd w:id="18"/>
      <w:bookmarkEnd w:id="21"/>
      <w:r>
        <w:rPr/>
        <w:t>DWR argues that the parties overlook the fact that the following provisions in AB 1X provide ample authority for the Commission and DWR to enter into the Rate Agreement:</w:t>
      </w:r>
    </w:p>
    <w:p>
      <w:pPr>
        <w:pStyle w:val="standard"/>
        <w:spacing w:lineRule="auto" w:line="240" w:before="120" w:after="120"/>
        <w:ind w:hanging="0" w:start="1080" w:end="720"/>
        <w:rPr/>
      </w:pPr>
      <w:r>
        <w:rPr/>
        <w:t>[T]he [Commission’s] authority as set forth in Section 451 of the Public Utilities Code shall apply, except that any just and reasonableness review under Section 451 shall be conducted and determined by [DWR].  The [C]ommission may enter into an agreement with [DWR] with respect to charges under Section 451 for purposes of [AB 1X]. (Water Code § 80110)</w:t>
      </w:r>
    </w:p>
    <w:p>
      <w:pPr>
        <w:pStyle w:val="standard"/>
        <w:spacing w:lineRule="auto" w:line="240" w:before="120" w:after="360"/>
        <w:ind w:hanging="0" w:start="1080" w:end="720"/>
        <w:rPr/>
      </w:pPr>
      <w:r>
        <w:rPr/>
        <w:t>In addition, before the issuance of bonds, [DWR] shall establish a mechanism to insure that the bonds will be sold at investment grade ratings and repaid on a timely basis from pledged revenues.  This mechanism may include, but is not limited to, an agreement between [DWR] and the [C]ommission as described in section 80110. (Water Code § 80130)</w:t>
      </w:r>
    </w:p>
    <w:p>
      <w:pPr>
        <w:pStyle w:val="standard"/>
        <w:ind w:hanging="0" w:end="0"/>
        <w:rPr/>
      </w:pPr>
      <w:r>
        <w:rPr/>
        <w:t xml:space="preserve">DWR contends that the Rate Agreement simply implements the authority that the </w:t>
      </w:r>
      <w:bookmarkStart w:id="22" w:name="_DV_C73"/>
      <w:r>
        <w:rPr/>
        <w:t>Legislature has</w:t>
      </w:r>
      <w:bookmarkStart w:id="23" w:name="_DV_M42"/>
      <w:bookmarkEnd w:id="22"/>
      <w:bookmarkEnd w:id="23"/>
      <w:r>
        <w:rPr/>
        <w:t xml:space="preserve"> conferred upon the Commission and DWR.  </w:t>
      </w:r>
    </w:p>
    <w:p>
      <w:pPr>
        <w:pStyle w:val="standard"/>
        <w:rPr/>
      </w:pPr>
      <w:r>
        <w:rPr/>
        <w:t xml:space="preserve">DWR believes that several of the parties’ recommendations infringe on the legislative directive embodied in Water Code § 80110 that DWR, and not the Commission, shall determine whether DWR’s Revenue Requirement is just and reasonable.  These proposals include modifying the Rate Agreement to (1) provide the Commission and interested parties with the right to audit DWR, (2) require the Commission to conduct its own just and reasonableness review of the Revenue Requirement, and (3) provide a forum for parties to challenge the just and reasonableness of the Revenue Requirement.  </w:t>
      </w:r>
    </w:p>
    <w:p>
      <w:pPr>
        <w:pStyle w:val="standard"/>
        <w:rPr/>
      </w:pPr>
      <w:r>
        <w:rPr/>
        <w:t>DWR questions the claim by some parties that by Pub. Util. Code §§ 454 and 1701.1 require the Commission to provide notice and an opportunity for hearing when setting rates to recover the Revenue Requirement.  DWR states that the recovery of its Revenue Requirement is governed by Water Code § </w:t>
      </w:r>
      <w:bookmarkStart w:id="24" w:name="_DV_M65"/>
      <w:bookmarkEnd w:id="24"/>
      <w:r>
        <w:rPr/>
        <w:t xml:space="preserve">80110:  "[DWR] </w:t>
      </w:r>
      <w:bookmarkStart w:id="25" w:name="_DV_M72"/>
      <w:bookmarkEnd w:id="25"/>
      <w:r>
        <w:rPr/>
        <w:t xml:space="preserve">shall be entitled to recover, as a revenue requirement, amounts and at the times necessary to enable it to comply with [Water Code] Section 80134, and shall advise the </w:t>
      </w:r>
      <w:bookmarkStart w:id="26" w:name="_DV_C122"/>
      <w:r>
        <w:rPr/>
        <w:t>commission</w:t>
      </w:r>
      <w:bookmarkStart w:id="27" w:name="_DV_M73"/>
      <w:bookmarkEnd w:id="26"/>
      <w:bookmarkEnd w:id="27"/>
      <w:r>
        <w:rPr/>
        <w:t xml:space="preserve"> as the </w:t>
      </w:r>
      <w:bookmarkStart w:id="28" w:name="_DV_C124"/>
      <w:r>
        <w:rPr/>
        <w:t>department</w:t>
      </w:r>
      <w:bookmarkStart w:id="29" w:name="_DV_M74"/>
      <w:bookmarkEnd w:id="28"/>
      <w:bookmarkEnd w:id="29"/>
      <w:r>
        <w:rPr/>
        <w:t xml:space="preserve"> determines to be appropriate."  DWR asserts that after it submits its Revenue Requirement to the Commission, the Commission may employ </w:t>
      </w:r>
      <w:bookmarkStart w:id="30" w:name="_DV_C134"/>
      <w:r>
        <w:rPr/>
        <w:t>such</w:t>
      </w:r>
      <w:bookmarkStart w:id="31" w:name="_DV_M80"/>
      <w:bookmarkEnd w:id="30"/>
      <w:bookmarkEnd w:id="31"/>
      <w:r>
        <w:rPr/>
        <w:t xml:space="preserve"> procedures as it sees fit</w:t>
      </w:r>
      <w:bookmarkStart w:id="32" w:name="_DV_C135"/>
      <w:r>
        <w:rPr/>
        <w:t xml:space="preserve"> to accomplish its function of setting electric rates</w:t>
      </w:r>
      <w:bookmarkStart w:id="33" w:name="_DV_M81"/>
      <w:bookmarkEnd w:id="32"/>
      <w:bookmarkEnd w:id="33"/>
      <w:r>
        <w:rPr/>
        <w:t xml:space="preserve">, so long as those procedures do not interfere with DWR’s </w:t>
      </w:r>
      <w:bookmarkStart w:id="34" w:name="_DV_M82"/>
      <w:bookmarkEnd w:id="34"/>
      <w:r>
        <w:rPr/>
        <w:t xml:space="preserve">statutory right to recover its revenue requirement in a timely manner.  </w:t>
      </w:r>
    </w:p>
    <w:p>
      <w:pPr>
        <w:pStyle w:val="standard"/>
        <w:rPr/>
      </w:pPr>
      <w:bookmarkStart w:id="35" w:name="_DV_M86"/>
      <w:bookmarkEnd w:id="35"/>
      <w:r>
        <w:rPr/>
        <w:t xml:space="preserve">DWR intends to set aside revenues for debt service, but only after first setting aside enough revenues to pay for DWR’s power-supply program.  DWR states that this result is required for two reasons.  First, DWR is contractually obligated to pay its power costs before debt service.  Second, the financial markets realize that continued operation of DWR’s power-supply program is necessary to provide revenues for debt service, and because of this, the Bonds would not be marketable unless DWR paid its power costs ahead of debt service.  </w:t>
      </w:r>
    </w:p>
    <w:p>
      <w:pPr>
        <w:pStyle w:val="standard"/>
        <w:rPr/>
      </w:pPr>
      <w:r>
        <w:rPr/>
        <w:t xml:space="preserve">DWR disagrees with the recommendation by some parties to modify the Rate Agreement to require all net revenue from the sale of surplus power and FERC-ordered refunds to reduce its Revenue Requirement.  DWR states that this is an unnecessary safeguard, since DWR is already required by AB 1X to use such revenues to reduce its Revenue Requirement.  </w:t>
      </w:r>
    </w:p>
    <w:p>
      <w:pPr>
        <w:pStyle w:val="standard"/>
        <w:rPr/>
      </w:pPr>
      <w:r>
        <w:rPr/>
        <w:t>DWR disputes the suggestion by some parties that there is no provision in the Rate Agreement to rapidly adjust rates in response to legislative changes or when the amount of cash that DWR has on hand exceeds a certain level.  DWR states that the Rate Agreement provides for the filing of adjusted revenue requirements, and there is no limitation on the frequency of such filings.  In addition, the rate adjustments called for in Section 4.1 and allowed in Section 5.1(c) apply to both revenue surpluses and revenue deficiencies.</w:t>
      </w:r>
    </w:p>
    <w:p>
      <w:pPr>
        <w:pStyle w:val="standard"/>
        <w:rPr/>
      </w:pPr>
      <w:r>
        <w:rPr/>
        <w:t xml:space="preserve">DWR opposes CU’s recommendation to limit rate increases to once per year.  DWR states that in order to issue the Bonds on favorable terms, and thereby minimize costs to ratepayers, DWR must be able to demonstrate to the financial markets that DWR has the ability to react in a timely manner to actual conditions.  DWR maintains that the financial markets are rightly concerned about the adequacy of DWR’s revenue stream, since much of DWR’s Revenue Requirement is, by necessity, based on projections (e.g., projections of future energy costs).  Consequently, DWR needs the ability to adjust its Revenue Requirement, as needed, in order to issue the Bonds on favorable terms.  </w:t>
      </w:r>
    </w:p>
    <w:p>
      <w:pPr>
        <w:pStyle w:val="standard"/>
        <w:rPr/>
      </w:pPr>
      <w:r>
        <w:rPr/>
        <w:t xml:space="preserve">DWR acknowledges that the Rate Agreement does not include a provision for the recovery of franchise fees associated with Department Charges.  DWR states that this is by design, since DWR considers franchise fees to be the obligation of the utilities, not DWR.   </w:t>
      </w:r>
    </w:p>
    <w:p>
      <w:pPr>
        <w:pStyle w:val="standard"/>
        <w:rPr/>
      </w:pPr>
      <w:r>
        <w:rPr/>
        <w:t xml:space="preserve">DWR disagrees with the assertion by several parties that the definition of “Operating Expenses” and “Bond-Related Costs” are overly broad and include costs not authorized by AB 1X.  DWR states that these definitions contain the minimum elements necessary to (1) assure power suppliers that DWR will be able to recover all costs associated with its power-supply program, and (2) assure financial markets that DWR will have sufficient funds to service debt.   </w:t>
      </w:r>
    </w:p>
    <w:p>
      <w:pPr>
        <w:pStyle w:val="standard"/>
        <w:rPr/>
      </w:pPr>
      <w:r>
        <w:rPr/>
        <w:t>DWR opposes the suggestion by some parties to provide a process for Commission review and approval of the Financing Documents.  DWR contends that AB 1X does not require any third party approval of the Financing Documents.  DWR also believes that the approval process would jeopardize the issuance of the Bonds on a timely basis.  DWR adds that it has issued revenue bonds for over 30 years in connection with the State Water Project, and that it will utilize its expertise to structure the Financing Documents to minimize the borrowing costs borne by ratepayers.</w:t>
      </w:r>
      <w:r>
        <w:rPr>
          <w:rStyle w:val="FootnoteCharacters"/>
          <w:rStyle w:val="FootnoteReference"/>
        </w:rPr>
        <w:footnoteReference w:id="78"/>
      </w:r>
      <w:r>
        <w:rPr/>
        <w:t xml:space="preserve"> </w:t>
      </w:r>
    </w:p>
    <w:p>
      <w:pPr>
        <w:pStyle w:val="standard"/>
        <w:rPr/>
      </w:pPr>
      <w:r>
        <w:rPr/>
        <w:t xml:space="preserve">Finally, DWR states that it plans to utilize the State Treasurer as the Trustee for the Bonds, and a commercial bank as Co-Trustee.  DWR maintains that the bond markets require DWR to utilize an experienced, well-capitalized bank as Co-Trustee.  DWR believes that most large banks have lending, deposit, or other banking relationships with one or more power suppliers and/or utilities.  DWR notes, however, that any bank it selects would have a separate trust department that must comply with fiduciary standards.  DWR states that any bank that has irreconcilable conflicts will not be able to serve as Co-Trustee.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M. State Treasurer’s Office  </w:t>
      </w:r>
    </w:p>
    <w:p>
      <w:pPr>
        <w:pStyle w:val="standard"/>
        <w:rPr/>
      </w:pPr>
      <w:r>
        <w:rPr/>
        <w:t xml:space="preserve">The Treasurer, who is serving as DWR’s agent for the sale of the Bonds, believes the Rate Agreement will satisfy the following requirements set forth in AB 1X:  </w:t>
      </w:r>
    </w:p>
    <w:p>
      <w:pPr>
        <w:pStyle w:val="Normal"/>
        <w:spacing w:before="120" w:after="240"/>
        <w:ind w:start="1080" w:end="720"/>
        <w:rPr>
          <w:rFonts w:ascii="Palatino;Book Antiqua" w:hAnsi="Palatino;Book Antiqua" w:cs="Palatino;Book Antiqua"/>
          <w:sz w:val="26"/>
        </w:rPr>
      </w:pPr>
      <w:r>
        <w:rPr>
          <w:rFonts w:cs="Palatino;Book Antiqua" w:ascii="Palatino;Book Antiqua" w:hAnsi="Palatino;Book Antiqua"/>
          <w:sz w:val="26"/>
        </w:rPr>
        <w:t xml:space="preserve">[B]efore the issuance of the bonds, [DWR] shall establish a mechanism to ensure that the bonds will be sold at investment grade ratings and repaid on a timely basis from pledged revenues.  This mechanism may include, but is not limited to, an agreement between the department and the commission as described in Section 80110. (Water Code § 80130)  </w:t>
      </w:r>
    </w:p>
    <w:p>
      <w:pPr>
        <w:pStyle w:val="standard"/>
        <w:ind w:hanging="0" w:end="0"/>
        <w:rPr/>
      </w:pPr>
      <w:r>
        <w:rPr/>
        <w:t xml:space="preserve">The Treasurer states that its conclusion is based on (1) its extensive experience with issuing bonds, and (2) recent discussions with a wide variety of market participants, including underwriters, attorneys, financial advisors, rating agencies, bond insurers, letters-of-credit providers, and potential bondholders.   </w:t>
      </w:r>
    </w:p>
    <w:p>
      <w:pPr>
        <w:pStyle w:val="standard"/>
        <w:rPr/>
      </w:pPr>
      <w:r>
        <w:rPr/>
        <w:t xml:space="preserve">In response to comments submitted by TURN, the Treasurer believes that several “limited amendments” could be made to the Rate Agreement without jeopardizing the creditworthiness of the Bonds.  First, Sections 4.1(b) and 4.2 could be revised to state that (1) any overcollections by DWR will be used to reduce future Revenue Requirement, and (2) both the Commission and DWR are bound by Water Code § 80110.  Second, a new provision could be added that requires DWR to hold a public information forum when it submits its Revenue Requirement to the Commission.  The Treasurer states that this new provision should not apply to Revenue Requirements submitted under Section 5.1 (d), which governs expedited adjustments of Department Charges.  Third, a new provision could be added that requires DWR, when requested by the Commission, to participate in Commission proceedings pertaining to the establishment of rates to recover the Revenue Requirement.  Finally, Section 7.2 could be revised to state that in the event a new law is enacted that provides for an alternative financing mechanism, DWR shall use its best efforts to implement the alterative by refinancing the Bonds and/or amending the Financing Documents.  </w:t>
      </w:r>
    </w:p>
    <w:p>
      <w:pPr>
        <w:pStyle w:val="standard"/>
        <w:keepNext w:val="true"/>
        <w:spacing w:before="120" w:after="0"/>
        <w:rPr>
          <w:rFonts w:ascii="Helvetica;Arial" w:hAnsi="Helvetica;Arial" w:cs="Helvetica;Arial"/>
          <w:b/>
          <w:bCs/>
        </w:rPr>
      </w:pPr>
      <w:r>
        <w:rPr>
          <w:rFonts w:cs="Helvetica;Arial" w:ascii="Helvetica;Arial" w:hAnsi="Helvetica;Arial"/>
          <w:b/>
          <w:bCs/>
        </w:rPr>
        <w:t xml:space="preserve">N. Senator Haynes </w:t>
      </w:r>
    </w:p>
    <w:p>
      <w:pPr>
        <w:pStyle w:val="standard"/>
        <w:rPr/>
      </w:pPr>
      <w:r>
        <w:rPr/>
        <w:t xml:space="preserve">Senator Haynes objects to the Rate Agreement based on his understanding that the Rate Agreement allows DWR to recover its Revenue Requirement from ratepayers without any oversight by the Commission or the Legislature.  Senator Haynes believes this arrangement sets a dangerous precedent.   </w:t>
      </w:r>
    </w:p>
    <w:p>
      <w:pPr>
        <w:pStyle w:val="standard"/>
        <w:rPr/>
      </w:pPr>
      <w:r>
        <w:rPr/>
      </w:r>
    </w:p>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152" w:footer="720" w:bottom="1440"/>
          <w:pgNumType w:start="1" w:fmt="decimal"/>
          <w:formProt w:val="false"/>
          <w:textDirection w:val="lrTb"/>
          <w:docGrid w:type="default" w:linePitch="360" w:charSpace="0"/>
        </w:sectPr>
        <w:pStyle w:val="standard"/>
        <w:rPr/>
      </w:pPr>
      <w:r>
        <w:rPr/>
      </w:r>
    </w:p>
    <w:p>
      <w:pPr>
        <w:pStyle w:val="standard"/>
        <w:tabs>
          <w:tab w:val="clear" w:pos="720"/>
          <w:tab w:val="right" w:pos="8550" w:leader="none"/>
        </w:tabs>
        <w:spacing w:lineRule="auto" w:line="240"/>
        <w:ind w:hanging="0" w:end="0"/>
        <w:jc w:val="center"/>
        <w:rPr>
          <w:b/>
          <w:bCs/>
          <w:sz w:val="40"/>
        </w:rPr>
      </w:pPr>
      <w:r>
        <w:rPr>
          <w:b/>
          <w:bCs/>
          <w:sz w:val="40"/>
        </w:rPr>
        <w:t>Appendix C</w:t>
      </w:r>
    </w:p>
    <w:p>
      <w:pPr>
        <w:pStyle w:val="standard"/>
        <w:tabs>
          <w:tab w:val="clear" w:pos="720"/>
          <w:tab w:val="right" w:pos="8550" w:leader="none"/>
        </w:tabs>
        <w:spacing w:lineRule="auto" w:line="240"/>
        <w:ind w:hanging="0" w:end="0"/>
        <w:jc w:val="center"/>
        <w:rPr>
          <w:b/>
          <w:bCs/>
          <w:sz w:val="40"/>
        </w:rPr>
      </w:pPr>
      <w:r>
        <w:rPr>
          <w:b/>
          <w:bCs/>
          <w:sz w:val="40"/>
        </w:rPr>
      </w:r>
    </w:p>
    <w:p>
      <w:pPr>
        <w:pStyle w:val="standard"/>
        <w:tabs>
          <w:tab w:val="clear" w:pos="720"/>
          <w:tab w:val="right" w:pos="8550" w:leader="none"/>
        </w:tabs>
        <w:spacing w:lineRule="auto" w:line="240"/>
        <w:ind w:hanging="0" w:end="0"/>
        <w:jc w:val="center"/>
        <w:rPr>
          <w:b/>
          <w:bCs/>
          <w:sz w:val="40"/>
        </w:rPr>
      </w:pPr>
      <w:r>
        <w:rPr>
          <w:b/>
          <w:bCs/>
          <w:sz w:val="40"/>
        </w:rPr>
        <w:t>Proclamation Issued by the Governor of the State of California on January 17, 2001</w:t>
      </w:r>
    </w:p>
    <w:p>
      <w:pPr>
        <w:pStyle w:val="standard"/>
        <w:spacing w:lineRule="auto" w:line="240"/>
        <w:ind w:hanging="0" w:end="0"/>
        <w:rPr>
          <w:b/>
          <w:bCs/>
          <w:sz w:val="40"/>
        </w:rPr>
      </w:pPr>
      <w:r>
        <w:rPr>
          <w:b/>
          <w:bCs/>
          <w:sz w:val="40"/>
        </w:rPr>
      </w:r>
    </w:p>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NewCenturySchlbk">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tab/>
    </w:r>
    <w:r>
      <w:rPr>
        <w:rFonts w:cs="NewCenturySchlbk" w:ascii="NewCenturySchlbk" w:hAnsi="NewCenturySchlbk"/>
        <w:sz w:val="26"/>
      </w:rPr>
      <w:t xml:space="preserve">- </w:t>
    </w:r>
    <w:r>
      <w:rPr>
        <w:rStyle w:val="PageNumber"/>
        <w:rFonts w:cs="NewCenturySchlbk" w:ascii="NewCenturySchlbk" w:hAnsi="NewCenturySchlbk"/>
        <w:sz w:val="26"/>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452120" cy="189230"/>
              <wp:effectExtent l="0" t="0" r="0" b="0"/>
              <wp:wrapSquare wrapText="bothSides"/>
              <wp:docPr id="6" name="Frame6"/>
              <a:graphic xmlns:a="http://schemas.openxmlformats.org/drawingml/2006/main">
                <a:graphicData uri="http://schemas.microsoft.com/office/word/2010/wordprocessingShape">
                  <wps:wsp>
                    <wps:cNvSpPr txBox="1"/>
                    <wps:spPr>
                      <a:xfrm>
                        <a:off x="0" y="0"/>
                        <a:ext cx="452120" cy="189230"/>
                      </a:xfrm>
                      <a:prstGeom prst="rect"/>
                      <a:solidFill>
                        <a:srgbClr val="FFFFFF">
                          <a:alpha val="0"/>
                        </a:srgbClr>
                      </a:solidFill>
                    </wps:spPr>
                    <wps:txbx>
                      <w:txbxContent>
                        <w:p>
                          <w:pPr>
                            <w:pStyle w:val="Footer"/>
                            <w:jc w:val="center"/>
                            <w:rPr>
                              <w:rStyle w:val="PageNumber"/>
                            </w:rPr>
                          </w:pPr>
                          <w:r>
                            <w:rPr>
                              <w:rStyle w:val="PageNumber"/>
                              <w:sz w:val="26"/>
                            </w:rPr>
                            <w:t xml:space="preserve">B -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24</w:t>
                          </w:r>
                          <w:r>
                            <w:rPr>
                              <w:rStyle w:val="PageNumber"/>
                              <w:sz w:val="26"/>
                            </w:rPr>
                            <w:fldChar w:fldCharType="end"/>
                          </w:r>
                          <w:r>
                            <w:rPr>
                              <w:rStyle w:val="PageNumber"/>
                              <w:sz w:val="26"/>
                            </w:rPr>
                            <w:t xml:space="preserve">  </w:t>
                          </w:r>
                        </w:p>
                      </w:txbxContent>
                    </wps:txbx>
                    <wps:bodyPr anchor="t" lIns="0" tIns="0" rIns="0" bIns="0">
                      <a:noAutofit/>
                    </wps:bodyPr>
                  </wps:wsp>
                </a:graphicData>
              </a:graphic>
            </wp:anchor>
          </w:drawing>
        </mc:Choice>
        <mc:Fallback>
          <w:pict>
            <v:rect fillcolor="#FFFFFF" style="position:absolute;rotation:-0;width:35.6pt;height:14.9pt;mso-wrap-distance-left:0pt;mso-wrap-distance-right:0pt;mso-wrap-distance-top:0pt;mso-wrap-distance-bottom:0pt;margin-top:0.05pt;mso-position-vertical-relative:text;margin-left:216.2pt;mso-position-horizontal:center;mso-position-horizontal-relative:margin">
              <v:fill opacity="0f"/>
              <v:textbox inset="0in,0in,0in,0in">
                <w:txbxContent>
                  <w:p>
                    <w:pPr>
                      <w:pStyle w:val="Footer"/>
                      <w:jc w:val="center"/>
                      <w:rPr>
                        <w:rStyle w:val="PageNumber"/>
                      </w:rPr>
                    </w:pPr>
                    <w:r>
                      <w:rPr>
                        <w:rStyle w:val="PageNumber"/>
                        <w:sz w:val="26"/>
                      </w:rPr>
                      <w:t xml:space="preserve">B -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24</w:t>
                    </w:r>
                    <w:r>
                      <w:rPr>
                        <w:rStyle w:val="PageNumber"/>
                        <w:sz w:val="26"/>
                      </w:rPr>
                      <w:fldChar w:fldCharType="end"/>
                    </w:r>
                    <w:r>
                      <w:rPr>
                        <w:rStyle w:val="PageNumber"/>
                        <w:sz w:val="26"/>
                      </w:rPr>
                      <w:t xml:space="preserve">  </w:t>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369570" cy="189230"/>
              <wp:effectExtent l="0" t="0" r="0" b="0"/>
              <wp:wrapSquare wrapText="bothSides"/>
              <wp:docPr id="7" name="Frame7"/>
              <a:graphic xmlns:a="http://schemas.openxmlformats.org/drawingml/2006/main">
                <a:graphicData uri="http://schemas.microsoft.com/office/word/2010/wordprocessingShape">
                  <wps:wsp>
                    <wps:cNvSpPr txBox="1"/>
                    <wps:spPr>
                      <a:xfrm>
                        <a:off x="0" y="0"/>
                        <a:ext cx="369570" cy="189230"/>
                      </a:xfrm>
                      <a:prstGeom prst="rect"/>
                      <a:solidFill>
                        <a:srgbClr val="FFFFFF">
                          <a:alpha val="0"/>
                        </a:srgbClr>
                      </a:solidFill>
                    </wps:spPr>
                    <wps:txbx>
                      <w:txbxContent>
                        <w:p>
                          <w:pPr>
                            <w:pStyle w:val="Footer"/>
                            <w:jc w:val="center"/>
                            <w:rPr>
                              <w:rStyle w:val="PageNumber"/>
                            </w:rPr>
                          </w:pPr>
                          <w:r>
                            <w:rPr>
                              <w:rStyle w:val="PageNumber"/>
                              <w:sz w:val="26"/>
                            </w:rPr>
                            <w:t xml:space="preserve">C -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w:t>
                          </w:r>
                          <w:r>
                            <w:rPr>
                              <w:rStyle w:val="PageNumber"/>
                              <w:sz w:val="26"/>
                            </w:rPr>
                            <w:fldChar w:fldCharType="end"/>
                          </w:r>
                          <w:r>
                            <w:rPr>
                              <w:rStyle w:val="PageNumber"/>
                              <w:sz w:val="26"/>
                            </w:rPr>
                            <w:t xml:space="preserve">  </w:t>
                          </w:r>
                        </w:p>
                      </w:txbxContent>
                    </wps:txbx>
                    <wps:bodyPr anchor="t" lIns="0" tIns="0" rIns="0" bIns="0">
                      <a:noAutofit/>
                    </wps:bodyPr>
                  </wps:wsp>
                </a:graphicData>
              </a:graphic>
            </wp:anchor>
          </w:drawing>
        </mc:Choice>
        <mc:Fallback>
          <w:pict>
            <v:rect fillcolor="#FFFFFF" style="position:absolute;rotation:-0;width:29.1pt;height:14.9pt;mso-wrap-distance-left:0pt;mso-wrap-distance-right:0pt;mso-wrap-distance-top:0pt;mso-wrap-distance-bottom:0pt;margin-top:0.05pt;mso-position-vertical-relative:text;margin-left:219.45pt;mso-position-horizontal:center;mso-position-horizontal-relative:margin">
              <v:fill opacity="0f"/>
              <v:textbox inset="0in,0in,0in,0in">
                <w:txbxContent>
                  <w:p>
                    <w:pPr>
                      <w:pStyle w:val="Footer"/>
                      <w:jc w:val="center"/>
                      <w:rPr>
                        <w:rStyle w:val="PageNumber"/>
                      </w:rPr>
                    </w:pPr>
                    <w:r>
                      <w:rPr>
                        <w:rStyle w:val="PageNumber"/>
                        <w:sz w:val="26"/>
                      </w:rPr>
                      <w:t xml:space="preserve">C -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w:t>
                    </w:r>
                    <w:r>
                      <w:rPr>
                        <w:rStyle w:val="PageNumber"/>
                        <w:sz w:val="26"/>
                      </w:rPr>
                      <w:fldChar w:fldCharType="end"/>
                    </w:r>
                    <w:r>
                      <w:rPr>
                        <w:rStyle w:val="PageNumber"/>
                        <w:sz w:val="26"/>
                      </w:rPr>
                      <w:t xml:space="preserve">  </w:t>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Fonts w:cs="Palatino;Book Antiqua" w:ascii="Palatino;Book Antiqua" w:hAnsi="Palatino;Book Antiqua"/>
        <w:sz w:val="16"/>
      </w:rPr>
      <w:t>105404</w:t>
      <w:tab/>
    </w:r>
    <w:r>
      <w:rPr>
        <w:rFonts w:cs="Palatino;Book Antiqua" w:ascii="Palatino;Book Antiqua" w:hAnsi="Palatino;Book Antiqua"/>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21907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219075" cy="17716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25pt;height:13.95pt;mso-wrap-distance-left:0pt;mso-wrap-distance-right:0pt;mso-wrap-distance-top:0pt;mso-wrap-distance-bottom:0pt;margin-top:0.05pt;mso-position-vertical-relative:text;margin-left:225.4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4">
              <wp:simplePos x="0" y="0"/>
              <wp:positionH relativeFrom="margin">
                <wp:align>center</wp:align>
              </wp:positionH>
              <wp:positionV relativeFrom="paragraph">
                <wp:posOffset>635</wp:posOffset>
              </wp:positionV>
              <wp:extent cx="329565"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329565" cy="17716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5.95pt;height:13.95pt;mso-wrap-distance-left:0pt;mso-wrap-distance-right:0pt;mso-wrap-distance-top:0pt;mso-wrap-distance-bottom:0pt;margin-top:0.05pt;mso-position-vertical-relative:text;margin-left:221.05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w:rPr>
                        <w:rStyle w:val="PageNumber"/>
                      </w:rPr>
                      <w:t xml:space="preserve">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7165"/>
              <wp:effectExtent l="0" t="0" r="0" b="0"/>
              <wp:wrapSquare wrapText="bothSides"/>
              <wp:docPr id="5" name="Frame5"/>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60"/>
        <w:ind w:hanging="187" w:start="187" w:end="0"/>
        <w:rPr/>
      </w:pPr>
      <w:r>
        <w:rPr>
          <w:rStyle w:val="FootnoteCharacters"/>
        </w:rPr>
        <w:footnoteRef/>
      </w:r>
      <w:r>
        <w:rPr/>
        <w:t xml:space="preserve">  </w:t>
      </w:r>
      <w:r>
        <w:rPr/>
        <w:t xml:space="preserve">These provisions of the Water Code were enacted by Assembly Bill No. 1 from the 2001-2002 First Extraordinary Session (AB 1X). </w:t>
      </w:r>
    </w:p>
  </w:footnote>
  <w:footnote w:id="3">
    <w:p>
      <w:pPr>
        <w:pStyle w:val="FootnoteText"/>
        <w:widowControl/>
        <w:spacing w:before="0" w:after="60"/>
        <w:ind w:hanging="187" w:start="187" w:end="0"/>
        <w:rPr/>
      </w:pPr>
      <w:r>
        <w:rPr>
          <w:rStyle w:val="FootnoteCharacters"/>
        </w:rPr>
        <w:footnoteRef/>
      </w:r>
      <w:r>
        <w:rPr/>
        <w:t xml:space="preserve"> </w:t>
      </w:r>
      <w:r>
        <w:rPr/>
        <w:t>New provisions of the Water Code were enacted by Senate Bill No. 31 from the 2001-2002 First Extraordinary Session (SB 31X).  These provisions specify a bond amount and adopt expedited judicial review to facilitate the bond transaction as developed and structured by DWR and the Treasurer’s Office.</w:t>
      </w:r>
    </w:p>
  </w:footnote>
  <w:footnote w:id="4">
    <w:p>
      <w:pPr>
        <w:pStyle w:val="FootnoteText"/>
        <w:widowControl/>
        <w:spacing w:before="0" w:after="60"/>
        <w:ind w:hanging="187" w:start="187" w:end="0"/>
        <w:rPr/>
      </w:pPr>
      <w:r>
        <w:rPr>
          <w:rStyle w:val="FootnoteCharacters"/>
        </w:rPr>
        <w:footnoteRef/>
      </w:r>
      <w:r>
        <w:rPr/>
        <w:t xml:space="preserve"> </w:t>
      </w:r>
      <w:r>
        <w:rPr/>
        <w:t xml:space="preserve">Water Code §§ 80110 and 80134. </w:t>
      </w:r>
    </w:p>
  </w:footnote>
  <w:footnote w:id="5">
    <w:p>
      <w:pPr>
        <w:pStyle w:val="FootnoteText"/>
        <w:widowControl/>
        <w:spacing w:before="0" w:after="60"/>
        <w:ind w:hanging="187" w:start="187" w:end="0"/>
        <w:rPr/>
      </w:pPr>
      <w:r>
        <w:rPr>
          <w:rStyle w:val="FootnoteCharacters"/>
        </w:rPr>
        <w:footnoteRef/>
      </w:r>
      <w:r>
        <w:rPr/>
        <w:t xml:space="preserve">  </w:t>
      </w:r>
      <w:r>
        <w:rPr/>
        <w:t xml:space="preserve">Proclamation issued by the Governor of the State of California on January 17, 2001, appended hereto as Appendix C. </w:t>
      </w:r>
    </w:p>
  </w:footnote>
  <w:footnote w:id="6">
    <w:p>
      <w:pPr>
        <w:pStyle w:val="FootnoteText"/>
        <w:widowControl/>
        <w:spacing w:before="0" w:after="60"/>
        <w:ind w:hanging="187" w:start="187" w:end="0"/>
        <w:rPr/>
      </w:pPr>
      <w:r>
        <w:rPr>
          <w:rStyle w:val="FootnoteCharacters"/>
        </w:rPr>
        <w:footnoteRef/>
      </w:r>
      <w:r>
        <w:rPr/>
        <w:t xml:space="preserve">  </w:t>
      </w:r>
      <w:r>
        <w:rPr/>
        <w:t xml:space="preserve">Water Code §§ 80002.5, 80012, 80102(a), 80102(b), 80102(c), and 80116.  AB 1X </w:t>
      </w:r>
      <w:r>
        <w:rPr/>
        <w:t>requires</w:t>
      </w:r>
      <w:r>
        <w:rPr/>
        <w:t xml:space="preserve"> DWR to sell power to retail customers at not more than DWR's acquisition costs, including transmission, scheduling, and other related costs. (Water Code § 80116)  </w:t>
      </w:r>
    </w:p>
  </w:footnote>
  <w:footnote w:id="7">
    <w:p>
      <w:pPr>
        <w:pStyle w:val="FootnoteText"/>
        <w:widowControl/>
        <w:spacing w:before="0" w:after="60"/>
        <w:ind w:hanging="187" w:start="187" w:end="0"/>
        <w:rPr/>
      </w:pPr>
      <w:r>
        <w:rPr>
          <w:rStyle w:val="FootnoteCharacters"/>
        </w:rPr>
        <w:footnoteRef/>
      </w:r>
      <w:r>
        <w:rPr/>
        <w:t xml:space="preserve"> </w:t>
      </w:r>
      <w:r>
        <w:rPr/>
        <w:t xml:space="preserve">Nothing contained in AB 1X reduces or modifies any electrical corporation's obligation to serve. (Water Code § 80002) </w:t>
      </w:r>
    </w:p>
  </w:footnote>
  <w:footnote w:id="8">
    <w:p>
      <w:pPr>
        <w:pStyle w:val="FootnoteText"/>
        <w:widowControl/>
        <w:spacing w:before="0" w:after="60"/>
        <w:ind w:hanging="187" w:start="187" w:end="0"/>
        <w:rPr/>
      </w:pPr>
      <w:r>
        <w:rPr>
          <w:rStyle w:val="FootnoteCharacters"/>
        </w:rPr>
        <w:footnoteRef/>
      </w:r>
      <w:r>
        <w:rPr/>
        <w:t xml:space="preserve">  </w:t>
      </w:r>
      <w:r>
        <w:rPr/>
        <w:t xml:space="preserve">AB 1X, Section 5.  </w:t>
      </w:r>
    </w:p>
  </w:footnote>
  <w:footnote w:id="9">
    <w:p>
      <w:pPr>
        <w:pStyle w:val="FootnoteText"/>
        <w:widowControl/>
        <w:spacing w:before="0" w:after="60"/>
        <w:ind w:hanging="187" w:start="187" w:end="0"/>
        <w:rPr/>
      </w:pPr>
      <w:r>
        <w:rPr>
          <w:rStyle w:val="FootnoteCharacters"/>
        </w:rPr>
        <w:footnoteRef/>
      </w:r>
      <w:r>
        <w:rPr/>
        <w:t xml:space="preserve">  </w:t>
      </w:r>
      <w:r>
        <w:rPr/>
        <w:t xml:space="preserve">Water Code § 80200(b)(4).  All statutory references in this section of the decision refer to the Water Code unless otherwise indicated.   </w:t>
      </w:r>
    </w:p>
  </w:footnote>
  <w:footnote w:id="10">
    <w:p>
      <w:pPr>
        <w:pStyle w:val="FootnoteText"/>
        <w:widowControl/>
        <w:spacing w:before="0" w:after="60"/>
        <w:ind w:hanging="187" w:start="187" w:end="0"/>
        <w:rPr/>
      </w:pPr>
      <w:r>
        <w:rPr>
          <w:rStyle w:val="FootnoteCharacters"/>
        </w:rPr>
        <w:footnoteRef/>
      </w:r>
      <w:r>
        <w:rPr/>
        <w:t xml:space="preserve">  </w:t>
      </w:r>
      <w:r>
        <w:rPr/>
        <w:t xml:space="preserve">§ 80100.  </w:t>
      </w:r>
    </w:p>
  </w:footnote>
  <w:footnote w:id="11">
    <w:p>
      <w:pPr>
        <w:pStyle w:val="FootnoteText"/>
        <w:widowControl/>
        <w:spacing w:before="0" w:after="60"/>
        <w:ind w:hanging="187" w:start="187" w:end="0"/>
        <w:rPr/>
      </w:pPr>
      <w:r>
        <w:rPr>
          <w:rStyle w:val="FootnoteCharacters"/>
        </w:rPr>
        <w:footnoteRef/>
      </w:r>
      <w:r>
        <w:rPr/>
        <w:t xml:space="preserve">  </w:t>
      </w:r>
      <w:r>
        <w:rPr/>
        <w:t xml:space="preserve">§ 80260.  </w:t>
      </w:r>
    </w:p>
  </w:footnote>
  <w:footnote w:id="12">
    <w:p>
      <w:pPr>
        <w:pStyle w:val="FootnoteText"/>
        <w:widowControl/>
        <w:spacing w:before="0" w:after="60"/>
        <w:ind w:hanging="187" w:start="187" w:end="0"/>
        <w:rPr/>
      </w:pPr>
      <w:r>
        <w:rPr>
          <w:rStyle w:val="FootnoteCharacters"/>
        </w:rPr>
        <w:footnoteRef/>
      </w:r>
      <w:r>
        <w:rPr/>
        <w:t xml:space="preserve">  </w:t>
      </w:r>
      <w:r>
        <w:rPr/>
        <w:t xml:space="preserve">§ 80110.  </w:t>
      </w:r>
    </w:p>
  </w:footnote>
  <w:footnote w:id="13">
    <w:p>
      <w:pPr>
        <w:pStyle w:val="FootnoteText"/>
        <w:widowControl/>
        <w:spacing w:before="0" w:after="60"/>
        <w:ind w:hanging="187" w:start="187" w:end="0"/>
        <w:rPr/>
      </w:pPr>
      <w:r>
        <w:rPr>
          <w:rStyle w:val="FootnoteCharacters"/>
        </w:rPr>
        <w:footnoteRef/>
      </w:r>
      <w:r>
        <w:rPr/>
        <w:t xml:space="preserve"> </w:t>
      </w:r>
      <w:r>
        <w:rPr/>
        <w:t xml:space="preserve">§ 80106(a) enacted by AB 1X, as amended by SB 31X.     </w:t>
      </w:r>
    </w:p>
  </w:footnote>
  <w:footnote w:id="14">
    <w:p>
      <w:pPr>
        <w:pStyle w:val="FootnoteText"/>
        <w:widowControl/>
        <w:spacing w:before="0" w:after="60"/>
        <w:ind w:hanging="187" w:start="187" w:end="0"/>
        <w:rPr/>
      </w:pPr>
      <w:r>
        <w:rPr>
          <w:rStyle w:val="FootnoteCharacters"/>
        </w:rPr>
        <w:footnoteRef/>
      </w:r>
      <w:r>
        <w:rPr/>
        <w:t xml:space="preserve"> </w:t>
      </w:r>
      <w:r>
        <w:rPr/>
        <w:t xml:space="preserve">§ 80112. </w:t>
      </w:r>
    </w:p>
  </w:footnote>
  <w:footnote w:id="15">
    <w:p>
      <w:pPr>
        <w:pStyle w:val="FootnoteText"/>
        <w:widowControl/>
        <w:spacing w:before="0" w:after="60"/>
        <w:ind w:hanging="187" w:start="187" w:end="0"/>
        <w:rPr/>
      </w:pPr>
      <w:r>
        <w:rPr>
          <w:rStyle w:val="FootnoteCharacters"/>
        </w:rPr>
        <w:footnoteRef/>
      </w:r>
      <w:r>
        <w:rPr/>
        <w:t xml:space="preserve"> </w:t>
      </w:r>
      <w:r>
        <w:rPr/>
        <w:t xml:space="preserve">§ 80200.  </w:t>
      </w:r>
    </w:p>
  </w:footnote>
  <w:footnote w:id="16">
    <w:p>
      <w:pPr>
        <w:pStyle w:val="FootnoteText"/>
        <w:widowControl/>
        <w:spacing w:before="0" w:after="60"/>
        <w:ind w:hanging="187" w:start="187" w:end="0"/>
        <w:rPr/>
      </w:pPr>
      <w:r>
        <w:rPr>
          <w:rStyle w:val="FootnoteCharacters"/>
        </w:rPr>
        <w:footnoteRef/>
      </w:r>
      <w:r>
        <w:rPr/>
        <w:t xml:space="preserve"> </w:t>
      </w:r>
      <w:r>
        <w:rPr/>
        <w:t>§ 80134.</w:t>
      </w:r>
    </w:p>
  </w:footnote>
  <w:footnote w:id="17">
    <w:p>
      <w:pPr>
        <w:pStyle w:val="FootnoteText"/>
        <w:widowControl/>
        <w:spacing w:before="0" w:after="60"/>
        <w:ind w:hanging="187" w:start="187" w:end="0"/>
        <w:rPr/>
      </w:pPr>
      <w:r>
        <w:rPr>
          <w:rStyle w:val="FootnoteCharacters"/>
        </w:rPr>
        <w:footnoteRef/>
      </w:r>
      <w:r>
        <w:rPr/>
        <w:t xml:space="preserve"> </w:t>
      </w:r>
      <w:r>
        <w:rPr/>
        <w:t>§ 80110.</w:t>
      </w:r>
    </w:p>
  </w:footnote>
  <w:footnote w:id="18">
    <w:p>
      <w:pPr>
        <w:pStyle w:val="FootnoteText"/>
        <w:widowControl/>
        <w:spacing w:before="0" w:after="60"/>
        <w:ind w:hanging="187" w:start="187" w:end="0"/>
        <w:rPr/>
      </w:pPr>
      <w:r>
        <w:rPr>
          <w:rStyle w:val="FootnoteCharacters"/>
        </w:rPr>
        <w:footnoteRef/>
      </w:r>
      <w:r>
        <w:rPr/>
        <w:t xml:space="preserve"> </w:t>
      </w:r>
      <w:r>
        <w:rPr/>
        <w:t xml:space="preserve">Amendments to AB 1X contained in SB 31X became effective on August 14, 2001.  </w:t>
      </w:r>
    </w:p>
  </w:footnote>
  <w:footnote w:id="19">
    <w:p>
      <w:pPr>
        <w:pStyle w:val="FootnoteText"/>
        <w:widowControl/>
        <w:spacing w:before="0" w:after="60"/>
        <w:ind w:hanging="187" w:start="187" w:end="0"/>
        <w:rPr/>
      </w:pPr>
      <w:r>
        <w:rPr>
          <w:rStyle w:val="FootnoteCharacters"/>
        </w:rPr>
        <w:footnoteRef/>
      </w:r>
      <w:r>
        <w:rPr/>
        <w:t xml:space="preserve"> </w:t>
      </w:r>
      <w:r>
        <w:rPr/>
        <w:t xml:space="preserve">§§ 80010, 80110, 80130, and 80132(a).  </w:t>
      </w:r>
    </w:p>
  </w:footnote>
  <w:footnote w:id="20">
    <w:p>
      <w:pPr>
        <w:pStyle w:val="FootnoteText"/>
        <w:widowControl/>
        <w:spacing w:before="0" w:after="60"/>
        <w:ind w:hanging="187" w:start="187" w:end="0"/>
        <w:rPr/>
      </w:pPr>
      <w:r>
        <w:rPr>
          <w:rStyle w:val="FootnoteCharacters"/>
        </w:rPr>
        <w:footnoteRef/>
      </w:r>
      <w:r>
        <w:rPr/>
        <w:t xml:space="preserve"> </w:t>
      </w:r>
      <w:r>
        <w:rPr/>
        <w:t>§ 80132.</w:t>
      </w:r>
    </w:p>
  </w:footnote>
  <w:footnote w:id="21">
    <w:p>
      <w:pPr>
        <w:pStyle w:val="FootnoteText"/>
        <w:widowControl/>
        <w:spacing w:before="0" w:after="60"/>
        <w:ind w:hanging="187" w:start="187" w:end="0"/>
        <w:rPr/>
      </w:pPr>
      <w:r>
        <w:rPr>
          <w:rStyle w:val="FootnoteCharacters"/>
        </w:rPr>
        <w:footnoteRef/>
      </w:r>
      <w:r>
        <w:rPr/>
        <w:t xml:space="preserve"> </w:t>
      </w:r>
      <w:r>
        <w:rPr/>
        <w:t xml:space="preserve">§§ 80132(f) and 80200.  </w:t>
      </w:r>
    </w:p>
  </w:footnote>
  <w:footnote w:id="22">
    <w:p>
      <w:pPr>
        <w:pStyle w:val="FootnoteText"/>
        <w:widowControl/>
        <w:spacing w:before="0" w:after="60"/>
        <w:ind w:hanging="187" w:start="187" w:end="0"/>
        <w:rPr/>
      </w:pPr>
      <w:r>
        <w:rPr>
          <w:rStyle w:val="FootnoteCharacters"/>
        </w:rPr>
        <w:footnoteRef/>
      </w:r>
      <w:r>
        <w:rPr/>
        <w:t xml:space="preserve"> </w:t>
      </w:r>
      <w:r>
        <w:rPr/>
        <w:t>§ 80200(e).</w:t>
      </w:r>
    </w:p>
  </w:footnote>
  <w:footnote w:id="23">
    <w:p>
      <w:pPr>
        <w:pStyle w:val="FootnoteText"/>
        <w:widowControl/>
        <w:spacing w:before="0" w:after="60"/>
        <w:ind w:hanging="187" w:start="187" w:end="0"/>
        <w:rPr/>
      </w:pPr>
      <w:r>
        <w:rPr>
          <w:rStyle w:val="FootnoteCharacters"/>
        </w:rPr>
        <w:footnoteRef/>
      </w:r>
      <w:r>
        <w:rPr/>
        <w:t xml:space="preserve"> </w:t>
      </w:r>
      <w:r>
        <w:rPr/>
        <w:t>§ 80130.</w:t>
      </w:r>
    </w:p>
  </w:footnote>
  <w:footnote w:id="24">
    <w:p>
      <w:pPr>
        <w:pStyle w:val="FootnoteText"/>
        <w:widowControl/>
        <w:spacing w:before="0" w:after="60"/>
        <w:ind w:hanging="187" w:start="187" w:end="0"/>
        <w:rPr/>
      </w:pPr>
      <w:r>
        <w:rPr>
          <w:rStyle w:val="FootnoteCharacters"/>
        </w:rPr>
        <w:footnoteRef/>
      </w:r>
      <w:r>
        <w:rPr/>
        <w:t xml:space="preserve"> </w:t>
      </w:r>
      <w:r>
        <w:rPr/>
        <w:t>§§ 80130 and 80110.</w:t>
      </w:r>
    </w:p>
  </w:footnote>
  <w:footnote w:id="25">
    <w:p>
      <w:pPr>
        <w:pStyle w:val="FootnoteText"/>
        <w:widowControl/>
        <w:spacing w:before="0" w:after="60"/>
        <w:ind w:hanging="187" w:start="187" w:end="0"/>
        <w:rPr/>
      </w:pPr>
      <w:r>
        <w:rPr>
          <w:rStyle w:val="FootnoteCharacters"/>
        </w:rPr>
        <w:footnoteRef/>
      </w:r>
      <w:r>
        <w:rPr/>
        <w:t xml:space="preserve"> </w:t>
      </w:r>
      <w:r>
        <w:rPr/>
        <w:t>Water Code § 80110.  Pub. Util. Code § 840 et seq. pertain to rate-reduction bonds issued by electric utilities pursuant to AB 1890.  Accordingly, most of § 840 et seq., is not relevant to bonds issued by DWR pursuant to AB 1X.  However, the following provisions in § 841(c) regarding the "force and effect" of Commission financing orders are relevant to bonds issued by DWR under AB 1X:  “Notwithstanding Section 455.5, Section 1708, or any other provision of law . . . the financing orders...shall be irrevocable and the commission shall not have authority either by rescinding, altering, or amending the financing order or otherwise, to revalue or revise for ratemaking purposes the transition costs... nor shall the amount of revenues arising with respect thereto be subject to reduction, impairment, postponement, or termination.” (D.01-05-037, 2001 Cal. PUC LEXIS 374, *17 - *18)</w:t>
      </w:r>
    </w:p>
  </w:footnote>
  <w:footnote w:id="26">
    <w:p>
      <w:pPr>
        <w:pStyle w:val="FootnoteText"/>
        <w:widowControl/>
        <w:spacing w:before="0" w:after="60"/>
        <w:ind w:hanging="187" w:start="187" w:end="0"/>
        <w:rPr/>
      </w:pPr>
      <w:r>
        <w:rPr>
          <w:rStyle w:val="FootnoteCharacters"/>
        </w:rPr>
        <w:footnoteRef/>
      </w:r>
      <w:r>
        <w:rPr/>
        <w:t xml:space="preserve"> </w:t>
      </w:r>
      <w:r>
        <w:rPr/>
        <w:t xml:space="preserve">§ 80110. </w:t>
      </w:r>
    </w:p>
  </w:footnote>
  <w:footnote w:id="27">
    <w:p>
      <w:pPr>
        <w:pStyle w:val="FootnoteText"/>
        <w:widowControl/>
        <w:spacing w:before="0" w:after="60"/>
        <w:ind w:hanging="187" w:start="187" w:end="0"/>
        <w:rPr/>
      </w:pPr>
      <w:r>
        <w:rPr>
          <w:rStyle w:val="FootnoteCharacters"/>
        </w:rPr>
        <w:footnoteRef/>
      </w:r>
      <w:r>
        <w:rPr/>
        <w:t xml:space="preserve"> </w:t>
      </w:r>
      <w:r>
        <w:rPr/>
        <w:t>§ 80106(b) enacted by AB 1X, as amended by SB 31X.</w:t>
      </w:r>
    </w:p>
  </w:footnote>
  <w:footnote w:id="28">
    <w:p>
      <w:pPr>
        <w:pStyle w:val="FootnoteText"/>
        <w:widowControl/>
        <w:spacing w:before="0" w:after="60"/>
        <w:ind w:hanging="187" w:start="187" w:end="0"/>
        <w:rPr/>
      </w:pPr>
      <w:r>
        <w:rPr>
          <w:rStyle w:val="FootnoteCharacters"/>
        </w:rPr>
        <w:footnoteRef/>
      </w:r>
      <w:r>
        <w:rPr/>
        <w:t xml:space="preserve"> </w:t>
      </w:r>
      <w:r>
        <w:rPr/>
        <w:t>§ 80108.</w:t>
      </w:r>
    </w:p>
  </w:footnote>
  <w:footnote w:id="29">
    <w:p>
      <w:pPr>
        <w:pStyle w:val="FootnoteText"/>
        <w:widowControl/>
        <w:spacing w:before="0" w:after="60"/>
        <w:ind w:hanging="187" w:start="187" w:end="0"/>
        <w:rPr/>
      </w:pPr>
      <w:r>
        <w:rPr>
          <w:rStyle w:val="FootnoteCharacters"/>
        </w:rPr>
        <w:footnoteRef/>
      </w:r>
      <w:r>
        <w:rPr/>
        <w:t xml:space="preserve"> </w:t>
      </w:r>
      <w:r>
        <w:rPr/>
        <w:t xml:space="preserve">Executive Order D-30-01.  </w:t>
      </w:r>
    </w:p>
  </w:footnote>
  <w:footnote w:id="30">
    <w:p>
      <w:pPr>
        <w:pStyle w:val="FootnoteText"/>
        <w:widowControl/>
        <w:spacing w:before="0" w:after="60"/>
        <w:ind w:hanging="187" w:start="187" w:end="0"/>
        <w:rPr/>
      </w:pPr>
      <w:r>
        <w:rPr>
          <w:rStyle w:val="FootnoteCharacters"/>
        </w:rPr>
        <w:footnoteRef/>
      </w:r>
      <w:r>
        <w:rPr/>
        <w:t xml:space="preserve"> </w:t>
      </w:r>
      <w:r>
        <w:rPr/>
        <w:t xml:space="preserve">Among other things, SB 5X and AB 29X appropriated monies from the General Fund to implement energy efficiency programs and to supplement existing energy efficiency programs.  </w:t>
      </w:r>
    </w:p>
  </w:footnote>
  <w:footnote w:id="31">
    <w:p>
      <w:pPr>
        <w:pStyle w:val="FootnoteText"/>
        <w:widowControl/>
        <w:spacing w:before="0" w:after="60"/>
        <w:ind w:hanging="187" w:start="187" w:end="0"/>
        <w:rPr/>
      </w:pPr>
      <w:r>
        <w:rPr>
          <w:rStyle w:val="FootnoteCharacters"/>
        </w:rPr>
        <w:footnoteRef/>
      </w:r>
      <w:r>
        <w:rPr/>
        <w:t xml:space="preserve"> </w:t>
      </w:r>
      <w:r>
        <w:rPr/>
        <w:t xml:space="preserve">Executive Order D-36-01.  This Executive Order also directed DWR to </w:t>
      </w:r>
      <w:r>
        <w:rPr>
          <w:rFonts w:cs="Times New Roman" w:ascii="Times New Roman" w:hAnsi="Times New Roman"/>
        </w:rPr>
        <w:t>“</w:t>
      </w:r>
      <w:r>
        <w:rPr/>
        <w:t>retain appropriate expert resources</w:t>
      </w:r>
      <w:r>
        <w:rPr>
          <w:rFonts w:cs="Times New Roman" w:ascii="Times New Roman" w:hAnsi="Times New Roman"/>
        </w:rPr>
        <w:t>”</w:t>
      </w:r>
      <w:r>
        <w:rPr/>
        <w:t xml:space="preserve"> to implement AB 1X, and to pay for these resources with funds from the Disaster Response-Emergency Operations Account of the Special Fund of Economic Uncertainties.</w:t>
      </w:r>
    </w:p>
  </w:footnote>
  <w:footnote w:id="32">
    <w:p>
      <w:pPr>
        <w:pStyle w:val="FootnoteText"/>
        <w:widowControl/>
        <w:spacing w:before="0" w:after="60"/>
        <w:ind w:hanging="187" w:start="187" w:end="0"/>
        <w:rPr/>
      </w:pPr>
      <w:r>
        <w:rPr>
          <w:rStyle w:val="FootnoteCharacters"/>
        </w:rPr>
        <w:footnoteRef/>
      </w:r>
      <w:r>
        <w:rPr/>
        <w:t xml:space="preserve"> </w:t>
      </w:r>
      <w:r>
        <w:rPr/>
        <w:t xml:space="preserve">Executive Order D-39-01. </w:t>
      </w:r>
    </w:p>
  </w:footnote>
  <w:footnote w:id="33">
    <w:p>
      <w:pPr>
        <w:pStyle w:val="FootnoteText"/>
        <w:widowControl/>
        <w:spacing w:before="0" w:after="60"/>
        <w:ind w:hanging="187" w:start="187" w:end="0"/>
        <w:rPr/>
      </w:pPr>
      <w:r>
        <w:rPr>
          <w:rStyle w:val="FootnoteCharacters"/>
        </w:rPr>
        <w:footnoteRef/>
      </w:r>
      <w:r>
        <w:rPr/>
        <w:t xml:space="preserve"> </w:t>
      </w:r>
      <w:r>
        <w:rPr/>
        <w:t xml:space="preserve">Executive Order D-42-01.  </w:t>
      </w:r>
    </w:p>
  </w:footnote>
  <w:footnote w:id="34">
    <w:p>
      <w:pPr>
        <w:pStyle w:val="FootnoteText"/>
        <w:widowControl/>
        <w:spacing w:before="0" w:after="60"/>
        <w:ind w:hanging="187" w:start="187" w:end="0"/>
        <w:rPr/>
      </w:pPr>
      <w:r>
        <w:rPr>
          <w:rStyle w:val="FootnoteCharacters"/>
        </w:rPr>
        <w:footnoteRef/>
      </w:r>
      <w:r>
        <w:rPr/>
        <w:t xml:space="preserve"> </w:t>
      </w:r>
      <w:r>
        <w:rPr/>
        <w:t xml:space="preserve">The following parties filed comments and/or reply comments:  the Association of California Water Agencies (ACWA), the California Energy Commission (CEC), California Industrial Users (CIU), Consumers Union (CU), Federal Executive Agencies (FEA), the Foundation for Taxpayer and Consumer Rights (FTCR), the Office of Ratepayer Advocates (ORA), PG&amp;E, SCE, SDG&amp;E, The Utility Reform Network (TURN), DWR, the State Treasurer’s Office (Treasurer), and Senator Haynes.  Appendix B of this decision contains a summary of the parties’ comments.  </w:t>
      </w:r>
    </w:p>
  </w:footnote>
  <w:footnote w:id="35">
    <w:p>
      <w:pPr>
        <w:pStyle w:val="FootnoteText"/>
        <w:widowControl/>
        <w:spacing w:before="0" w:after="60"/>
        <w:ind w:hanging="187" w:start="187" w:end="0"/>
        <w:rPr/>
      </w:pPr>
      <w:r>
        <w:rPr>
          <w:rStyle w:val="FootnoteCharacters"/>
        </w:rPr>
        <w:footnoteRef/>
      </w:r>
      <w:r>
        <w:rPr/>
        <w:t xml:space="preserve"> </w:t>
      </w:r>
      <w:r>
        <w:rPr/>
        <w:t>Rate Agreement, Section 4.1(a).  All “section” references in this portion of the decision refer to the Rate Agreement unless otherwise indicated.</w:t>
      </w:r>
    </w:p>
  </w:footnote>
  <w:footnote w:id="36">
    <w:p>
      <w:pPr>
        <w:pStyle w:val="FootnoteText"/>
        <w:widowControl/>
        <w:spacing w:before="0" w:after="60"/>
        <w:ind w:hanging="187" w:start="187" w:end="0"/>
        <w:rPr/>
      </w:pPr>
      <w:r>
        <w:rPr>
          <w:rStyle w:val="FootnoteCharacters"/>
        </w:rPr>
        <w:footnoteRef/>
      </w:r>
      <w:r>
        <w:rPr/>
        <w:t xml:space="preserve"> </w:t>
      </w:r>
      <w:r>
        <w:rPr/>
        <w:t>The proposed Rate Agreement defines “Financing Documents” as “any resolution, indenture, trust agreement, loan agreement, revolving credit agreement, reimbursement agreement, standby purchase agreement or other agreement or instrument adopted or entered into by [DWR] authorizing, securing or enhancing the Bonds, as from time to time amended or</w:t>
      </w:r>
      <w:r>
        <w:rPr>
          <w:sz w:val="26"/>
        </w:rPr>
        <w:t xml:space="preserve"> </w:t>
      </w:r>
      <w:r>
        <w:rPr/>
        <w:t xml:space="preserve">supplemented in accordance therewith, copies of which shall be provided to the Commission.” (Section 1.1)  </w:t>
      </w:r>
    </w:p>
  </w:footnote>
  <w:footnote w:id="37">
    <w:p>
      <w:pPr>
        <w:pStyle w:val="FootnoteText"/>
        <w:widowControl/>
        <w:spacing w:before="0" w:after="60"/>
        <w:ind w:hanging="187" w:start="187" w:end="0"/>
        <w:rPr/>
      </w:pPr>
      <w:r>
        <w:rPr>
          <w:rStyle w:val="FootnoteCharacters"/>
        </w:rPr>
        <w:footnoteRef/>
      </w:r>
      <w:r>
        <w:rPr/>
        <w:t xml:space="preserve"> </w:t>
      </w:r>
      <w:r>
        <w:rPr/>
        <w:t xml:space="preserve">The proposed Rate Agreement defines “Bonds” as debt issued by DWR “pursuant to Section 80130 of [AB 1X] and the Executive Order of the Governor…dated June 18, 2001, in an aggregate principal amount up to $13,423,000,000; provided, however, that (i) Bonds shall include indebtedness issued in anticipation of the issuance of bonds and retired from the proceeds of these bonds, but such notes shall not be counted against said dollar limitation, and (ii) Bonds shall include indebtedness issued to refund prior Bonds, but such refunding indebtedness shall not be counted against said dollar limitation.” (Section 1.1.)  </w:t>
      </w:r>
    </w:p>
  </w:footnote>
  <w:footnote w:id="38">
    <w:p>
      <w:pPr>
        <w:pStyle w:val="FootnoteText"/>
        <w:widowControl/>
        <w:spacing w:before="0" w:after="60"/>
        <w:ind w:hanging="187" w:start="187" w:end="0"/>
        <w:rPr/>
      </w:pPr>
      <w:r>
        <w:rPr>
          <w:rStyle w:val="FootnoteCharacters"/>
        </w:rPr>
        <w:footnoteRef/>
      </w:r>
      <w:r>
        <w:rPr/>
        <w:t xml:space="preserve"> </w:t>
      </w:r>
      <w:r>
        <w:rPr/>
        <w:t xml:space="preserve">The proposed Rate Agreement defines a “Retail End Use Customer” as “each customer within the Service Area of an Electrical Corporation that has purchased Power from [DWR] under [AB 1X].”  An “Electric Corporation” is defined as having “the same meaning </w:t>
      </w:r>
      <w:r>
        <w:rPr>
          <w:szCs w:val="24"/>
        </w:rPr>
        <w:t xml:space="preserve">ascribed thereto in Section 218 of the Public Utilities Code.” </w:t>
      </w:r>
      <w:r>
        <w:rPr/>
        <w:t>The term “Power” has “the meaning ascribed thereto in Section 80010 of [AB 1X].” (</w:t>
      </w:r>
      <w:r>
        <w:rPr>
          <w:szCs w:val="24"/>
        </w:rPr>
        <w:t xml:space="preserve">Section 1.1) </w:t>
      </w:r>
      <w:r>
        <w:rPr/>
        <w:t xml:space="preserve"> Water Code § 80010 defines “Power” as “electric power and energy, including, but not limited to, capacity and output, or any of them.” </w:t>
      </w:r>
    </w:p>
  </w:footnote>
  <w:footnote w:id="39">
    <w:p>
      <w:pPr>
        <w:pStyle w:val="FootnoteText"/>
        <w:widowControl/>
        <w:spacing w:before="0" w:after="60"/>
        <w:ind w:hanging="187" w:start="187" w:end="0"/>
        <w:rPr/>
      </w:pPr>
      <w:r>
        <w:rPr>
          <w:rStyle w:val="FootnoteCharacters"/>
        </w:rPr>
        <w:footnoteRef/>
      </w:r>
      <w:r>
        <w:rPr/>
        <w:t xml:space="preserve"> </w:t>
      </w:r>
      <w:r>
        <w:rPr/>
        <w:t xml:space="preserve">The proposed Rate Agreement defines “Department Charges” as “charges imposed upon Retail End Use Customers established by the Commission, in connection with Power made available to Retail End Use Customers by [DWR] for Power currently being supplied by [DWR] or as otherwise agreed to by [DWR] and the Commission.” (Section 1.1) </w:t>
      </w:r>
    </w:p>
  </w:footnote>
  <w:footnote w:id="40">
    <w:p>
      <w:pPr>
        <w:pStyle w:val="FootnoteText"/>
        <w:widowControl/>
        <w:spacing w:before="0" w:after="60"/>
        <w:ind w:hanging="187" w:start="187" w:end="0"/>
        <w:rPr/>
      </w:pPr>
      <w:r>
        <w:rPr>
          <w:rStyle w:val="FootnoteCharacters"/>
        </w:rPr>
        <w:footnoteRef/>
      </w:r>
      <w:r>
        <w:rPr/>
        <w:t xml:space="preserve"> </w:t>
      </w:r>
      <w:r>
        <w:rPr/>
        <w:t xml:space="preserve">Sections 4.1(a), 5.1(a), and 5.1(b).  </w:t>
      </w:r>
    </w:p>
  </w:footnote>
  <w:footnote w:id="41">
    <w:p>
      <w:pPr>
        <w:pStyle w:val="FootnoteText"/>
        <w:widowControl/>
        <w:spacing w:before="0" w:after="60"/>
        <w:ind w:hanging="187" w:start="187" w:end="0"/>
        <w:rPr/>
      </w:pPr>
      <w:r>
        <w:rPr>
          <w:rStyle w:val="FootnoteCharacters"/>
        </w:rPr>
        <w:footnoteRef/>
      </w:r>
      <w:r>
        <w:rPr/>
        <w:t xml:space="preserve"> </w:t>
      </w:r>
      <w:r>
        <w:rPr/>
        <w:t xml:space="preserve">Section 5.1(b).  </w:t>
      </w:r>
    </w:p>
  </w:footnote>
  <w:footnote w:id="42">
    <w:p>
      <w:pPr>
        <w:pStyle w:val="FootnoteText"/>
        <w:widowControl/>
        <w:spacing w:before="0" w:after="60"/>
        <w:ind w:hanging="187" w:start="187" w:end="0"/>
        <w:rPr/>
      </w:pPr>
      <w:r>
        <w:rPr>
          <w:rStyle w:val="FootnoteCharacters"/>
        </w:rPr>
        <w:footnoteRef/>
      </w:r>
      <w:r>
        <w:rPr/>
        <w:t xml:space="preserve"> </w:t>
      </w:r>
      <w:r>
        <w:rPr/>
        <w:t xml:space="preserve">Sections 4.1(a) and 5.1(c). </w:t>
      </w:r>
    </w:p>
  </w:footnote>
  <w:footnote w:id="43">
    <w:p>
      <w:pPr>
        <w:pStyle w:val="FootnoteText"/>
        <w:widowControl/>
        <w:spacing w:before="0" w:after="60"/>
        <w:ind w:hanging="187" w:start="187" w:end="0"/>
        <w:rPr/>
      </w:pPr>
      <w:r>
        <w:rPr>
          <w:rStyle w:val="FootnoteCharacters"/>
        </w:rPr>
        <w:footnoteRef/>
      </w:r>
      <w:r>
        <w:rPr/>
        <w:t xml:space="preserve"> </w:t>
      </w:r>
      <w:r>
        <w:rPr/>
        <w:t xml:space="preserve">The proposed Rate Agreement requires the Commission to revise Department Charges on an expedited basis if DWR certifies that </w:t>
      </w:r>
      <w:r>
        <w:rPr>
          <w:szCs w:val="24"/>
        </w:rPr>
        <w:t>there is a material risk that one or more of the following events will occur during the period covered by the existing Revenue Requirement:  (i) the amount held in the Debt Service Reserve Account is less than the Debt Service Reserve Account Requirement; (ii) the amount held in the General Reserve Account established under the Indenture is less than the Minimum General Reserve Account Balance; or (iii) DWR will be in default under a material covenant contained in the Bonds or the Financing Documents. (proposed Rate Agreement, Section 5.1(d) and Exhibit A)</w:t>
      </w:r>
    </w:p>
  </w:footnote>
  <w:footnote w:id="44">
    <w:p>
      <w:pPr>
        <w:pStyle w:val="FootnoteText"/>
        <w:widowControl/>
        <w:spacing w:before="0" w:after="60"/>
        <w:ind w:hanging="187" w:start="187" w:end="0"/>
        <w:rPr/>
      </w:pPr>
      <w:r>
        <w:rPr>
          <w:rStyle w:val="FootnoteCharacters"/>
        </w:rPr>
        <w:footnoteRef/>
      </w:r>
      <w:r>
        <w:rPr/>
        <w:t xml:space="preserve"> </w:t>
      </w:r>
      <w:r>
        <w:rPr/>
        <w:t xml:space="preserve">Sections 4.1(a) and 5.1(d).  </w:t>
      </w:r>
    </w:p>
  </w:footnote>
  <w:footnote w:id="45">
    <w:p>
      <w:pPr>
        <w:pStyle w:val="FootnoteText"/>
        <w:widowControl/>
        <w:spacing w:before="0" w:after="60"/>
        <w:ind w:hanging="187" w:start="187" w:end="0"/>
        <w:rPr/>
      </w:pPr>
      <w:r>
        <w:rPr>
          <w:rStyle w:val="FootnoteCharacters"/>
        </w:rPr>
        <w:footnoteRef/>
      </w:r>
      <w:r>
        <w:rPr/>
        <w:t xml:space="preserve"> </w:t>
      </w:r>
      <w:r>
        <w:rPr/>
        <w:t xml:space="preserve">Section 4.1(b). </w:t>
      </w:r>
    </w:p>
  </w:footnote>
  <w:footnote w:id="46">
    <w:p>
      <w:pPr>
        <w:pStyle w:val="FootnoteText"/>
        <w:widowControl/>
        <w:spacing w:before="0" w:after="60"/>
        <w:ind w:hanging="187" w:start="187" w:end="0"/>
        <w:rPr/>
      </w:pPr>
      <w:r>
        <w:rPr>
          <w:rStyle w:val="FootnoteCharacters"/>
        </w:rPr>
        <w:footnoteRef/>
      </w:r>
      <w:r>
        <w:rPr/>
        <w:t xml:space="preserve"> </w:t>
      </w:r>
      <w:r>
        <w:rPr/>
        <w:t xml:space="preserve">Section 7.2. </w:t>
      </w:r>
    </w:p>
  </w:footnote>
  <w:footnote w:id="47">
    <w:p>
      <w:pPr>
        <w:pStyle w:val="FootnoteText"/>
        <w:widowControl/>
        <w:spacing w:before="0" w:after="60"/>
        <w:ind w:hanging="187" w:start="187" w:end="0"/>
        <w:rPr/>
      </w:pPr>
      <w:r>
        <w:rPr>
          <w:rStyle w:val="FootnoteCharacters"/>
        </w:rPr>
        <w:footnoteRef/>
      </w:r>
      <w:r>
        <w:rPr/>
        <w:t xml:space="preserve"> </w:t>
      </w:r>
      <w:r>
        <w:rPr/>
        <w:t xml:space="preserve">Section 4.2.  Pub. Util. Code § 451 states, in relevant part, as follows:  “All charges demanded or received by any public utility…for any product or commodity furnished…or service rendered…shall be just and reasonable.  Every unjust or unreasonable charge demanded of received for such product or commodity or service is unlawful.” </w:t>
      </w:r>
    </w:p>
  </w:footnote>
  <w:footnote w:id="48">
    <w:p>
      <w:pPr>
        <w:pStyle w:val="FootnoteText"/>
        <w:widowControl/>
        <w:spacing w:before="0" w:after="60"/>
        <w:ind w:hanging="187" w:start="187" w:end="0"/>
        <w:rPr/>
      </w:pPr>
      <w:r>
        <w:rPr>
          <w:rStyle w:val="FootnoteCharacters"/>
        </w:rPr>
        <w:footnoteRef/>
      </w:r>
      <w:r>
        <w:rPr/>
        <w:t xml:space="preserve"> </w:t>
      </w:r>
      <w:r>
        <w:rPr/>
        <w:t xml:space="preserve">Section 5.1(a). </w:t>
      </w:r>
    </w:p>
  </w:footnote>
  <w:footnote w:id="49">
    <w:p>
      <w:pPr>
        <w:pStyle w:val="FootnoteText"/>
        <w:widowControl/>
        <w:spacing w:before="0" w:after="60"/>
        <w:ind w:hanging="187" w:start="187" w:end="0"/>
        <w:rPr/>
      </w:pPr>
      <w:r>
        <w:rPr>
          <w:rStyle w:val="FootnoteCharacters"/>
        </w:rPr>
        <w:footnoteRef/>
      </w:r>
      <w:r>
        <w:rPr/>
        <w:t xml:space="preserve"> </w:t>
      </w:r>
      <w:r>
        <w:rPr/>
        <w:t>Section 5.2(b) - (c).</w:t>
      </w:r>
    </w:p>
  </w:footnote>
  <w:footnote w:id="50">
    <w:p>
      <w:pPr>
        <w:pStyle w:val="FootnoteText"/>
        <w:widowControl/>
        <w:spacing w:before="0" w:after="60"/>
        <w:ind w:hanging="187" w:start="187" w:end="0"/>
        <w:rPr/>
      </w:pPr>
      <w:r>
        <w:rPr>
          <w:rStyle w:val="FootnoteCharacters"/>
        </w:rPr>
        <w:footnoteRef/>
      </w:r>
      <w:r>
        <w:rPr/>
        <w:t xml:space="preserve"> </w:t>
      </w:r>
      <w:r>
        <w:rPr/>
        <w:t xml:space="preserve">Section 5.5. </w:t>
      </w:r>
    </w:p>
  </w:footnote>
  <w:footnote w:id="51">
    <w:p>
      <w:pPr>
        <w:pStyle w:val="FootnoteText"/>
        <w:widowControl/>
        <w:spacing w:before="0" w:after="60"/>
        <w:ind w:hanging="187" w:start="187" w:end="0"/>
        <w:rPr/>
      </w:pPr>
      <w:r>
        <w:rPr>
          <w:rStyle w:val="FootnoteCharacters"/>
        </w:rPr>
        <w:footnoteRef/>
      </w:r>
      <w:r>
        <w:rPr/>
        <w:t xml:space="preserve"> </w:t>
      </w:r>
      <w:r>
        <w:rPr/>
        <w:t xml:space="preserve">Section 5.3(b).  </w:t>
      </w:r>
    </w:p>
  </w:footnote>
  <w:footnote w:id="52">
    <w:p>
      <w:pPr>
        <w:pStyle w:val="FootnoteText"/>
        <w:widowControl/>
        <w:spacing w:before="0" w:after="60"/>
        <w:ind w:hanging="187" w:start="187" w:end="0"/>
        <w:rPr/>
      </w:pPr>
      <w:r>
        <w:rPr>
          <w:rStyle w:val="FootnoteCharacters"/>
        </w:rPr>
        <w:footnoteRef/>
      </w:r>
      <w:r>
        <w:rPr/>
        <w:t xml:space="preserve"> </w:t>
      </w:r>
      <w:r>
        <w:rPr/>
        <w:t xml:space="preserve">Section 3.2.  </w:t>
      </w:r>
    </w:p>
  </w:footnote>
  <w:footnote w:id="53">
    <w:p>
      <w:pPr>
        <w:pStyle w:val="FootnoteText"/>
        <w:widowControl/>
        <w:spacing w:before="0" w:after="60"/>
        <w:ind w:hanging="187" w:start="187" w:end="0"/>
        <w:rPr/>
      </w:pPr>
      <w:r>
        <w:rPr>
          <w:rStyle w:val="FootnoteCharacters"/>
        </w:rPr>
        <w:footnoteRef/>
      </w:r>
      <w:r>
        <w:rPr/>
        <w:t xml:space="preserve"> </w:t>
      </w:r>
      <w:r>
        <w:rPr/>
        <w:t xml:space="preserve">Sections 6.1 and 6.2. </w:t>
      </w:r>
    </w:p>
  </w:footnote>
  <w:footnote w:id="54">
    <w:p>
      <w:pPr>
        <w:pStyle w:val="FootnoteText"/>
        <w:widowControl/>
        <w:spacing w:before="0" w:after="60"/>
        <w:ind w:hanging="187" w:start="187" w:end="0"/>
        <w:rPr/>
      </w:pPr>
      <w:r>
        <w:rPr>
          <w:rStyle w:val="FootnoteCharacters"/>
        </w:rPr>
        <w:footnoteRef/>
      </w:r>
      <w:r>
        <w:rPr/>
        <w:t xml:space="preserve"> </w:t>
      </w:r>
      <w:r>
        <w:rPr/>
        <w:t xml:space="preserve">Section 6.3.  </w:t>
      </w:r>
    </w:p>
  </w:footnote>
  <w:footnote w:id="55">
    <w:p>
      <w:pPr>
        <w:pStyle w:val="FootnoteText"/>
        <w:widowControl/>
        <w:spacing w:before="0" w:after="60"/>
        <w:ind w:hanging="187" w:start="187" w:end="0"/>
        <w:rPr/>
      </w:pPr>
      <w:r>
        <w:rPr>
          <w:rStyle w:val="FootnoteCharacters"/>
        </w:rPr>
        <w:footnoteRef/>
      </w:r>
      <w:r>
        <w:rPr/>
        <w:t xml:space="preserve"> “</w:t>
      </w:r>
      <w:r>
        <w:rPr/>
        <w:t xml:space="preserve">Net-short load” refers to the amount of power that a utility must purchase to supply its customers, in addition to that provided by its own generation and existing contracts with qualifying facilities and other power suppliers.  </w:t>
      </w:r>
    </w:p>
  </w:footnote>
  <w:footnote w:id="56">
    <w:p>
      <w:pPr>
        <w:pStyle w:val="FootnoteText"/>
        <w:widowControl/>
        <w:spacing w:before="0" w:after="60"/>
        <w:ind w:hanging="187" w:start="187" w:end="0"/>
        <w:rPr/>
      </w:pPr>
      <w:r>
        <w:rPr>
          <w:rStyle w:val="FootnoteCharacters"/>
        </w:rPr>
        <w:footnoteRef/>
      </w:r>
      <w:r>
        <w:rPr/>
        <w:t xml:space="preserve"> </w:t>
      </w:r>
      <w:r>
        <w:rPr/>
        <w:t xml:space="preserve">Section 7.2. </w:t>
      </w:r>
    </w:p>
  </w:footnote>
  <w:footnote w:id="57">
    <w:p>
      <w:pPr>
        <w:pStyle w:val="FootnoteText"/>
        <w:widowControl/>
        <w:spacing w:before="0" w:after="60"/>
        <w:ind w:hanging="187" w:start="187" w:end="0"/>
        <w:rPr/>
      </w:pPr>
      <w:r>
        <w:rPr>
          <w:rStyle w:val="FootnoteCharacters"/>
        </w:rPr>
        <w:footnoteRef/>
      </w:r>
      <w:r>
        <w:rPr/>
        <w:t xml:space="preserve"> </w:t>
      </w:r>
      <w:r>
        <w:rPr/>
        <w:t xml:space="preserve">Section 7.2. </w:t>
      </w:r>
    </w:p>
  </w:footnote>
  <w:footnote w:id="58">
    <w:p>
      <w:pPr>
        <w:pStyle w:val="FootnoteText"/>
        <w:widowControl/>
        <w:spacing w:before="0" w:after="60"/>
        <w:ind w:hanging="187" w:start="187" w:end="0"/>
        <w:rPr/>
      </w:pPr>
      <w:r>
        <w:rPr>
          <w:rStyle w:val="FootnoteCharacters"/>
        </w:rPr>
        <w:footnoteRef/>
      </w:r>
      <w:r>
        <w:rPr/>
        <w:t xml:space="preserve"> </w:t>
      </w:r>
      <w:r>
        <w:rPr/>
        <w:t xml:space="preserve">We note that even without the Rate Agreement, DWR is authorized by Water Code §§ 80110 and 80134 to recover its Operating Expenses from ratepayers, and has been doing so for several months pursuant to D.01-03-082.   </w:t>
      </w:r>
    </w:p>
  </w:footnote>
  <w:footnote w:id="59">
    <w:p>
      <w:pPr>
        <w:pStyle w:val="FootnoteText"/>
        <w:widowControl/>
        <w:spacing w:before="0" w:after="60"/>
        <w:ind w:hanging="187" w:start="187" w:end="0"/>
        <w:rPr/>
      </w:pPr>
      <w:r>
        <w:rPr>
          <w:rStyle w:val="FootnoteCharacters"/>
        </w:rPr>
        <w:footnoteRef/>
      </w:r>
      <w:r>
        <w:rPr/>
        <w:t xml:space="preserve"> </w:t>
      </w:r>
      <w:r>
        <w:rPr/>
        <w:t xml:space="preserve">The details of the servicing agreements are addressed in other Commission orders.  </w:t>
      </w:r>
    </w:p>
  </w:footnote>
  <w:footnote w:id="60">
    <w:p>
      <w:pPr>
        <w:pStyle w:val="FootnoteText"/>
        <w:widowControl/>
        <w:spacing w:before="0" w:after="60"/>
        <w:ind w:hanging="187" w:start="187" w:end="0"/>
        <w:rPr/>
      </w:pPr>
      <w:r>
        <w:rPr>
          <w:rStyle w:val="FootnoteCharacters"/>
        </w:rPr>
        <w:footnoteRef/>
      </w:r>
      <w:r>
        <w:rPr/>
        <w:t xml:space="preserve"> </w:t>
      </w:r>
      <w:r>
        <w:rPr/>
        <w:t xml:space="preserve">Water Code § 80100. </w:t>
      </w:r>
    </w:p>
  </w:footnote>
  <w:footnote w:id="61">
    <w:p>
      <w:pPr>
        <w:pStyle w:val="FootnoteText"/>
        <w:widowControl/>
        <w:spacing w:before="0" w:after="60"/>
        <w:ind w:hanging="187" w:start="187" w:end="0"/>
        <w:rPr/>
      </w:pPr>
      <w:r>
        <w:rPr>
          <w:rStyle w:val="FootnoteCharacters"/>
        </w:rPr>
        <w:footnoteRef/>
      </w:r>
      <w:r>
        <w:rPr/>
        <w:t xml:space="preserve"> </w:t>
      </w:r>
      <w:r>
        <w:rPr/>
        <w:t xml:space="preserve">Water Code § 80110. </w:t>
      </w:r>
    </w:p>
  </w:footnote>
  <w:footnote w:id="62">
    <w:p>
      <w:pPr>
        <w:pStyle w:val="FootnoteText"/>
        <w:widowControl/>
        <w:spacing w:before="0" w:after="60"/>
        <w:ind w:hanging="187" w:start="187" w:end="0"/>
        <w:rPr/>
      </w:pPr>
      <w:r>
        <w:rPr>
          <w:rStyle w:val="FootnoteCharacters"/>
        </w:rPr>
        <w:footnoteRef/>
      </w:r>
      <w:r>
        <w:rPr/>
        <w:t xml:space="preserve"> </w:t>
      </w:r>
      <w:r>
        <w:rPr/>
        <w:t xml:space="preserve">Some parties misinterpret the Rate Agreement as providing DWR with authority regarding cost allocation and rate design.  We clarify here that AB 1X and the Rate Agreement provide the Commission with exclusive authority to allocate DWR’s Revenue Requirement among utilities and customers, and to set rates to recover the Revenue Requirement.  This authority necessarily includes the power to modify prospectively the rate design and cost allocation methods used to recover the Revenue Requirement.  For example, the Commission may modify utility rates at different times from when it sets rates to recover Department Charges.  The Commission may also modify at any time the way in which it allocates DWR’s Revenue Requirement.  </w:t>
      </w:r>
    </w:p>
  </w:footnote>
  <w:footnote w:id="63">
    <w:p>
      <w:pPr>
        <w:pStyle w:val="FootnoteText"/>
        <w:widowControl/>
        <w:spacing w:before="0" w:after="60"/>
        <w:ind w:hanging="187" w:start="187" w:end="0"/>
        <w:rPr/>
      </w:pPr>
      <w:r>
        <w:rPr>
          <w:rStyle w:val="FootnoteCharacters"/>
        </w:rPr>
        <w:footnoteRef/>
      </w:r>
      <w:r>
        <w:rPr/>
        <w:t xml:space="preserve"> </w:t>
      </w:r>
      <w:r>
        <w:rPr/>
        <w:t xml:space="preserve">The amended definition of Operating Expenses adopted by today’s decision effectively requires DWR to (i) allocate its expenses between AB 1X-related activities and other programs; and (ii) eliminate from its Revenue Requirement any costs that DWR has determined through the conduct of § 451 reasonableness review not to be just and reasonable.   </w:t>
      </w:r>
    </w:p>
  </w:footnote>
  <w:footnote w:id="64">
    <w:p>
      <w:pPr>
        <w:pStyle w:val="FootnoteText"/>
        <w:widowControl/>
        <w:spacing w:before="0" w:after="60"/>
        <w:ind w:hanging="187" w:start="187" w:end="0"/>
        <w:rPr/>
      </w:pPr>
      <w:r>
        <w:rPr>
          <w:rStyle w:val="FootnoteCharacters"/>
        </w:rPr>
        <w:footnoteRef/>
      </w:r>
      <w:r>
        <w:rPr/>
        <w:t xml:space="preserve"> </w:t>
      </w:r>
      <w:r>
        <w:rPr/>
        <w:t xml:space="preserve">We decline to adopt the Treasurer’s proposal to add a new Section 4.3, which would require DWR, before its submits its Revenue Requirement to the Commission, to hold a public information forum.  In our decision today, we amend the Rate Agreement to require DWR to determine its Revenue Requirement in accordance with applicable law, but we decline to specify how DWR should discharge its statutory responsibilities.  </w:t>
      </w:r>
    </w:p>
  </w:footnote>
  <w:footnote w:id="65">
    <w:p>
      <w:pPr>
        <w:pStyle w:val="FootnoteText"/>
        <w:widowControl/>
        <w:spacing w:before="0" w:after="60"/>
        <w:ind w:hanging="187" w:start="187" w:end="0"/>
        <w:rPr/>
      </w:pPr>
      <w:r>
        <w:rPr>
          <w:rStyle w:val="FootnoteCharacters"/>
        </w:rPr>
        <w:footnoteRef/>
      </w:r>
      <w:r>
        <w:rPr/>
        <w:t xml:space="preserve"> </w:t>
      </w:r>
      <w:r>
        <w:rPr/>
        <w:t xml:space="preserve">A summary of parties’ comments is contained in Appendix B of this decision.  </w:t>
      </w:r>
    </w:p>
  </w:footnote>
  <w:footnote w:id="66">
    <w:p>
      <w:pPr>
        <w:pStyle w:val="FootnoteText"/>
        <w:widowControl/>
        <w:spacing w:before="0" w:after="60"/>
        <w:ind w:hanging="187" w:start="187" w:end="0"/>
        <w:rPr/>
      </w:pPr>
      <w:r>
        <w:rPr>
          <w:rStyle w:val="FootnoteCharacters"/>
        </w:rPr>
        <w:footnoteRef/>
      </w:r>
      <w:r>
        <w:rPr/>
        <w:t xml:space="preserve"> </w:t>
      </w:r>
      <w:r>
        <w:rPr/>
        <w:t xml:space="preserve">Water Code § 80112 and 80200(b).  </w:t>
      </w:r>
    </w:p>
  </w:footnote>
  <w:footnote w:id="67">
    <w:p>
      <w:pPr>
        <w:pStyle w:val="FootnoteText"/>
        <w:widowControl/>
        <w:spacing w:before="0" w:after="60"/>
        <w:ind w:hanging="187" w:start="187" w:end="0"/>
        <w:rPr/>
      </w:pPr>
      <w:r>
        <w:rPr>
          <w:rStyle w:val="FootnoteCharacters"/>
        </w:rPr>
        <w:footnoteRef/>
      </w:r>
      <w:r>
        <w:rPr/>
        <w:t xml:space="preserve"> </w:t>
      </w:r>
      <w:r>
        <w:rPr/>
        <w:t xml:space="preserve">Water Code § 80106(b).  </w:t>
      </w:r>
    </w:p>
  </w:footnote>
  <w:footnote w:id="68">
    <w:p>
      <w:pPr>
        <w:pStyle w:val="FootnoteText"/>
        <w:widowControl/>
        <w:spacing w:before="0" w:after="60"/>
        <w:ind w:hanging="187" w:start="187" w:end="0"/>
        <w:rPr/>
      </w:pPr>
      <w:r>
        <w:rPr>
          <w:rStyle w:val="FootnoteCharacters"/>
        </w:rPr>
        <w:footnoteRef/>
      </w:r>
      <w:r>
        <w:rPr/>
        <w:t xml:space="preserve"> </w:t>
      </w:r>
      <w:r>
        <w:rPr/>
        <w:t xml:space="preserve">PG&amp;E is a debtor in possession in a Chapter 11 reorganization case pending in the U. S. Bankruptcy Court.  If the Commission issues an order that has the effect of a servicing agreement, PG&amp;E has the option of seeking the Bankruptcy Court’s approval of PG&amp;E’s compliance with the Commission order.  </w:t>
      </w:r>
    </w:p>
  </w:footnote>
  <w:footnote w:id="69">
    <w:p>
      <w:pPr>
        <w:pStyle w:val="FootnoteText"/>
        <w:spacing w:before="0" w:after="60"/>
        <w:ind w:hanging="216" w:start="216" w:end="0"/>
        <w:rPr/>
      </w:pPr>
      <w:r>
        <w:rPr>
          <w:rStyle w:val="FootnoteCharacters"/>
        </w:rPr>
        <w:footnoteRef/>
      </w:r>
      <w:r>
        <w:rPr/>
        <w:t xml:space="preserve"> </w:t>
      </w:r>
      <w:r>
        <w:rPr/>
        <w:t xml:space="preserve">Water Code §§ 80106(b) and 80108.  </w:t>
      </w:r>
    </w:p>
  </w:footnote>
  <w:footnote w:id="70">
    <w:p>
      <w:pPr>
        <w:pStyle w:val="FootnoteText"/>
        <w:widowControl/>
        <w:spacing w:before="0" w:after="60"/>
        <w:ind w:hanging="187" w:start="187" w:end="0"/>
        <w:rPr/>
      </w:pPr>
      <w:r>
        <w:rPr>
          <w:rStyle w:val="FootnoteCharacters"/>
        </w:rPr>
        <w:footnoteRef/>
      </w:r>
      <w:r>
        <w:rPr/>
        <w:t xml:space="preserve"> </w:t>
      </w:r>
      <w:r>
        <w:rPr/>
        <w:t xml:space="preserve">Water Code §§ 80104 and 80106.  </w:t>
      </w:r>
    </w:p>
  </w:footnote>
  <w:footnote w:id="71">
    <w:p>
      <w:pPr>
        <w:pStyle w:val="FootnoteText"/>
        <w:widowControl/>
        <w:spacing w:before="0" w:after="60"/>
        <w:ind w:hanging="187" w:start="187" w:end="0"/>
        <w:rPr/>
      </w:pPr>
      <w:r>
        <w:rPr>
          <w:rStyle w:val="FootnoteCharacters"/>
        </w:rPr>
        <w:footnoteRef/>
      </w:r>
      <w:r>
        <w:rPr/>
        <w:t xml:space="preserve"> </w:t>
      </w:r>
      <w:r>
        <w:rPr/>
        <w:t xml:space="preserve">SB 18XX embodies a more sophisticated version of CU’s proposal.    </w:t>
      </w:r>
    </w:p>
  </w:footnote>
  <w:footnote w:id="72">
    <w:p>
      <w:pPr>
        <w:pStyle w:val="FootnoteText"/>
        <w:widowControl/>
        <w:spacing w:before="0" w:after="60"/>
        <w:ind w:hanging="187" w:start="187" w:end="0"/>
        <w:rPr/>
      </w:pPr>
      <w:r>
        <w:rPr>
          <w:rStyle w:val="FootnoteCharacters"/>
        </w:rPr>
        <w:footnoteRef/>
      </w:r>
      <w:r>
        <w:rPr/>
        <w:t xml:space="preserve"> </w:t>
      </w:r>
      <w:r>
        <w:rPr/>
        <w:t xml:space="preserve">Item (i) includes all costs incurred by DWR to purchase and deliver power.  The cost of uncollectibles is part of the costs that DWR incurs to deliver power.  </w:t>
      </w:r>
    </w:p>
  </w:footnote>
  <w:footnote w:id="73">
    <w:p>
      <w:pPr>
        <w:pStyle w:val="FootnoteText"/>
        <w:widowControl/>
        <w:spacing w:before="0" w:after="60"/>
        <w:ind w:hanging="187" w:start="187" w:end="0"/>
        <w:rPr/>
      </w:pPr>
      <w:r>
        <w:rPr>
          <w:rStyle w:val="FootnoteCharacters"/>
        </w:rPr>
        <w:footnoteRef/>
      </w:r>
      <w:r>
        <w:rPr/>
        <w:t xml:space="preserve"> </w:t>
      </w:r>
      <w:r>
        <w:rPr/>
        <w:t>The California Industrial Users is comprised of Air Liquide America Corporation; Air Products and Chemicals, Inc.; Anheuser</w:t>
        <w:noBreakHyphen/>
        <w:t>Busch Companies; BOC Gases, Inc.; Chevron USA, Inc.; General Motors Corporation; Kimberly</w:t>
        <w:noBreakHyphen/>
        <w:t xml:space="preserve">Clark Corporation; Nabisco, Inc.; Praxair, Inc. and Steelcase, Inc. </w:t>
      </w:r>
    </w:p>
  </w:footnote>
  <w:footnote w:id="74">
    <w:p>
      <w:pPr>
        <w:pStyle w:val="FootnoteText"/>
        <w:widowControl/>
        <w:spacing w:before="0" w:after="60"/>
        <w:ind w:hanging="187" w:start="187" w:end="0"/>
        <w:rPr/>
      </w:pPr>
      <w:r>
        <w:rPr>
          <w:rStyle w:val="FootnoteCharacters"/>
        </w:rPr>
        <w:footnoteRef/>
      </w:r>
      <w:r>
        <w:rPr/>
        <w:t xml:space="preserve"> </w:t>
      </w:r>
      <w:r>
        <w:rPr/>
        <w:t xml:space="preserve">We do not address in this decision CU’s proposal to separately identify on ratepayers bills each of the items that may be passed on to ratepayers.  This matter is addressed in our companion decisions issued in this docket regarding the adoption of the serving agreements.  </w:t>
      </w:r>
    </w:p>
  </w:footnote>
  <w:footnote w:id="75">
    <w:p>
      <w:pPr>
        <w:pStyle w:val="FootnoteText"/>
        <w:widowControl/>
        <w:spacing w:before="0" w:after="60"/>
        <w:ind w:hanging="187" w:start="187" w:end="0"/>
        <w:rPr/>
      </w:pPr>
      <w:r>
        <w:rPr>
          <w:rStyle w:val="FootnoteCharacters"/>
        </w:rPr>
        <w:footnoteRef/>
      </w:r>
      <w:r>
        <w:rPr/>
        <w:t xml:space="preserve"> </w:t>
      </w:r>
      <w:r>
        <w:rPr/>
        <w:t xml:space="preserve">We note that each of the servicing agreements adopted by the Commission in companion decisions issued in this docket contain provisions that specify the utility’s and DWR’s responsibilities for collecting and remitting franchise fees.  </w:t>
      </w:r>
    </w:p>
  </w:footnote>
  <w:footnote w:id="76">
    <w:p>
      <w:pPr>
        <w:pStyle w:val="FootnoteText"/>
        <w:widowControl/>
        <w:spacing w:before="0" w:after="60"/>
        <w:ind w:hanging="187" w:start="187" w:end="0"/>
        <w:rPr/>
      </w:pPr>
      <w:r>
        <w:rPr>
          <w:rStyle w:val="FootnoteCharacters"/>
        </w:rPr>
        <w:footnoteRef/>
      </w:r>
      <w:r>
        <w:rPr/>
        <w:t xml:space="preserve"> </w:t>
      </w:r>
      <w:r>
        <w:rPr/>
        <w:t>Pub. Util. Code § 454(a) states, in relevant part, that “[e]xcept as provided in Section 455, no public utility shall change any rate . . . except upon a showing before the commission and a finding by the commission that the new rate is justified.”</w:t>
      </w:r>
    </w:p>
  </w:footnote>
  <w:footnote w:id="77">
    <w:p>
      <w:pPr>
        <w:pStyle w:val="FootnoteText"/>
        <w:widowControl/>
        <w:spacing w:before="0" w:after="60"/>
        <w:ind w:hanging="187" w:start="187" w:end="0"/>
        <w:rPr/>
      </w:pPr>
      <w:r>
        <w:rPr>
          <w:rStyle w:val="FootnoteCharacters"/>
        </w:rPr>
        <w:footnoteRef/>
      </w:r>
      <w:r>
        <w:rPr/>
        <w:t xml:space="preserve"> </w:t>
      </w:r>
      <w:r>
        <w:rPr/>
        <w:t>The Rate Agreement in Section 7.2 defines the “residual net-short load” as the portion of the net-short load not provided by DWR</w:t>
      </w:r>
      <w:r>
        <w:rPr>
          <w:rFonts w:cs="Times New Roman" w:ascii="Times New Roman" w:hAnsi="Times New Roman"/>
        </w:rPr>
        <w:t>’</w:t>
      </w:r>
      <w:r>
        <w:rPr/>
        <w:t xml:space="preserve">s Power Purchase Contracts in effect as of the Transition Date. </w:t>
      </w:r>
    </w:p>
  </w:footnote>
  <w:footnote w:id="78">
    <w:p>
      <w:pPr>
        <w:pStyle w:val="FootnoteText"/>
        <w:widowControl/>
        <w:spacing w:before="0" w:after="60"/>
        <w:ind w:hanging="187" w:start="187" w:end="0"/>
        <w:rPr/>
      </w:pPr>
      <w:r>
        <w:rPr>
          <w:rStyle w:val="FootnoteCharacters"/>
        </w:rPr>
        <w:footnoteRef/>
      </w:r>
      <w:r>
        <w:rPr/>
        <w:t xml:space="preserve"> </w:t>
      </w:r>
      <w:r>
        <w:rPr/>
        <w:t xml:space="preserve">DWR states that full descriptions of the financing documents will be available upon distribution by DWR of a Preliminary Official Statement relating to the Bonds.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A.00-11-038 et al.  ALJ/TIM/tcg  </w:t>
      <w:tab/>
      <w:tab/>
    </w:r>
    <w:r>
      <w:rPr>
        <w:b/>
        <w:bCs/>
        <w:sz w:val="32"/>
      </w:rPr>
      <w:t>Draft</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 w:hAnsi="" w:cs="" w:hint="default"/>
        <w:sz w:val="24"/>
      </w:rPr>
    </w:lvl>
  </w:abstractNum>
  <w:abstractNum w:abstractNumId="3">
    <w:lvl w:ilvl="0">
      <w:start w:val="1"/>
      <w:numFmt w:val="decimal"/>
      <w:lvlText w:val="%1."/>
      <w:lvlJc w:val="start"/>
      <w:pPr>
        <w:tabs>
          <w:tab w:val="num" w:pos="720"/>
        </w:tabs>
        <w:ind w:start="0" w:firstLine="288"/>
      </w:pPr>
      <w:rPr>
        <w:sz w:val="26"/>
        <w:i w:val="false"/>
        <w:b w:val="false"/>
        <w:rFonts w:ascii="Palatino;Book Antiqua" w:hAnsi="Palatino;Book Antiqua" w:cs="Palatino;Book Antiqua"/>
      </w:rPr>
    </w:lvl>
  </w:abstractNum>
  <w:abstractNum w:abstractNumId="4">
    <w:lvl w:ilvl="0">
      <w:start w:val="1"/>
      <w:numFmt w:val="lowerRoman"/>
      <w:lvlText w:val="(%1)"/>
      <w:lvlJc w:val="start"/>
      <w:pPr>
        <w:tabs>
          <w:tab w:val="num" w:pos="2160"/>
        </w:tabs>
        <w:ind w:start="0" w:firstLine="1440"/>
      </w:pPr>
    </w:lvl>
  </w:abstractNum>
  <w:abstractNum w:abstractNumId="5">
    <w:lvl w:ilvl="0">
      <w:start w:val="1"/>
      <w:numFmt w:val="upperRoman"/>
      <w:lvlText w:val="%1."/>
      <w:lvlJc w:val="start"/>
      <w:pPr>
        <w:tabs>
          <w:tab w:val="num" w:pos="360"/>
        </w:tabs>
        <w:ind w:start="0" w:hanging="0"/>
      </w:pPr>
    </w:lvl>
    <w:lvl w:ilvl="1">
      <w:start w:val="1"/>
      <w:numFmt w:val="upperLetter"/>
      <w:lvlText w:val="%2."/>
      <w:lvlJc w:val="start"/>
      <w:pPr>
        <w:tabs>
          <w:tab w:val="num" w:pos="1080"/>
        </w:tabs>
        <w:ind w:start="720" w:hanging="0"/>
      </w:pPr>
    </w:lvl>
    <w:lvl w:ilvl="2">
      <w:start w:val="1"/>
      <w:numFmt w:val="decimal"/>
      <w:lvlText w:val="%3."/>
      <w:lvlJc w:val="start"/>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upperLetter"/>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6"/>
      <w:numFmt w:val="lowerRoman"/>
      <w:lvlText w:val="(%1)"/>
      <w:lvlJc w:val="start"/>
      <w:pPr>
        <w:tabs>
          <w:tab w:val="num" w:pos="1440"/>
        </w:tabs>
        <w:ind w:start="1440" w:hanging="720"/>
      </w:pPr>
      <w:rPr/>
    </w:lvl>
  </w:abstractNum>
  <w:abstractNum w:abstractNumId="8">
    <w:lvl w:ilvl="0">
      <w:start w:val="1"/>
      <w:numFmt w:val="bullet"/>
      <w:lvlText w:val=""/>
      <w:lvlJc w:val="start"/>
      <w:pPr>
        <w:tabs>
          <w:tab w:val="num" w:pos="1080"/>
        </w:tabs>
        <w:ind w:start="1080" w:hanging="360"/>
      </w:pPr>
      <w:rPr>
        <w:rFonts w:ascii="Wingdings" w:hAnsi="Wingdings" w:cs="Wingdings" w:hint="default"/>
      </w:rPr>
    </w:lvl>
  </w:abstractNum>
  <w:abstractNum w:abstractNumId="9">
    <w:lvl w:ilvl="0">
      <w:start w:val="1"/>
      <w:numFmt w:val="decimal"/>
      <w:lvlText w:val="%1."/>
      <w:lvlJc w:val="start"/>
      <w:pPr>
        <w:tabs>
          <w:tab w:val="num" w:pos="720"/>
        </w:tabs>
        <w:ind w:start="0" w:firstLine="288"/>
      </w:pPr>
      <w:rPr>
        <w:sz w:val="26"/>
        <w:i w:val="false"/>
        <w:b w:val="false"/>
        <w:rFonts w:ascii="Palatino;Book Antiqua" w:hAnsi="Palatino;Book Antiqua" w:cs="Palatino;Book Antiqua"/>
      </w:rPr>
    </w:lvl>
  </w:abstractNum>
  <w:abstractNum w:abstractNumId="10">
    <w:lvl w:ilvl="0">
      <w:start w:val="1"/>
      <w:numFmt w:val="decimal"/>
      <w:lvlText w:val="%1."/>
      <w:lvlJc w:val="start"/>
      <w:pPr>
        <w:tabs>
          <w:tab w:val="num" w:pos="720"/>
        </w:tabs>
        <w:ind w:start="0" w:firstLine="288"/>
      </w:pPr>
      <w:rPr>
        <w:sz w:val="26"/>
        <w:i w:val="false"/>
        <w:b w:val="false"/>
        <w:rFonts w:ascii="Palatino;Book Antiqua" w:hAnsi="Palatino;Book Antiqua" w:cs="Palatino;Book Antiqu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keepLines/>
      <w:numPr>
        <w:ilvl w:val="0"/>
        <w:numId w:val="5"/>
      </w:numPr>
      <w:tabs>
        <w:tab w:val="clear" w:pos="720"/>
        <w:tab w:val="left" w:pos="540" w:leader="none"/>
      </w:tabs>
      <w:spacing w:before="120" w:after="120"/>
      <w:ind w:hanging="0" w:start="0" w:end="1440"/>
      <w:outlineLvl w:val="0"/>
    </w:pPr>
    <w:rPr>
      <w:rFonts w:ascii="Helvetica;Arial" w:hAnsi="Helvetica;Arial" w:cs="Helvetica;Arial"/>
      <w:b/>
      <w:kern w:val="2"/>
      <w:sz w:val="26"/>
    </w:rPr>
  </w:style>
  <w:style w:type="paragraph" w:styleId="Heading2">
    <w:name w:val="heading 2"/>
    <w:basedOn w:val="Normal"/>
    <w:next w:val="Normal"/>
    <w:qFormat/>
    <w:pPr>
      <w:keepNext w:val="true"/>
      <w:keepLines/>
      <w:widowControl/>
      <w:numPr>
        <w:ilvl w:val="0"/>
        <w:numId w:val="5"/>
      </w:numPr>
      <w:spacing w:before="120" w:after="120"/>
      <w:ind w:hanging="360" w:start="1080" w:end="1260"/>
      <w:outlineLvl w:val="1"/>
    </w:pPr>
    <w:rPr>
      <w:rFonts w:ascii="Helvetica;Arial" w:hAnsi="Helvetica;Arial" w:cs="Helvetica;Arial"/>
      <w:b/>
      <w:sz w:val="26"/>
    </w:rPr>
  </w:style>
  <w:style w:type="paragraph" w:styleId="Heading3">
    <w:name w:val="heading 3"/>
    <w:basedOn w:val="Normal"/>
    <w:next w:val="Normal"/>
    <w:qFormat/>
    <w:pPr>
      <w:keepNext w:val="true"/>
      <w:keepLines/>
      <w:widowControl/>
      <w:numPr>
        <w:ilvl w:val="0"/>
        <w:numId w:val="5"/>
      </w:numPr>
      <w:spacing w:before="0" w:after="120"/>
      <w:ind w:hanging="360" w:start="1800" w:end="1526"/>
      <w:outlineLvl w:val="2"/>
    </w:pPr>
    <w:rPr>
      <w:rFonts w:ascii="Helvetica;Arial" w:hAnsi="Helvetica;Arial" w:cs="Helvetica;Arial"/>
      <w:b/>
      <w:sz w:val="26"/>
    </w:rPr>
  </w:style>
  <w:style w:type="paragraph" w:styleId="Heading4">
    <w:name w:val="heading 4"/>
    <w:basedOn w:val="Normal"/>
    <w:next w:val="Normal"/>
    <w:qFormat/>
    <w:pPr>
      <w:keepNext w:val="true"/>
      <w:numPr>
        <w:ilvl w:val="0"/>
        <w:numId w:val="5"/>
      </w:numPr>
      <w:tabs>
        <w:tab w:val="clear" w:pos="720"/>
        <w:tab w:val="left" w:pos="1080" w:leader="none"/>
      </w:tabs>
      <w:spacing w:before="120" w:after="120"/>
      <w:ind w:hanging="0" w:start="0" w:end="2160"/>
      <w:outlineLvl w:val="3"/>
    </w:pPr>
    <w:rPr>
      <w:rFonts w:ascii="Helvetica;Arial" w:hAnsi="Helvetica;Arial" w:cs="Helvetica;Arial"/>
      <w:b/>
      <w:sz w:val="26"/>
    </w:rPr>
  </w:style>
  <w:style w:type="paragraph" w:styleId="Heading5">
    <w:name w:val="heading 5"/>
    <w:basedOn w:val="Normal"/>
    <w:next w:val="Normal"/>
    <w:qFormat/>
    <w:pPr>
      <w:numPr>
        <w:ilvl w:val="0"/>
        <w:numId w:val="5"/>
      </w:numPr>
      <w:tabs>
        <w:tab w:val="clear" w:pos="720"/>
        <w:tab w:val="left" w:pos="1620" w:leader="none"/>
      </w:tabs>
      <w:spacing w:before="120" w:after="120"/>
      <w:ind w:hanging="0" w:start="0" w:end="720"/>
      <w:outlineLvl w:val="4"/>
    </w:pPr>
    <w:rPr>
      <w:rFonts w:ascii="Helvetica;Arial" w:hAnsi="Helvetica;Arial" w:cs="Helvetica;Arial"/>
      <w:b/>
      <w:sz w:val="26"/>
    </w:rPr>
  </w:style>
  <w:style w:type="paragraph" w:styleId="Heading6">
    <w:name w:val="heading 6"/>
    <w:basedOn w:val="Normal"/>
    <w:next w:val="Normal"/>
    <w:qFormat/>
    <w:pPr>
      <w:numPr>
        <w:ilvl w:val="0"/>
        <w:numId w:val="5"/>
      </w:numPr>
      <w:tabs>
        <w:tab w:val="clear" w:pos="720"/>
        <w:tab w:val="left" w:pos="1260" w:leader="none"/>
        <w:tab w:val="left" w:pos="2700" w:leader="none"/>
      </w:tabs>
      <w:spacing w:before="120" w:after="120"/>
      <w:ind w:hanging="0" w:start="0" w:end="1440"/>
      <w:outlineLvl w:val="5"/>
    </w:pPr>
    <w:rPr>
      <w:rFonts w:ascii="Helvetica;Arial" w:hAnsi="Helvetica;Arial" w:cs="Helvetica;Arial"/>
      <w:b/>
      <w:sz w:val="24"/>
    </w:rPr>
  </w:style>
  <w:style w:type="paragraph" w:styleId="Heading7">
    <w:name w:val="heading 7"/>
    <w:basedOn w:val="Normal"/>
    <w:next w:val="Normal"/>
    <w:qFormat/>
    <w:pPr>
      <w:numPr>
        <w:ilvl w:val="0"/>
        <w:numId w:val="5"/>
      </w:numPr>
      <w:tabs>
        <w:tab w:val="clear" w:pos="720"/>
        <w:tab w:val="left" w:pos="3060" w:leader="none"/>
      </w:tabs>
      <w:spacing w:before="120" w:after="120"/>
      <w:ind w:hanging="0" w:start="0" w:end="1440"/>
      <w:outlineLvl w:val="6"/>
    </w:pPr>
    <w:rPr>
      <w:rFonts w:ascii="Helvetica;Arial" w:hAnsi="Helvetica;Arial" w:cs="Helvetica;Arial"/>
      <w:b/>
      <w:i/>
      <w:sz w:val="22"/>
    </w:rPr>
  </w:style>
  <w:style w:type="paragraph" w:styleId="Heading8">
    <w:name w:val="heading 8"/>
    <w:basedOn w:val="Normal"/>
    <w:next w:val="Normal"/>
    <w:qFormat/>
    <w:pPr>
      <w:numPr>
        <w:ilvl w:val="0"/>
        <w:numId w:val="5"/>
      </w:numPr>
      <w:tabs>
        <w:tab w:val="clear" w:pos="720"/>
        <w:tab w:val="left" w:pos="3420" w:leader="none"/>
      </w:tabs>
      <w:spacing w:before="120" w:after="120"/>
      <w:ind w:hanging="0" w:start="0" w:end="1440"/>
      <w:outlineLvl w:val="7"/>
    </w:pPr>
    <w:rPr>
      <w:rFonts w:ascii="Helvetica;Arial" w:hAnsi="Helvetica;Arial" w:cs="Helvetica;Arial"/>
      <w:b/>
      <w:i/>
    </w:rPr>
  </w:style>
  <w:style w:type="paragraph" w:styleId="Heading9">
    <w:name w:val="heading 9"/>
    <w:basedOn w:val="Normal"/>
    <w:next w:val="Normal"/>
    <w:qFormat/>
    <w:pPr>
      <w:numPr>
        <w:ilvl w:val="0"/>
        <w:numId w:val="5"/>
      </w:numPr>
      <w:tabs>
        <w:tab w:val="clear" w:pos="720"/>
        <w:tab w:val="left" w:pos="3780" w:leader="none"/>
      </w:tabs>
      <w:spacing w:before="120" w:after="120"/>
      <w:ind w:hanging="0" w:start="0" w:end="144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4"/>
      <w:u w:val="none"/>
    </w:rPr>
  </w:style>
  <w:style w:type="character" w:styleId="WW8Num22z0">
    <w:name w:val="WW8Num22z0"/>
    <w:qFormat/>
    <w:rPr>
      <w:rFonts w:ascii="Palatino;Book Antiqua" w:hAnsi="Palatino;Book Antiqua" w:cs="Palatino;Book Antiqua"/>
      <w:b w:val="false"/>
      <w:i w:val="false"/>
      <w:sz w:val="26"/>
      <w:u w:val="none"/>
    </w:rPr>
  </w:style>
  <w:style w:type="character" w:styleId="WW8Num23z0">
    <w:name w:val="WW8Num23z0"/>
    <w:qFormat/>
    <w:rPr>
      <w:rFonts w:ascii=";Times New Roman" w:hAnsi=";Times New Roman" w:cs=";Times New Roman"/>
      <w:sz w:val="24"/>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Palatino;Book Antiqua" w:hAnsi="Palatino;Book Antiqua" w:cs="Palatino;Book Antiqua"/>
      <w:b w:val="false"/>
      <w:i w:val="false"/>
      <w:sz w:val="26"/>
    </w:rPr>
  </w:style>
  <w:style w:type="character" w:styleId="WW8Num29z0">
    <w:name w:val="WW8Num29z0"/>
    <w:qFormat/>
    <w:rPr>
      <w:rFonts w:ascii="Times New Roman" w:hAnsi="Times New Roman" w:cs="Times New Roman"/>
      <w:b w:val="false"/>
      <w:i w:val="false"/>
      <w:sz w:val="24"/>
      <w:u w:val="none"/>
    </w:rPr>
  </w:style>
  <w:style w:type="character" w:styleId="WW8Num30z0">
    <w:name w:val="WW8Num30z0"/>
    <w:qFormat/>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8z0">
    <w:name w:val="WW8Num38z0"/>
    <w:qFormat/>
    <w:rPr>
      <w:rFonts w:ascii="Times New Roman" w:hAnsi="Times New Roman" w:cs="Times New Roman"/>
    </w:rPr>
  </w:style>
  <w:style w:type="character" w:styleId="WW8Num39z0">
    <w:name w:val="WW8Num39z0"/>
    <w:qFormat/>
    <w:rPr/>
  </w:style>
  <w:style w:type="character" w:styleId="WW8Num43z0">
    <w:name w:val="WW8Num43z0"/>
    <w:qFormat/>
    <w:rPr>
      <w:rFonts w:ascii="Palatino;Book Antiqua" w:hAnsi="Palatino;Book Antiqua" w:cs="Palatino;Book Antiqua"/>
      <w:b w:val="false"/>
      <w:i w:val="false"/>
      <w:sz w:val="24"/>
      <w:u w:val="none"/>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rFonts w:ascii="Palatino;Book Antiqua" w:hAnsi="Palatino;Book Antiqua" w:cs="Palatino;Book Antiqua"/>
      <w:b w:val="false"/>
      <w:i w:val="false"/>
      <w:sz w:val="24"/>
      <w:u w:val="none"/>
    </w:rPr>
  </w:style>
  <w:style w:type="character" w:styleId="WW8Num51z0">
    <w:name w:val="WW8Num51z0"/>
    <w:qFormat/>
    <w:rPr>
      <w:rFonts w:ascii="Palatino;Book Antiqua" w:hAnsi="Palatino;Book Antiqua" w:cs="Palatino;Book Antiqua"/>
      <w:b w:val="false"/>
      <w:i w:val="false"/>
      <w:sz w:val="24"/>
      <w:u w:val="none"/>
    </w:rPr>
  </w:style>
  <w:style w:type="character" w:styleId="WW8Num53z0">
    <w:name w:val="WW8Num53z0"/>
    <w:qFormat/>
    <w:rPr/>
  </w:style>
  <w:style w:type="character" w:styleId="WW8Num54z0">
    <w:name w:val="WW8Num54z0"/>
    <w:qFormat/>
    <w:rPr/>
  </w:style>
  <w:style w:type="character" w:styleId="WW8Num57z0">
    <w:name w:val="WW8Num57z0"/>
    <w:qFormat/>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2z0">
    <w:name w:val="WW8Num62z0"/>
    <w:qFormat/>
    <w:rPr>
      <w:caps/>
      <w:u w:val="none"/>
    </w:rPr>
  </w:style>
  <w:style w:type="character" w:styleId="WW8Num62z1">
    <w:name w:val="WW8Num62z1"/>
    <w:qFormat/>
    <w:rPr>
      <w:u w:val="none"/>
    </w:rPr>
  </w:style>
  <w:style w:type="character" w:styleId="WW8Num69z0">
    <w:name w:val="WW8Num69z0"/>
    <w:qFormat/>
    <w:rPr/>
  </w:style>
  <w:style w:type="character" w:styleId="WW8Num71z0">
    <w:name w:val="WW8Num71z0"/>
    <w:qFormat/>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6z0">
    <w:name w:val="WW8Num76z0"/>
    <w:qFormat/>
    <w:rPr>
      <w:rFonts w:ascii="Wingdings" w:hAnsi="Wingdings" w:cs="Wingdings"/>
    </w:rPr>
  </w:style>
  <w:style w:type="character" w:styleId="WW8NumSt203z0">
    <w:name w:val="WW8NumSt203z0"/>
    <w:qFormat/>
    <w:rPr>
      <w:caps/>
      <w:u w:val="none"/>
    </w:rPr>
  </w:style>
  <w:style w:type="character" w:styleId="WW8NumSt203z1">
    <w:name w:val="WW8NumSt203z1"/>
    <w:qFormat/>
    <w:rPr>
      <w:u w:val="none"/>
    </w:rPr>
  </w:style>
  <w:style w:type="character" w:styleId="WW8NumSt204z0">
    <w:name w:val="WW8NumSt204z0"/>
    <w:qFormat/>
    <w:rPr>
      <w:caps/>
      <w:u w:val="none"/>
    </w:rPr>
  </w:style>
  <w:style w:type="character" w:styleId="WW8NumSt204z1">
    <w:name w:val="WW8NumSt204z1"/>
    <w:qFormat/>
    <w:rPr>
      <w:u w:val="none"/>
    </w:rPr>
  </w:style>
  <w:style w:type="character" w:styleId="WW8NumSt205z0">
    <w:name w:val="WW8NumSt205z0"/>
    <w:qFormat/>
    <w:rPr>
      <w:caps/>
      <w:u w:val="none"/>
    </w:rPr>
  </w:style>
  <w:style w:type="character" w:styleId="WW8NumSt205z1">
    <w:name w:val="WW8NumSt205z1"/>
    <w:qFormat/>
    <w:rPr>
      <w:u w:val="none"/>
    </w:rPr>
  </w:style>
  <w:style w:type="character" w:styleId="WW8NumSt206z0">
    <w:name w:val="WW8NumSt206z0"/>
    <w:qFormat/>
    <w:rPr>
      <w:caps/>
      <w:u w:val="none"/>
    </w:rPr>
  </w:style>
  <w:style w:type="character" w:styleId="WW8NumSt206z1">
    <w:name w:val="WW8NumSt206z1"/>
    <w:qFormat/>
    <w:rPr>
      <w:u w:val="none"/>
    </w:rPr>
  </w:style>
  <w:style w:type="character" w:styleId="WW8NumSt207z0">
    <w:name w:val="WW8NumSt207z0"/>
    <w:qFormat/>
    <w:rPr>
      <w:caps/>
      <w:u w:val="none"/>
    </w:rPr>
  </w:style>
  <w:style w:type="character" w:styleId="WW8NumSt207z1">
    <w:name w:val="WW8NumSt207z1"/>
    <w:qFormat/>
    <w:rPr>
      <w:u w:val="none"/>
    </w:rPr>
  </w:style>
  <w:style w:type="character" w:styleId="WW8NumSt209z0">
    <w:name w:val="WW8NumSt209z0"/>
    <w:qFormat/>
    <w:rPr>
      <w:caps/>
      <w:u w:val="none"/>
    </w:rPr>
  </w:style>
  <w:style w:type="character" w:styleId="WW8NumSt209z1">
    <w:name w:val="WW8NumSt209z1"/>
    <w:qFormat/>
    <w:rPr>
      <w:u w:val="none"/>
    </w:rPr>
  </w:style>
  <w:style w:type="character" w:styleId="WW8NumSt210z0">
    <w:name w:val="WW8NumSt210z0"/>
    <w:qFormat/>
    <w:rPr>
      <w:caps/>
      <w:u w:val="none"/>
    </w:rPr>
  </w:style>
  <w:style w:type="character" w:styleId="WW8NumSt210z1">
    <w:name w:val="WW8NumSt210z1"/>
    <w:qFormat/>
    <w:rPr>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rFonts w:ascii="Palatino;Book Antiqua" w:hAnsi="Palatino;Book Antiqua" w:cs="Palatino;Book Antiqua"/>
      <w:sz w:val="24"/>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term1">
    <w:name w:val="term1"/>
    <w:basedOn w:val="DefaultParagraphFont"/>
    <w:qFormat/>
    <w:rPr>
      <w:b/>
      <w:bCs/>
    </w:rPr>
  </w:style>
  <w:style w:type="character" w:styleId="pmterms11">
    <w:name w:val="pmterms11"/>
    <w:basedOn w:val="DefaultParagraphFont"/>
    <w:qFormat/>
    <w:rPr>
      <w:b/>
      <w:bCs/>
      <w:i w:val="false"/>
      <w:iCs w:val="false"/>
      <w:color w:val="000000"/>
    </w:rPr>
  </w:style>
  <w:style w:type="character" w:styleId="DeltaViewInsertion">
    <w:name w:val="DeltaView Insertion"/>
    <w:qFormat/>
    <w:rPr>
      <w:b/>
      <w:color w:val="0000FF"/>
      <w:spacing w:val="0"/>
      <w:u w:val="doub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spacing w:before="240" w:after="60"/>
      <w:jc w:val="center"/>
      <w:outlineLvl w:val="0"/>
    </w:pPr>
    <w:rPr>
      <w:kern w:val="2"/>
      <w:sz w:val="24"/>
    </w:rPr>
  </w:style>
  <w:style w:type="paragraph" w:styleId="BodyText">
    <w:name w:val="Body Text"/>
    <w:basedOn w:val="Normal"/>
    <w:pPr>
      <w:widowControl/>
      <w:spacing w:lineRule="auto" w:line="360" w:before="240" w:after="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widowControl/>
      <w:spacing w:lineRule="auto" w:line="360"/>
      <w:ind w:firstLine="720" w:start="0" w:end="0"/>
    </w:pPr>
    <w:rPr>
      <w:rFonts w:ascii="Palatino;Book Antiqua" w:hAnsi="Palatino;Book Antiqua" w:cs="Palatino;Book Antiqua"/>
      <w:sz w:val="26"/>
      <w:szCs w:val="24"/>
    </w:rPr>
  </w:style>
  <w:style w:type="paragraph" w:styleId="FootnoteText">
    <w:name w:val="footnote text"/>
    <w:basedOn w:val="Normal"/>
    <w:pPr>
      <w:widowControl/>
      <w:spacing w:before="0" w:after="60"/>
      <w:ind w:hanging="187" w:start="187" w:end="0"/>
    </w:pPr>
    <w:rPr>
      <w:rFonts w:ascii="Palatino;Book Antiqua" w:hAnsi="Palatino;Book Antiqua" w:cs="Palatino;Book Antiqua"/>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widowControl/>
      <w:numPr>
        <w:ilvl w:val="0"/>
        <w:numId w:val="3"/>
      </w:numPr>
      <w:tabs>
        <w:tab w:val="clear" w:pos="720"/>
        <w:tab w:val="left" w:pos="-720" w:leader="none"/>
      </w:tabs>
      <w:suppressAutoHyphens w:val="true"/>
      <w:spacing w:lineRule="auto" w:line="360"/>
    </w:pPr>
    <w:rPr>
      <w:rFonts w:ascii="Palatino;Book Antiqua" w:hAnsi="Palatino;Book Antiqua" w:cs="Palatino;Book Antiqua"/>
      <w:sz w:val="26"/>
    </w:rPr>
  </w:style>
  <w:style w:type="paragraph" w:styleId="quote">
    <w:name w:val="quote"/>
    <w:basedOn w:val="standard"/>
    <w:next w:val="standard"/>
    <w:qFormat/>
    <w:pPr>
      <w:spacing w:lineRule="auto" w:line="240" w:before="120" w:after="240"/>
      <w:ind w:hanging="0" w:start="720" w:end="1260"/>
    </w:pPr>
    <w:rPr/>
  </w:style>
  <w:style w:type="paragraph" w:styleId="Pleading">
    <w:name w:val="Pleading"/>
    <w:basedOn w:val="Normal"/>
    <w:qFormat/>
    <w:pPr>
      <w:spacing w:lineRule="auto" w:line="480"/>
      <w:ind w:firstLine="720" w:start="0" w:end="0"/>
    </w:pPr>
    <w:rPr>
      <w:sz w:val="24"/>
    </w:rPr>
  </w:style>
  <w:style w:type="paragraph" w:styleId="sub1">
    <w:name w:val="sub1"/>
    <w:basedOn w:val="Normal"/>
    <w:qFormat/>
    <w:pPr>
      <w:spacing w:lineRule="auto" w:line="360"/>
      <w:ind w:firstLine="1080" w:start="0" w:end="0"/>
    </w:pPr>
    <w:rPr>
      <w:rFonts w:ascii="Palatino;Book Antiqua" w:hAnsi="Palatino;Book Antiqua" w:cs="Palatino;Book Antiqua"/>
      <w:sz w:val="26"/>
    </w:rPr>
  </w:style>
  <w:style w:type="paragraph" w:styleId="main">
    <w:name w:val="main"/>
    <w:basedOn w:val="Normal"/>
    <w:qFormat/>
    <w:pPr>
      <w:jc w:val="center"/>
    </w:pPr>
    <w:rPr>
      <w:rFonts w:ascii="Helvetica;Arial" w:hAnsi="Helvetica;Arial" w:cs="Helvetica;Arial"/>
      <w:b/>
      <w:sz w:val="26"/>
    </w:rPr>
  </w:style>
  <w:style w:type="paragraph" w:styleId="Header">
    <w:name w:val="header"/>
    <w:basedOn w:val="Normal"/>
    <w:pPr>
      <w:tabs>
        <w:tab w:val="clear" w:pos="720"/>
        <w:tab w:val="center" w:pos="4320" w:leader="none"/>
        <w:tab w:val="right" w:pos="9360" w:leader="none"/>
      </w:tabs>
    </w:pPr>
    <w:rPr>
      <w:rFonts w:ascii="Palatino;Book Antiqua" w:hAnsi="Palatino;Book Antiqua" w:cs="Palatino;Book Antiqua"/>
      <w:sz w:val="26"/>
    </w:rPr>
  </w:style>
  <w:style w:type="paragraph" w:styleId="titlebar">
    <w:name w:val="title bar"/>
    <w:basedOn w:val="main"/>
    <w:qFormat/>
    <w:pPr>
      <w:keepNext w:val="true"/>
      <w:suppressAutoHyphens w:val="true"/>
    </w:pPr>
    <w:rPr/>
  </w:style>
  <w:style w:type="paragraph" w:styleId="sub4">
    <w:name w:val="sub4"/>
    <w:basedOn w:val="Normal"/>
    <w:qFormat/>
    <w:pPr>
      <w:spacing w:lineRule="auto" w:line="360"/>
      <w:ind w:firstLine="2250" w:start="0" w:end="0"/>
    </w:pPr>
    <w:rPr>
      <w:rFonts w:ascii="Palatino;Book Antiqua" w:hAnsi="Palatino;Book Antiqua" w:cs="Palatino;Book Antiqua"/>
      <w:sz w:val="26"/>
    </w:rPr>
  </w:style>
  <w:style w:type="paragraph" w:styleId="num2">
    <w:name w:val="num2"/>
    <w:basedOn w:val="num1"/>
    <w:qFormat/>
    <w:pPr>
      <w:tabs>
        <w:tab w:val="left" w:pos="-720" w:leader="none"/>
        <w:tab w:val="left" w:pos="720" w:leader="none"/>
      </w:tabs>
    </w:pPr>
    <w:rPr/>
  </w:style>
  <w:style w:type="paragraph" w:styleId="dummy">
    <w:name w:val="dummy"/>
    <w:basedOn w:val="Heading1"/>
    <w:qFormat/>
    <w:pPr>
      <w:numPr>
        <w:ilvl w:val="0"/>
        <w:numId w:val="5"/>
      </w:numPr>
      <w:ind w:hanging="0" w:start="0" w:end="1440"/>
      <w:outlineLvl w:val="9"/>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left" w:pos="600" w:leader="none"/>
        <w:tab w:val="left" w:pos="990" w:leader="none"/>
        <w:tab w:val="right" w:pos="9000" w:leader="dot"/>
      </w:tabs>
      <w:ind w:hanging="630" w:start="630" w:end="0"/>
    </w:pPr>
    <w:rPr>
      <w:rFonts w:ascii="Palatino;Book Antiqua" w:hAnsi="Palatino;Book Antiqua" w:cs="Palatino;Book Antiqua"/>
      <w:sz w:val="26"/>
      <w:lang w:val="en-CA" w:eastAsia="en-CA"/>
    </w:rPr>
  </w:style>
  <w:style w:type="paragraph" w:styleId="TOC2">
    <w:name w:val="toc 2"/>
    <w:basedOn w:val="Normal"/>
    <w:next w:val="Normal"/>
    <w:pPr>
      <w:tabs>
        <w:tab w:val="clear" w:pos="720"/>
        <w:tab w:val="left" w:pos="1000" w:leader="none"/>
        <w:tab w:val="right" w:pos="9000" w:leader="dot"/>
      </w:tabs>
      <w:ind w:hanging="360" w:start="990" w:end="0"/>
    </w:pPr>
    <w:rPr>
      <w:rFonts w:ascii="Palatino;Book Antiqua" w:hAnsi="Palatino;Book Antiqua" w:cs="Palatino;Book Antiqua"/>
      <w:sz w:val="26"/>
      <w:lang w:val="en-CA" w:eastAsia="en-CA"/>
    </w:rPr>
  </w:style>
  <w:style w:type="paragraph" w:styleId="TOC3">
    <w:name w:val="toc 3"/>
    <w:basedOn w:val="Normal"/>
    <w:next w:val="Normal"/>
    <w:pPr>
      <w:tabs>
        <w:tab w:val="clear" w:pos="720"/>
        <w:tab w:val="left" w:pos="1260" w:leader="none"/>
        <w:tab w:val="right" w:pos="8630" w:leader="none"/>
      </w:tabs>
      <w:ind w:hanging="270" w:start="1260" w:end="0"/>
    </w:pPr>
    <w:rPr>
      <w:rFonts w:ascii="Palatino;Book Antiqua" w:hAnsi="Palatino;Book Antiqua" w:cs="Palatino;Book Antiqua"/>
      <w:sz w:val="24"/>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2">
    <w:name w:val="Body Text 2"/>
    <w:basedOn w:val="Normal"/>
    <w:qFormat/>
    <w:pPr>
      <w:widowControl/>
      <w:autoSpaceDE w:val="false"/>
    </w:pPr>
    <w:rPr>
      <w:rFonts w:ascii="Palatino;Book Antiqua" w:hAnsi="Palatino;Book Antiqua" w:cs="Palatino;Book Antiqua"/>
      <w:color w:val="000000"/>
      <w:sz w:val="26"/>
      <w:szCs w:val="24"/>
    </w:rPr>
  </w:style>
  <w:style w:type="paragraph" w:styleId="BodyText3">
    <w:name w:val="Body Text 3"/>
    <w:basedOn w:val="Normal"/>
    <w:qFormat/>
    <w:pPr>
      <w:widowControl/>
      <w:autoSpaceDE w:val="false"/>
    </w:pPr>
    <w:rPr>
      <w:rFonts w:ascii="Palatino;Book Antiqua" w:hAnsi="Palatino;Book Antiqua" w:cs="Palatino;Book Antiqua"/>
      <w:sz w:val="26"/>
      <w:szCs w:val="24"/>
    </w:rPr>
  </w:style>
  <w:style w:type="paragraph" w:styleId="BodyTextIndent">
    <w:name w:val="Body Text Indent"/>
    <w:basedOn w:val="Normal"/>
    <w:pPr>
      <w:widowControl/>
      <w:ind w:hanging="360" w:start="360" w:end="0"/>
    </w:pPr>
    <w:rPr>
      <w:rFonts w:ascii="Arial" w:hAnsi="Arial" w:cs="Arial"/>
      <w:sz w:val="24"/>
    </w:rPr>
  </w:style>
  <w:style w:type="paragraph" w:styleId="BodyTextIndent3">
    <w:name w:val="Body Text Indent 3"/>
    <w:basedOn w:val="Normal"/>
    <w:qFormat/>
    <w:pPr>
      <w:widowControl/>
      <w:spacing w:lineRule="auto" w:line="360"/>
      <w:ind w:firstLine="720" w:start="0" w:end="0"/>
    </w:pPr>
    <w:rPr>
      <w:rFonts w:ascii="Palatino;Book Antiqua" w:hAnsi="Palatino;Book Antiqua" w:cs="Palatino;Book Antiqua"/>
      <w:sz w:val="26"/>
    </w:rPr>
  </w:style>
  <w:style w:type="paragraph" w:styleId="BodyTextIndent2">
    <w:name w:val="Body Text Indent 2"/>
    <w:basedOn w:val="Normal"/>
    <w:qFormat/>
    <w:pPr>
      <w:widowControl/>
      <w:ind w:hanging="0" w:start="720" w:end="0"/>
    </w:pPr>
    <w:rPr>
      <w:rFonts w:ascii="Arial" w:hAnsi="Arial" w:cs="Arial"/>
      <w:sz w:val="24"/>
    </w:rPr>
  </w:style>
  <w:style w:type="paragraph" w:styleId="BlockText">
    <w:name w:val="Block Text"/>
    <w:basedOn w:val="Normal"/>
    <w:qFormat/>
    <w:pPr>
      <w:widowControl/>
      <w:ind w:hanging="0" w:start="720" w:end="720"/>
    </w:pPr>
    <w:rPr>
      <w:rFonts w:ascii="Palatino;Book Antiqua" w:hAnsi="Palatino;Book Antiqua" w:cs="Palatino;Book Antiqua"/>
      <w:sz w:val="26"/>
    </w:rPr>
  </w:style>
  <w:style w:type="paragraph" w:styleId="Heading3Text">
    <w:name w:val="Heading 3 Text"/>
    <w:basedOn w:val="Normal"/>
    <w:qFormat/>
    <w:pPr>
      <w:widowControl/>
      <w:spacing w:lineRule="atLeast" w:line="480"/>
      <w:ind w:firstLine="720" w:start="720" w:end="0"/>
    </w:pPr>
    <w:rPr>
      <w:rFonts w:ascii="NewCenturySchlbk" w:hAnsi="NewCenturySchlbk" w:cs="NewCenturySchlbk"/>
      <w:sz w:val="24"/>
    </w:rPr>
  </w:style>
  <w:style w:type="paragraph" w:styleId="ListBullet">
    <w:name w:val="List Bullet"/>
    <w:basedOn w:val="Normal"/>
    <w:pPr>
      <w:widowControl/>
      <w:ind w:hanging="720" w:start="720" w:end="0"/>
    </w:pPr>
    <w:rPr>
      <w:rFonts w:ascii="NewCenturySchlbk" w:hAnsi="NewCenturySchlbk" w:cs="NewCenturySchlbk"/>
      <w:sz w:val="24"/>
    </w:rPr>
  </w:style>
  <w:style w:type="paragraph" w:styleId="Quote1">
    <w:name w:val="Quote 1"/>
    <w:basedOn w:val="Normal"/>
    <w:qFormat/>
    <w:pPr>
      <w:widowControl/>
      <w:spacing w:before="240" w:after="0"/>
      <w:ind w:hanging="0" w:start="1440" w:end="1440"/>
    </w:pPr>
    <w:rPr>
      <w:rFonts w:ascii="NewCenturySchlbk" w:hAnsi="NewCenturySchlbk" w:cs="NewCenturySchlbk"/>
      <w:sz w:val="24"/>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rPr>
  </w:style>
  <w:style w:type="paragraph" w:styleId="ORDERHEADING">
    <w:name w:val="ORDER HEADING"/>
    <w:basedOn w:val="main"/>
    <w:qFormat/>
    <w:pPr>
      <w:keepNext w:val="true"/>
      <w:widowControl/>
      <w:outlineLvl w:val="0"/>
    </w:pPr>
    <w:rPr/>
  </w:style>
  <w:style w:type="paragraph" w:styleId="Dash">
    <w:name w:val="Dash"/>
    <w:basedOn w:val="Normal"/>
    <w:qFormat/>
    <w:pPr>
      <w:widowControl/>
      <w:numPr>
        <w:ilvl w:val="0"/>
        <w:numId w:val="2"/>
      </w:numPr>
      <w:spacing w:before="0" w:after="240"/>
    </w:pPr>
    <w:rPr>
      <w:sz w:val="24"/>
    </w:rPr>
  </w:style>
  <w:style w:type="paragraph" w:styleId="LeftHeading">
    <w:name w:val="Left Heading"/>
    <w:basedOn w:val="Normal"/>
    <w:next w:val="Normal"/>
    <w:qFormat/>
    <w:pPr>
      <w:widowControl/>
    </w:pPr>
    <w:rPr>
      <w:rFonts w:ascii="Garamond" w:hAnsi="Garamond" w:cs="Garamond"/>
      <w:b/>
      <w:sz w:val="24"/>
    </w:rPr>
  </w:style>
  <w:style w:type="paragraph" w:styleId="para">
    <w:name w:val="para"/>
    <w:basedOn w:val="Normal"/>
    <w:qFormat/>
    <w:pPr>
      <w:widowControl/>
      <w:spacing w:before="0" w:after="240"/>
      <w:ind w:firstLine="720" w:start="0" w:end="0"/>
      <w:jc w:val="both"/>
    </w:pPr>
    <w:rPr>
      <w:sz w:val="24"/>
    </w:rPr>
  </w:style>
  <w:style w:type="paragraph" w:styleId="abc">
    <w:name w:val="abc"/>
    <w:basedOn w:val="para"/>
    <w:qFormat/>
    <w:pPr>
      <w:numPr>
        <w:ilvl w:val="0"/>
        <w:numId w:val="6"/>
      </w:numPr>
      <w:tabs>
        <w:tab w:val="clear" w:pos="720"/>
      </w:tabs>
    </w:pPr>
    <w:rPr/>
  </w:style>
  <w:style w:type="paragraph" w:styleId="NumberedList">
    <w:name w:val="Numbered List"/>
    <w:basedOn w:val="Normal"/>
    <w:qFormat/>
    <w:pPr>
      <w:widowControl/>
      <w:numPr>
        <w:ilvl w:val="0"/>
        <w:numId w:val="4"/>
      </w:numPr>
      <w:tabs>
        <w:tab w:val="clear" w:pos="720"/>
        <w:tab w:val="left" w:pos="1440" w:leader="none"/>
      </w:tabs>
      <w:spacing w:before="0" w:after="240"/>
    </w:pPr>
    <w:rPr>
      <w:sz w:val="24"/>
    </w:rPr>
  </w:style>
  <w:style w:type="paragraph" w:styleId="RightSingle">
    <w:name w:val="Right Single"/>
    <w:basedOn w:val="Normal"/>
    <w:qFormat/>
    <w:pPr>
      <w:widowControl/>
      <w:spacing w:before="0" w:after="240"/>
      <w:jc w:val="end"/>
    </w:pPr>
    <w:rPr>
      <w:sz w:val="24"/>
    </w:rPr>
  </w:style>
  <w:style w:type="paragraph" w:styleId="CenterSingle">
    <w:name w:val="Center Single"/>
    <w:basedOn w:val="Normal"/>
    <w:qFormat/>
    <w:pPr>
      <w:widowControl/>
      <w:spacing w:before="0" w:after="240"/>
      <w:jc w:val="center"/>
    </w:pPr>
    <w:rPr>
      <w:sz w:val="24"/>
    </w:rPr>
  </w:style>
  <w:style w:type="paragraph" w:styleId="Center">
    <w:name w:val="Center"/>
    <w:basedOn w:val="Normal"/>
    <w:qFormat/>
    <w:pPr>
      <w:widowControl/>
      <w:tabs>
        <w:tab w:val="clear" w:pos="720"/>
        <w:tab w:val="center" w:pos="4680" w:leader="none"/>
      </w:tabs>
      <w:spacing w:before="0" w:after="240"/>
      <w:jc w:val="center"/>
    </w:pPr>
    <w:rPr>
      <w:b/>
      <w:sz w:val="24"/>
    </w:rPr>
  </w:style>
  <w:style w:type="paragraph" w:styleId="Signature">
    <w:name w:val="Signature"/>
    <w:basedOn w:val="Normal"/>
    <w:pPr>
      <w:widowControl/>
      <w:spacing w:before="0" w:after="240"/>
      <w:ind w:hanging="0" w:start="4320" w:end="0"/>
    </w:pPr>
    <w:rPr>
      <w:sz w:val="24"/>
    </w:rPr>
  </w:style>
  <w:style w:type="paragraph" w:styleId="Signature2">
    <w:name w:val="Signature2"/>
    <w:basedOn w:val="Signature"/>
    <w:qFormat/>
    <w:pPr>
      <w:keepLines/>
      <w:tabs>
        <w:tab w:val="clear" w:pos="720"/>
        <w:tab w:val="left" w:pos="4752" w:leader="none"/>
        <w:tab w:val="right" w:pos="8640" w:leader="none"/>
      </w:tabs>
      <w:spacing w:before="0" w:after="480"/>
      <w:ind w:hanging="432" w:start="475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2001-09-07T17:13:00Z</dcterms:created>
  <dc:creator>VDL</dc:creator>
  <dc:description/>
  <dc:language>en-CA</dc:language>
  <cp:lastModifiedBy>Administrator</cp:lastModifiedBy>
  <cp:lastPrinted>2001-08-28T16:37:00Z</cp:lastPrinted>
  <dcterms:modified xsi:type="dcterms:W3CDTF">2001-09-07T17:13:00Z</dcterms:modified>
  <cp:revision>2</cp:revision>
  <dc:subject/>
  <dc:title>COM/LYN/abw</dc:title>
</cp:coreProperties>
</file>