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widowControl/>
        <w:ind w:hanging="0" w:end="0"/>
        <w:rPr/>
      </w:pPr>
      <w:r>
        <w:rPr/>
        <w:t>LYN/CMW/sid  1/26/2001</w:t>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t>BEFORE THE PUBLIC UTILITIES COMMISSION OF THE STATE OF CALIFORNIA</w:t>
      </w:r>
    </w:p>
    <w:p>
      <w:pPr>
        <w:pStyle w:val="Normal"/>
        <w:widowControl/>
        <w:suppressAutoHyphens w:val="true"/>
        <w:rPr>
          <w:sz w:val="24"/>
          <w:szCs w:val="24"/>
        </w:rPr>
      </w:pPr>
      <w:r>
        <w:rPr>
          <w:sz w:val="24"/>
          <w:szCs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Application of Southern California Edison Company (E 3338-E) for Authority to Institute a Rate Stabilization Plan with a Rate Increase and End of Rate Freeze Tariffs.</w:t>
            </w:r>
          </w:p>
          <w:p>
            <w:pPr>
              <w:pStyle w:val="Normal"/>
              <w:widowControl/>
              <w:tabs>
                <w:tab w:val="clear" w:pos="720"/>
                <w:tab w:val="left" w:pos="2160" w:leader="none"/>
                <w:tab w:val="left" w:pos="3600" w:leader="none"/>
              </w:tabs>
              <w:rPr/>
            </w:pPr>
            <w:r>
              <w:rPr/>
            </w:r>
          </w:p>
        </w:tc>
        <w:tc>
          <w:tcPr>
            <w:tcW w:w="3287" w:type="dxa"/>
            <w:tcBorders/>
          </w:tcPr>
          <w:p>
            <w:pPr>
              <w:pStyle w:val="Normal"/>
              <w:widowControl/>
              <w:snapToGrid w:val="false"/>
              <w:jc w:val="center"/>
              <w:rPr/>
            </w:pPr>
            <w:r>
              <w:rPr/>
            </w:r>
          </w:p>
          <w:p>
            <w:pPr>
              <w:pStyle w:val="Normal"/>
              <w:widowControl/>
              <w:jc w:val="center"/>
              <w:rPr/>
            </w:pPr>
            <w:r>
              <w:rPr/>
              <w:t>Application 00-11-038</w:t>
            </w:r>
          </w:p>
          <w:p>
            <w:pPr>
              <w:pStyle w:val="Normal"/>
              <w:widowControl/>
              <w:jc w:val="center"/>
              <w:rPr/>
            </w:pPr>
            <w:r>
              <w:rPr/>
              <w:t>(Filed November 16,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Emergency Application of Pacific Gas and Electric Company to Adopt a Rate Stabilization Plan.</w:t>
              <w:tab/>
              <w:tab/>
              <w:t>(U 39 E)</w:t>
            </w:r>
          </w:p>
          <w:p>
            <w:pPr>
              <w:pStyle w:val="Normal"/>
              <w:widowControl/>
              <w:tabs>
                <w:tab w:val="clear" w:pos="720"/>
                <w:tab w:val="left" w:pos="2160" w:leader="none"/>
                <w:tab w:val="left" w:pos="3600" w:leader="none"/>
              </w:tabs>
              <w:rPr/>
            </w:pPr>
            <w:r>
              <w:rPr/>
            </w:r>
          </w:p>
        </w:tc>
        <w:tc>
          <w:tcPr>
            <w:tcW w:w="3287" w:type="dxa"/>
            <w:tcBorders/>
          </w:tcPr>
          <w:p>
            <w:pPr>
              <w:pStyle w:val="Normal"/>
              <w:widowControl/>
              <w:snapToGrid w:val="false"/>
              <w:jc w:val="center"/>
              <w:rPr/>
            </w:pPr>
            <w:r>
              <w:rPr/>
            </w:r>
          </w:p>
          <w:p>
            <w:pPr>
              <w:pStyle w:val="Normal"/>
              <w:widowControl/>
              <w:jc w:val="center"/>
              <w:rPr/>
            </w:pPr>
            <w:r>
              <w:rPr/>
              <w:t>Application 00-11-056</w:t>
            </w:r>
          </w:p>
          <w:p>
            <w:pPr>
              <w:pStyle w:val="Normal"/>
              <w:widowControl/>
              <w:jc w:val="center"/>
              <w:rPr/>
            </w:pPr>
            <w:r>
              <w:rPr/>
              <w:t>(Filed November 22, 2000)</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Petition of THE UTILITY REFORM NETWORK for Modification of Resolution E-3527.</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t>Application 00-10-028</w:t>
            </w:r>
          </w:p>
          <w:p>
            <w:pPr>
              <w:pStyle w:val="Normal"/>
              <w:widowControl/>
              <w:jc w:val="center"/>
              <w:rPr/>
            </w:pPr>
            <w:r>
              <w:rPr/>
              <w:t>(Filed October 17, 2000)</w:t>
            </w:r>
          </w:p>
        </w:tc>
      </w:tr>
    </w:tbl>
    <w:p>
      <w:pPr>
        <w:pStyle w:val="Normal"/>
        <w:widowControl/>
        <w:suppressAutoHyphens w:val="true"/>
        <w:rPr/>
      </w:pPr>
      <w:r>
        <w:rPr/>
      </w:r>
    </w:p>
    <w:p>
      <w:pPr>
        <w:pStyle w:val="Normal"/>
        <w:widowControl/>
        <w:rPr/>
      </w:pPr>
      <w:r>
        <w:rPr/>
      </w:r>
    </w:p>
    <w:p>
      <w:pPr>
        <w:pStyle w:val="main"/>
        <w:widowControl/>
        <w:rPr/>
      </w:pPr>
      <w:r>
        <w:rPr/>
        <w:t>ASSIGNED COMMISSIONER’S RULING</w:t>
      </w:r>
    </w:p>
    <w:p>
      <w:pPr>
        <w:pStyle w:val="standard"/>
        <w:keepNext w:val="true"/>
        <w:widowControl/>
        <w:rPr/>
      </w:pPr>
      <w:r>
        <w:rPr/>
      </w:r>
    </w:p>
    <w:p>
      <w:pPr>
        <w:pStyle w:val="standard"/>
        <w:keepNext w:val="true"/>
        <w:widowControl/>
        <w:rPr/>
      </w:pPr>
      <w:r>
        <w:rPr/>
        <w:t>This ruling sets a procedural schedule for the first phase of this proceeding.</w:t>
      </w:r>
      <w:r>
        <w:rPr>
          <w:rStyle w:val="FootnoteCharacters"/>
          <w:sz w:val="24"/>
          <w:szCs w:val="24"/>
        </w:rPr>
        <w:t xml:space="preserve"> </w:t>
      </w:r>
      <w:r>
        <w:rPr>
          <w:rStyle w:val="FootnoteCharacters"/>
          <w:rStyle w:val="FootnoteReference"/>
          <w:sz w:val="24"/>
          <w:szCs w:val="24"/>
        </w:rPr>
        <w:footnoteReference w:id="2"/>
      </w:r>
      <w:r>
        <w:rPr/>
        <w:t xml:space="preserve">  As discussed at the January 10, 2001 prehearing conference (PHC), the Commission will address only issues of immediate priority in this phase of the proceeding (Phase 1) and intends to reach a final Commission decision by our March 27, 2001 meeting.  </w:t>
      </w:r>
    </w:p>
    <w:p>
      <w:pPr>
        <w:pStyle w:val="standard"/>
        <w:keepNext w:val="true"/>
        <w:widowControl/>
        <w:rPr/>
      </w:pPr>
      <w:r>
        <w:rPr/>
        <w:t>Parties at the January 10th PHC reached agreement on three proposed issues that should be heard in Phase 1:</w:t>
      </w:r>
      <w:r>
        <w:rPr>
          <w:rStyle w:val="FootnoteCharacters"/>
          <w:sz w:val="24"/>
          <w:szCs w:val="24"/>
        </w:rPr>
        <w:t xml:space="preserve"> </w:t>
      </w:r>
      <w:r>
        <w:rPr>
          <w:rStyle w:val="FootnoteCharacters"/>
          <w:rStyle w:val="FootnoteReference"/>
          <w:sz w:val="24"/>
          <w:szCs w:val="24"/>
        </w:rPr>
        <w:footnoteReference w:id="3"/>
      </w:r>
    </w:p>
    <w:p>
      <w:pPr>
        <w:pStyle w:val="standard"/>
        <w:keepNext w:val="true"/>
        <w:widowControl/>
        <w:numPr>
          <w:ilvl w:val="0"/>
          <w:numId w:val="4"/>
        </w:numPr>
        <w:tabs>
          <w:tab w:val="clear" w:pos="720"/>
          <w:tab w:val="left" w:pos="0" w:leader="none"/>
        </w:tabs>
        <w:spacing w:lineRule="auto" w:line="240"/>
        <w:ind w:hanging="1155" w:start="2310" w:end="0"/>
        <w:rPr/>
      </w:pPr>
      <w:r>
        <w:rPr/>
        <w:t>Reviewing the independent audit results of PG&amp;E and SCE, ordered in D.00-12-067 and, as part of that analysis, determining whether or not there is a financial necessity for other or additional relief for the utilities.  Included here is a recognition that the utilities may make other interim proposals and this would be included within the scope of the first phase;</w:t>
      </w:r>
    </w:p>
    <w:p>
      <w:pPr>
        <w:pStyle w:val="standard"/>
        <w:keepNext w:val="true"/>
        <w:widowControl/>
        <w:spacing w:lineRule="auto" w:line="240"/>
        <w:rPr/>
      </w:pPr>
      <w:r>
        <w:rPr/>
      </w:r>
    </w:p>
    <w:p>
      <w:pPr>
        <w:pStyle w:val="standard"/>
        <w:keepNext w:val="true"/>
        <w:widowControl/>
        <w:numPr>
          <w:ilvl w:val="0"/>
          <w:numId w:val="5"/>
        </w:numPr>
        <w:tabs>
          <w:tab w:val="clear" w:pos="720"/>
          <w:tab w:val="left" w:pos="0" w:leader="none"/>
        </w:tabs>
        <w:spacing w:lineRule="auto" w:line="240"/>
        <w:ind w:hanging="1590" w:start="2310" w:end="0"/>
        <w:rPr/>
      </w:pPr>
      <w:r>
        <w:rPr/>
        <w:t xml:space="preserve">TURN’s accounting proposal for the proper reconciliation of the Transition Revenue Account (TRA) and Transition Cost Balancing Account (TCBA) accounts and the Generation Memorandum Accounts (GMA); and </w:t>
        <w:br/>
      </w:r>
    </w:p>
    <w:p>
      <w:pPr>
        <w:pStyle w:val="standard"/>
        <w:keepNext w:val="true"/>
        <w:widowControl/>
        <w:numPr>
          <w:ilvl w:val="0"/>
          <w:numId w:val="5"/>
        </w:numPr>
        <w:tabs>
          <w:tab w:val="clear" w:pos="720"/>
          <w:tab w:val="left" w:pos="0" w:leader="none"/>
        </w:tabs>
        <w:spacing w:lineRule="auto" w:line="240"/>
        <w:ind w:hanging="1155" w:start="2310" w:end="0"/>
        <w:rPr/>
      </w:pPr>
      <w:r>
        <w:rPr/>
        <w:t xml:space="preserve">Retention of the utility generating assets, and in particular with regard to those assets, what interim ratemaking treatment would be granted to those assets and how valuation would be addressed for purposes of considering whether the rate freeze had ended. </w:t>
      </w:r>
    </w:p>
    <w:p>
      <w:pPr>
        <w:pStyle w:val="standard"/>
        <w:keepNext w:val="true"/>
        <w:widowControl/>
        <w:spacing w:lineRule="auto" w:line="240"/>
        <w:rPr/>
      </w:pPr>
      <w:r>
        <w:rPr/>
      </w:r>
    </w:p>
    <w:p>
      <w:pPr>
        <w:pStyle w:val="standard"/>
        <w:keepNext w:val="true"/>
        <w:widowControl/>
        <w:rPr/>
      </w:pPr>
      <w:r>
        <w:rPr/>
        <w:t xml:space="preserve">On Issue 3, the parties did not reach complete agreement.  The parties disagree on whether the Commission, in considering whether the rate freeze has ended, would be doing this on a prospective only basis or would be instead looking at the larger issue.  All parties except PG&amp;E and SCE recommend the Commission look at this issue only on a prospective basis and reserve for a future phase whether or not there could be or was any ending of the rate freeze at an earlier date.  While PG&amp;E states this is primarily a legal issue for briefing and SCE states there are financial repercussions that make it inappropriate for the Commission to defer the issue, TURN states that looking at past periods would involve litigating a number of factual issues that would expand the scope of testimony in the hearings and make it a thornier issue to deal with in this phase.. </w:t>
      </w:r>
    </w:p>
    <w:p>
      <w:pPr>
        <w:pStyle w:val="standard"/>
        <w:keepNext w:val="true"/>
        <w:widowControl/>
        <w:rPr/>
      </w:pPr>
      <w:r>
        <w:rPr/>
        <w:t>GL/LF requested that since in this phase the utilities may request significant interim increases and that the rate freeze may be declared ended, it be allowed to submit one piece of testimony that would support its proposal to bump the CARE discount up to 20 or 25% for the poor and to 10% for second tier  low-income customers.  No party commented on this request.</w:t>
      </w:r>
    </w:p>
    <w:p>
      <w:pPr>
        <w:pStyle w:val="standard"/>
        <w:keepNext w:val="true"/>
        <w:widowControl/>
        <w:rPr/>
      </w:pPr>
      <w:r>
        <w:rPr/>
        <w:t xml:space="preserve">Michael Aguirre, representing Ratepayers/UCAN, requested an additional issue be added to Phase I:  addressing the reasonable and prudent cost issue and, as a subset of that, lawsuits against the generators.  Other parties did not support Aguirre’s request due to concerns with the resources and time it will take to litigate and an interest in resolving prospective problems first.  </w:t>
      </w:r>
    </w:p>
    <w:p>
      <w:pPr>
        <w:pStyle w:val="standard"/>
        <w:keepNext w:val="true"/>
        <w:widowControl/>
        <w:rPr/>
      </w:pPr>
      <w:r>
        <w:rPr/>
        <w:t xml:space="preserve">Parties presented a proposed joint schedule proposal, stating their primary consideration in arriving at the proposal was to give themselves enough time to do discovery and put forward adequate testimony.  The date proposed to serve intervenor testimony is February 5, with rebuttal testimony on February 15.  </w:t>
      </w:r>
    </w:p>
    <w:p>
      <w:pPr>
        <w:pStyle w:val="standard"/>
        <w:keepNext w:val="true"/>
        <w:widowControl/>
        <w:rPr/>
      </w:pPr>
      <w:r>
        <w:rPr/>
        <w:t>Hearings are proposed for the week of February 26, closing argument on March 7, and one round of briefing on March 13.  Parties propose a target date of March 27 for a proposed decision, no written comments on the proposed decision, oral argument on March 30, and request the Commission consider a final decision at a continuation meeting to be held on April 5, the 90th day from issuance of D.01-01-018.</w:t>
      </w:r>
      <w:r>
        <w:rPr>
          <w:rStyle w:val="FootnoteCharacters"/>
          <w:sz w:val="24"/>
          <w:szCs w:val="24"/>
        </w:rPr>
        <w:t xml:space="preserve"> </w:t>
      </w:r>
      <w:r>
        <w:rPr>
          <w:rStyle w:val="FootnoteCharacters"/>
          <w:rStyle w:val="FootnoteReference"/>
          <w:sz w:val="24"/>
          <w:szCs w:val="24"/>
        </w:rPr>
        <w:footnoteReference w:id="4"/>
      </w:r>
      <w:r>
        <w:rPr/>
        <w:t xml:space="preserve"> </w:t>
      </w:r>
      <w:r>
        <w:rPr>
          <w:rStyle w:val="FootnoteCharacters"/>
          <w:rStyle w:val="FootnoteReference"/>
          <w:sz w:val="24"/>
          <w:szCs w:val="24"/>
        </w:rPr>
        <w:footnoteReference w:id="5"/>
      </w:r>
    </w:p>
    <w:p>
      <w:pPr>
        <w:pStyle w:val="standard"/>
        <w:keepNext w:val="true"/>
        <w:widowControl/>
        <w:rPr/>
      </w:pPr>
      <w:r>
        <w:rPr/>
        <w:t xml:space="preserve">The schedule proposed by the parties shortens the time required by Public Utilities Code Section 311(d) between the issuance of a proposed decision and a final decision.  Parties to the proposal supported reducing the time period and PG&amp;E and SCE agreed to contact all parties to the proceeding in order to obtain and file formal waivers.  </w:t>
      </w:r>
    </w:p>
    <w:p>
      <w:pPr>
        <w:pStyle w:val="standard"/>
        <w:keepNext w:val="true"/>
        <w:widowControl/>
        <w:rPr/>
      </w:pPr>
      <w:r>
        <w:rPr/>
        <w:t xml:space="preserve">After consideration of parties’ proposals and the time available under the proposed Phase I schedule, </w:t>
      </w:r>
    </w:p>
    <w:p>
      <w:pPr>
        <w:pStyle w:val="standard"/>
        <w:keepNext w:val="true"/>
        <w:widowControl/>
        <w:rPr/>
      </w:pPr>
      <w:r>
        <w:rPr>
          <w:b/>
          <w:bCs/>
        </w:rPr>
        <w:t>IT IS RULED</w:t>
      </w:r>
      <w:r>
        <w:rPr/>
        <w:t xml:space="preserve"> that:</w:t>
      </w:r>
    </w:p>
    <w:p>
      <w:pPr>
        <w:pStyle w:val="num1"/>
        <w:widowControl/>
        <w:numPr>
          <w:ilvl w:val="0"/>
          <w:numId w:val="2"/>
        </w:numPr>
        <w:tabs>
          <w:tab w:val="clear" w:pos="-720"/>
          <w:tab w:val="left" w:pos="0" w:leader="none"/>
        </w:tabs>
        <w:ind w:firstLine="360" w:start="0"/>
        <w:rPr/>
      </w:pPr>
      <w:r>
        <w:rPr/>
        <w:tab/>
        <w:t>Issues 1 and 2 above will be heard in Phase 1.</w:t>
      </w:r>
    </w:p>
    <w:p>
      <w:pPr>
        <w:pStyle w:val="num1"/>
        <w:widowControl/>
        <w:numPr>
          <w:ilvl w:val="0"/>
          <w:numId w:val="2"/>
        </w:numPr>
        <w:tabs>
          <w:tab w:val="clear" w:pos="-720"/>
          <w:tab w:val="left" w:pos="0" w:leader="none"/>
        </w:tabs>
        <w:ind w:firstLine="360" w:start="0"/>
        <w:rPr/>
      </w:pPr>
      <w:r>
        <w:rPr/>
        <w:t xml:space="preserve">  </w:t>
      </w:r>
      <w:r>
        <w:rPr/>
        <w:t>The retention of utility generating assets and the interim ratemaking treatment for these assets is being separately handled and hearings will not occur on this issue in Phase 1.  Parties may file testimony on interim valuation in addressing whether the rate freeze has ended on a prospective basis.</w:t>
      </w:r>
    </w:p>
    <w:p>
      <w:pPr>
        <w:pStyle w:val="num1"/>
        <w:widowControl/>
        <w:numPr>
          <w:ilvl w:val="0"/>
          <w:numId w:val="2"/>
        </w:numPr>
        <w:tabs>
          <w:tab w:val="clear" w:pos="-720"/>
          <w:tab w:val="left" w:pos="0" w:leader="none"/>
        </w:tabs>
        <w:ind w:firstLine="360" w:start="0"/>
        <w:rPr/>
      </w:pPr>
      <w:r>
        <w:rPr/>
        <w:t xml:space="preserve">  </w:t>
      </w:r>
      <w:r>
        <w:rPr/>
        <w:t>The Commission will consider whether the rate freeze has ended only on a prospective basis in Phase I.</w:t>
      </w:r>
    </w:p>
    <w:p>
      <w:pPr>
        <w:pStyle w:val="num1"/>
        <w:widowControl/>
        <w:numPr>
          <w:ilvl w:val="0"/>
          <w:numId w:val="2"/>
        </w:numPr>
        <w:tabs>
          <w:tab w:val="clear" w:pos="-720"/>
          <w:tab w:val="left" w:pos="0" w:leader="none"/>
        </w:tabs>
        <w:ind w:firstLine="360" w:start="0"/>
        <w:rPr/>
      </w:pPr>
      <w:r>
        <w:rPr/>
        <w:t xml:space="preserve">  </w:t>
      </w:r>
      <w:r>
        <w:rPr/>
        <w:t>The Commission will address the reasonable and prudent cost issue in a later phase of this proceeding.</w:t>
      </w:r>
    </w:p>
    <w:p>
      <w:pPr>
        <w:pStyle w:val="num1"/>
        <w:widowControl/>
        <w:numPr>
          <w:ilvl w:val="0"/>
          <w:numId w:val="2"/>
        </w:numPr>
        <w:tabs>
          <w:tab w:val="clear" w:pos="-720"/>
          <w:tab w:val="left" w:pos="0" w:leader="none"/>
        </w:tabs>
        <w:ind w:firstLine="360" w:start="0"/>
        <w:rPr/>
      </w:pPr>
      <w:r>
        <w:rPr/>
        <w:t xml:space="preserve">  </w:t>
      </w:r>
      <w:r>
        <w:rPr/>
        <w:t>Greenlining/Latino Forum may present the CARE testimony requested.</w:t>
      </w:r>
    </w:p>
    <w:p>
      <w:pPr>
        <w:pStyle w:val="num1"/>
        <w:widowControl/>
        <w:numPr>
          <w:ilvl w:val="0"/>
          <w:numId w:val="2"/>
        </w:numPr>
        <w:tabs>
          <w:tab w:val="clear" w:pos="-720"/>
          <w:tab w:val="left" w:pos="0" w:leader="none"/>
        </w:tabs>
        <w:ind w:firstLine="360" w:start="0"/>
        <w:rPr/>
      </w:pPr>
      <w:r>
        <w:rPr/>
        <w:t xml:space="preserve">  </w:t>
      </w:r>
      <w:r>
        <w:rPr/>
        <w:t>The Commission will also consider parties’ proposals for tiered rates similar to those discussed by Senator Bowen in the December public hearings.</w:t>
      </w:r>
    </w:p>
    <w:p>
      <w:pPr>
        <w:pStyle w:val="num1"/>
        <w:widowControl/>
        <w:numPr>
          <w:ilvl w:val="0"/>
          <w:numId w:val="2"/>
        </w:numPr>
        <w:tabs>
          <w:tab w:val="clear" w:pos="-720"/>
          <w:tab w:val="left" w:pos="0" w:leader="none"/>
        </w:tabs>
        <w:ind w:firstLine="360" w:start="0"/>
        <w:rPr/>
      </w:pPr>
      <w:r>
        <w:rPr/>
        <w:t xml:space="preserve">  </w:t>
      </w:r>
      <w:r>
        <w:rPr/>
        <w:t>Pacific Gas and Electric Company and Southern California Edison Company shall notify the Commission and all parties by January 30, 2001 of the specific portions of their testimony that are within the scope of this phase.</w:t>
      </w:r>
    </w:p>
    <w:p>
      <w:pPr>
        <w:pStyle w:val="standard"/>
        <w:widowControl/>
        <w:numPr>
          <w:ilvl w:val="0"/>
          <w:numId w:val="6"/>
        </w:numPr>
        <w:tabs>
          <w:tab w:val="clear" w:pos="720"/>
          <w:tab w:val="left" w:pos="0" w:leader="none"/>
        </w:tabs>
        <w:ind w:hanging="1080" w:start="2160" w:end="0"/>
        <w:jc w:val="both"/>
        <w:rPr/>
      </w:pPr>
      <w:r>
        <w:rPr/>
        <w:t xml:space="preserve">The hearing schedule adopted is:  </w:t>
      </w:r>
    </w:p>
    <w:p>
      <w:pPr>
        <w:pStyle w:val="standard"/>
        <w:widowControl/>
        <w:ind w:hanging="0" w:start="1440" w:end="0"/>
        <w:jc w:val="both"/>
        <w:rPr/>
      </w:pPr>
      <w:r>
        <w:rPr/>
        <w:t>February 5, 2001              Intervenor testimony served</w:t>
      </w:r>
    </w:p>
    <w:p>
      <w:pPr>
        <w:pStyle w:val="standard"/>
        <w:widowControl/>
        <w:ind w:hanging="0" w:start="1440" w:end="0"/>
        <w:jc w:val="both"/>
        <w:rPr/>
      </w:pPr>
      <w:r>
        <w:rPr/>
        <w:t>February 9, 2001              Rebuttal testimony served</w:t>
      </w:r>
    </w:p>
    <w:p>
      <w:pPr>
        <w:pStyle w:val="standard"/>
        <w:widowControl/>
        <w:ind w:hanging="0" w:start="1440" w:end="0"/>
        <w:jc w:val="both"/>
        <w:rPr/>
      </w:pPr>
      <w:r>
        <w:rPr/>
        <w:t>February 15 –21, 2001     Hearings</w:t>
      </w:r>
    </w:p>
    <w:p>
      <w:pPr>
        <w:pStyle w:val="standard"/>
        <w:widowControl/>
        <w:ind w:hanging="0" w:start="1440" w:end="0"/>
        <w:jc w:val="both"/>
        <w:rPr/>
      </w:pPr>
      <w:r>
        <w:rPr/>
        <w:t>February 23, 2001            Closing Argument</w:t>
      </w:r>
    </w:p>
    <w:p>
      <w:pPr>
        <w:pStyle w:val="standard"/>
        <w:widowControl/>
        <w:ind w:hanging="0" w:start="1440" w:end="0"/>
        <w:jc w:val="both"/>
        <w:rPr/>
      </w:pPr>
      <w:r>
        <w:rPr/>
        <w:t>February 27, 2001            Briefs, not to exceed 15 pages</w:t>
      </w:r>
    </w:p>
    <w:p>
      <w:pPr>
        <w:pStyle w:val="standard"/>
        <w:widowControl/>
        <w:ind w:hanging="0" w:start="1440" w:end="0"/>
        <w:jc w:val="both"/>
        <w:rPr/>
      </w:pPr>
      <w:r>
        <w:rPr/>
        <w:t>March 23, 2001                 Proposed Decision</w:t>
      </w:r>
    </w:p>
    <w:p>
      <w:pPr>
        <w:pStyle w:val="standard"/>
        <w:widowControl/>
        <w:ind w:hanging="0" w:start="1440" w:end="0"/>
        <w:jc w:val="both"/>
        <w:rPr/>
      </w:pPr>
      <w:r>
        <w:rPr/>
        <w:t>March 26, 2001                 Final Oral Argument</w:t>
      </w:r>
    </w:p>
    <w:p>
      <w:pPr>
        <w:pStyle w:val="standard"/>
        <w:widowControl/>
        <w:ind w:hanging="0" w:start="1440" w:end="0"/>
        <w:jc w:val="both"/>
        <w:rPr/>
      </w:pPr>
      <w:r>
        <w:rPr/>
        <w:t>March 27, 2001                 Anticipated Final Commission Decision</w:t>
      </w:r>
    </w:p>
    <w:p>
      <w:pPr>
        <w:pStyle w:val="num1"/>
        <w:widowControl/>
        <w:numPr>
          <w:ilvl w:val="0"/>
          <w:numId w:val="2"/>
        </w:numPr>
        <w:tabs>
          <w:tab w:val="clear" w:pos="-720"/>
          <w:tab w:val="left" w:pos="0" w:leader="none"/>
          <w:tab w:val="left" w:pos="360" w:leader="none"/>
        </w:tabs>
        <w:ind w:firstLine="360" w:start="0"/>
        <w:rPr/>
      </w:pPr>
      <w:r>
        <w:rPr/>
        <w:t>Official service should be by hard copies.  In addition, parties should also use e-mail service to facilitate timely receipt of documents; e-mail service includes information only addressees.</w:t>
      </w:r>
    </w:p>
    <w:p>
      <w:pPr>
        <w:pStyle w:val="standard"/>
        <w:widowControl/>
        <w:rPr/>
      </w:pPr>
      <w:r>
        <w:rPr/>
        <w:t>Dated January 26, 2001, at San Francisco, California.</w:t>
      </w:r>
    </w:p>
    <w:p>
      <w:pPr>
        <w:pStyle w:val="Normal"/>
        <w:widowControl/>
        <w:rPr/>
      </w:pPr>
      <w:r>
        <w:rPr/>
      </w:r>
    </w:p>
    <w:p>
      <w:pPr>
        <w:pStyle w:val="Normal"/>
        <w:widowContro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widowControl/>
              <w:snapToGrid w:val="false"/>
              <w:rPr/>
            </w:pPr>
            <w:r>
              <w:rPr/>
            </w:r>
          </w:p>
        </w:tc>
        <w:tc>
          <w:tcPr>
            <w:tcW w:w="990" w:type="dxa"/>
            <w:tcBorders/>
          </w:tcPr>
          <w:p>
            <w:pPr>
              <w:pStyle w:val="Normal"/>
              <w:widowControl/>
              <w:snapToGrid w:val="false"/>
              <w:rPr/>
            </w:pPr>
            <w:r>
              <w:rPr/>
            </w:r>
          </w:p>
        </w:tc>
        <w:tc>
          <w:tcPr>
            <w:tcW w:w="3960" w:type="dxa"/>
            <w:tcBorders>
              <w:bottom w:val="single" w:sz="6" w:space="0" w:color="000000"/>
            </w:tcBorders>
          </w:tcPr>
          <w:p>
            <w:pPr>
              <w:pStyle w:val="Normal"/>
              <w:widowControl/>
              <w:rPr/>
            </w:pPr>
            <w:r>
              <w:rPr/>
              <w:t xml:space="preserve">  </w:t>
            </w:r>
            <w:r>
              <w:rPr/>
              <w:t>/s/   LORETTA LYNCH</w:t>
            </w:r>
          </w:p>
        </w:tc>
      </w:tr>
      <w:tr>
        <w:trPr/>
        <w:tc>
          <w:tcPr>
            <w:tcW w:w="3060" w:type="dxa"/>
            <w:tcBorders/>
          </w:tcPr>
          <w:p>
            <w:pPr>
              <w:pStyle w:val="Normal"/>
              <w:widowControl/>
              <w:snapToGrid w:val="false"/>
              <w:jc w:val="center"/>
              <w:rPr/>
            </w:pPr>
            <w:r>
              <w:rPr/>
            </w:r>
          </w:p>
        </w:tc>
        <w:tc>
          <w:tcPr>
            <w:tcW w:w="990" w:type="dxa"/>
            <w:tcBorders/>
          </w:tcPr>
          <w:p>
            <w:pPr>
              <w:pStyle w:val="Normal"/>
              <w:widowControl/>
              <w:snapToGrid w:val="false"/>
              <w:rPr/>
            </w:pPr>
            <w:r>
              <w:rPr/>
            </w:r>
          </w:p>
        </w:tc>
        <w:tc>
          <w:tcPr>
            <w:tcW w:w="3960" w:type="dxa"/>
            <w:tcBorders/>
          </w:tcPr>
          <w:p>
            <w:pPr>
              <w:pStyle w:val="Normal"/>
              <w:widowControl/>
              <w:jc w:val="center"/>
              <w:rPr/>
            </w:pPr>
            <w:r>
              <w:rPr/>
              <w:t>Loretta Lynch</w:t>
            </w:r>
          </w:p>
          <w:p>
            <w:pPr>
              <w:pStyle w:val="Normal"/>
              <w:widowControl/>
              <w:jc w:val="center"/>
              <w:rPr/>
            </w:pPr>
            <w:r>
              <w:rPr/>
              <w:t>Assigned Commissioner</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990" w:footer="720" w:bottom="1440"/>
          <w:pgNumType w:fmt="decimal"/>
          <w:formProt w:val="false"/>
          <w:titlePg/>
          <w:textDirection w:val="lrTb"/>
        </w:sectPr>
      </w:pPr>
    </w:p>
    <w:p>
      <w:pPr>
        <w:pStyle w:val="main"/>
        <w:widowControl/>
        <w:rPr/>
      </w:pPr>
      <w:r>
        <w:rPr/>
        <w:t>CERTIFICATE OF SERVICE</w:t>
      </w:r>
    </w:p>
    <w:p>
      <w:pPr>
        <w:pStyle w:val="Normal"/>
        <w:widowControl/>
        <w:rPr/>
      </w:pPr>
      <w:r>
        <w:rPr/>
      </w:r>
    </w:p>
    <w:p>
      <w:pPr>
        <w:pStyle w:val="Normal"/>
        <w:widowControl/>
        <w:spacing w:lineRule="auto" w:line="360"/>
        <w:rPr/>
      </w:pPr>
      <w:r>
        <w:rPr/>
      </w:r>
    </w:p>
    <w:p>
      <w:pPr>
        <w:pStyle w:val="standard"/>
        <w:widowControl/>
        <w:rPr/>
      </w:pPr>
      <w:r>
        <w:rPr/>
        <w:t>I certify that I have by mail this day served a true copy of the original attached Assigned Commissioner’s Ruling on all parties of record in this proceeding or their attorneys of record.</w:t>
      </w:r>
    </w:p>
    <w:p>
      <w:pPr>
        <w:pStyle w:val="standard"/>
        <w:widowControl/>
        <w:rPr/>
      </w:pPr>
      <w:r>
        <w:rPr/>
        <w:t>Dated January 26, 2001, at San Francisco, California.</w:t>
      </w:r>
    </w:p>
    <w:p>
      <w:pPr>
        <w:pStyle w:val="Normal"/>
        <w:widowContro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widowControl/>
              <w:rPr/>
            </w:pPr>
            <w:r>
              <w:rPr/>
              <w:t xml:space="preserve">    </w:t>
            </w:r>
            <w:r>
              <w:rPr/>
              <w:t>/s/  FANNIE SID</w:t>
            </w:r>
          </w:p>
        </w:tc>
      </w:tr>
      <w:tr>
        <w:trPr/>
        <w:tc>
          <w:tcPr>
            <w:tcW w:w="3420" w:type="dxa"/>
            <w:tcBorders/>
          </w:tcPr>
          <w:p>
            <w:pPr>
              <w:pStyle w:val="Normal"/>
              <w:widowControl/>
              <w:jc w:val="center"/>
              <w:rPr/>
            </w:pPr>
            <w:r>
              <w:rPr/>
              <w:t>Fannie Sid</w:t>
            </w:r>
          </w:p>
        </w:tc>
      </w:tr>
    </w:tbl>
    <w:p>
      <w:pPr>
        <w:pStyle w:val="Normal"/>
        <w:widowControl/>
        <w:rPr/>
      </w:pPr>
      <w:r>
        <w:rPr/>
      </w:r>
    </w:p>
    <w:p>
      <w:pPr>
        <w:pStyle w:val="Normal"/>
        <w:widowControl/>
        <w:spacing w:lineRule="auto" w:line="360"/>
        <w:rPr/>
      </w:pPr>
      <w:r>
        <w:rPr/>
      </w:r>
    </w:p>
    <w:p>
      <w:pPr>
        <w:pStyle w:val="mainex"/>
        <w:widowControl/>
        <w:rPr/>
      </w:pPr>
      <w:r>
        <w:rPr/>
        <w:t>NOTICE</w:t>
      </w:r>
    </w:p>
    <w:p>
      <w:pPr>
        <w:pStyle w:val="Normal"/>
        <w:widowControl/>
        <w:rPr/>
      </w:pPr>
      <w:r>
        <w:rPr/>
      </w:r>
    </w:p>
    <w:p>
      <w:pPr>
        <w:pStyle w:val="Normal"/>
        <w:widowContro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widowControl/>
        <w:ind w:start="1440" w:end="0"/>
        <w:rPr/>
      </w:pPr>
      <w:r>
        <w:rPr/>
      </w:r>
    </w:p>
    <w:p>
      <w:pPr>
        <w:pStyle w:val="Normal"/>
        <w:widowControl/>
        <w:tabs>
          <w:tab w:val="clear" w:pos="720"/>
          <w:tab w:val="left" w:pos="0" w:leader="none"/>
        </w:tabs>
        <w:ind w:start="1440" w:end="1440"/>
        <w:rPr/>
      </w:pPr>
      <w:r>
        <w:rPr/>
        <w:t>* * * * * * * * * * * * * * * * * * * * * * * * * * * * * * * * * * * * * * *</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TTY# 1-866-836-7825 or (415) 703-5282 at least three working days in advance of the event.</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1"/>
    <w:family w:val="roman"/>
    <w:pitch w:val="default"/>
  </w:font>
  <w:font w:name="Helvetica">
    <w:altName w:val="Arial"/>
    <w:charset w:val="01"/>
    <w:family w:val="swiss"/>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3</w:t>
    </w:r>
    <w:r>
      <w:rPr>
        <w:rStyle w:val="PageNumber"/>
        <w:sz w:val="26"/>
        <w:szCs w:val="26"/>
      </w:rPr>
      <w:fldChar w:fldCharType="end"/>
    </w:r>
    <w:r>
      <w:rPr>
        <w:rStyle w:val="PageNumber"/>
        <w:sz w:val="26"/>
        <w:szCs w:val="2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590" w:leader="none"/>
        <w:tab w:val="right" w:pos="8640" w:leader="none"/>
      </w:tabs>
      <w:jc w:val="start"/>
      <w:rPr/>
    </w:pPr>
    <w:r>
      <w:rPr>
        <w:sz w:val="16"/>
        <w:szCs w:val="16"/>
      </w:rPr>
      <w:t>88123</w:t>
    </w:r>
    <w:r>
      <w:rPr/>
      <w:tab/>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5</w:t>
    </w:r>
    <w:r>
      <w:rPr>
        <w:rStyle w:val="PageNumber"/>
        <w:sz w:val="26"/>
        <w:szCs w:val="26"/>
      </w:rPr>
      <w:fldChar w:fldCharType="end"/>
    </w:r>
    <w:r>
      <w:rPr>
        <w:rStyle w:val="PageNumber"/>
        <w:sz w:val="26"/>
        <w:szCs w:val="2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240"/>
        <w:rPr/>
      </w:pPr>
      <w:r>
        <w:rPr>
          <w:rStyle w:val="FootnoteCharacters"/>
        </w:rPr>
        <w:footnoteRef/>
      </w:r>
      <w:r>
        <w:rPr/>
        <w:t xml:space="preserve">  </w:t>
      </w:r>
      <w:r>
        <w:rPr/>
        <w:t>The scope of this proceeding is identified in my December 22, 2000 Initial Scoping ruling and Decision (D.) 01-01-018.  In D.01-01-018, the Commission took emergency action to address the financial condition of Pacific Gas and Electric Company (PG&amp;E) and Southern California Edison Company (Edison) by adopting an interim, temporary surcharge of 1 cent per kilowatt hour (kWh) applied on a usage basis to all customers except low-income customers eligible for the California Alternative Rates for Energy (CARE) program.  The temporary surcharge adopted in D.01-01-018 is effective January 4, 2001 and will be in effect and applied to recovery of PG&amp;E’s and Edison’s future electricity procurement costs for the next 90 days.</w:t>
      </w:r>
    </w:p>
  </w:footnote>
  <w:footnote w:id="3">
    <w:p>
      <w:pPr>
        <w:pStyle w:val="FootnoteText"/>
        <w:widowControl/>
        <w:spacing w:before="0" w:after="240"/>
        <w:rPr/>
      </w:pPr>
      <w:r>
        <w:rPr>
          <w:rStyle w:val="FootnoteCharacters"/>
        </w:rPr>
        <w:footnoteRef/>
      </w:r>
      <w:r>
        <w:rPr/>
        <w:t xml:space="preserve">  </w:t>
      </w:r>
      <w:r>
        <w:rPr/>
        <w:t>Parties reaching agreement are PG&amp;E, Edison, The Utility Reform Network (TURN), Aglet Consumer Alliance (Aglet), California Large Energy Consumers Association (CLECA), California Industrial Users (CIU), Office of Ratepayer Advocates (ORA), Enron Energy Services, Inc. and Enron North America (Enron), Ratepayers, Utility Consumers’ Action Network (UCAN), California Farm Bureau Federation (Farm Bureau), California Manufacturers and Technology Association, Federal Executive Agencies, Energy Producers and Users Coalition, California Industrial Users (CIU) and Greenlining/Latino Forum (GL/LF).</w:t>
      </w:r>
    </w:p>
  </w:footnote>
  <w:footnote w:id="4">
    <w:p>
      <w:pPr>
        <w:pStyle w:val="FootnoteText"/>
        <w:widowControl/>
        <w:spacing w:before="0" w:after="240"/>
        <w:rPr/>
      </w:pPr>
      <w:r>
        <w:rPr>
          <w:rStyle w:val="FootnoteCharacters"/>
        </w:rPr>
        <w:footnoteRef/>
      </w:r>
      <w:r>
        <w:rPr/>
        <w:t xml:space="preserve">  </w:t>
      </w:r>
      <w:r>
        <w:rPr/>
        <w:t xml:space="preserve">This proposal is based on the release of the independent auditors reports in time to be addressed in February 5 testimony; the Commission will release these reports as soon as they are complete.  </w:t>
      </w:r>
    </w:p>
  </w:footnote>
  <w:footnote w:id="5">
    <w:p>
      <w:pPr>
        <w:pStyle w:val="FootnoteText"/>
        <w:widowControl/>
        <w:spacing w:before="0" w:after="240"/>
        <w:rPr/>
      </w:pPr>
      <w:r>
        <w:rPr>
          <w:rStyle w:val="FootnoteCharacters"/>
        </w:rPr>
        <w:footnoteRef/>
      </w:r>
      <w:r>
        <w:rPr/>
        <w:t xml:space="preserve">  </w:t>
      </w:r>
      <w:r>
        <w:rPr/>
        <w:t>The Commission’s regularly scheduled meetings are March 27 and then</w:t>
      </w:r>
      <w:r>
        <w:rPr>
          <w:vertAlign w:val="superscript"/>
        </w:rPr>
        <w:t xml:space="preserve"> </w:t>
      </w:r>
      <w:r>
        <w:rPr/>
        <w:t xml:space="preserve">April 19, 2001.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LYN/CMW/sid</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LYN/CMW/sid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1155"/>
        </w:tabs>
        <w:ind w:start="1155" w:hanging="115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w:lvlJc w:val="start"/>
      <w:pPr>
        <w:tabs>
          <w:tab w:val="num" w:pos="1155"/>
        </w:tabs>
        <w:ind w:start="1155" w:hanging="1155"/>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8"/>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Book Antiqua" w:hAnsi="Palatino;Book Antiqua" w:eastAsia="Palatino;Book Antiqua" w:cs="Palatino;Book Antiqua"/>
      <w:color w:val="auto"/>
      <w:sz w:val="26"/>
      <w:szCs w:val="26"/>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eastAsia="Helvetica;Arial" w:cs="Helvetica;Arial"/>
      <w:b/>
      <w:bCs/>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eastAsia="Helvetica;Arial" w:cs="Helvetica;Arial"/>
      <w:b/>
      <w:bCs/>
      <w:i/>
      <w:iCs/>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eastAsia="Helvetica;Arial" w:cs="Helvetica;Arial"/>
      <w:b/>
      <w:bCs/>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eastAsia="Helvetica;Arial" w:cs="Helvetica;Arial"/>
      <w:b/>
      <w:bCs/>
      <w:i/>
      <w:iCs/>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eastAsia="Helvetica;Arial" w:cs="Helvetica;Arial"/>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szCs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szCs w:val="24"/>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eastAsia="Helvetica;Arial" w:cs="Helvetica;Arial"/>
      <w:b/>
      <w:bCs/>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2001-01-19T13:13:00Z</dcterms:created>
  <dc:creator>Fannie Sid</dc:creator>
  <dc:description/>
  <dc:language>en-CA</dc:language>
  <cp:lastModifiedBy>Fannie Sid</cp:lastModifiedBy>
  <cp:lastPrinted>2001-01-28T11:10:00Z</cp:lastPrinted>
  <dcterms:modified xsi:type="dcterms:W3CDTF">2001-01-26T14:24:00Z</dcterms:modified>
  <cp:revision>1</cp:revision>
  <dc:subject/>
  <dc:title>BEFORE THE PUBLIC UTILITIES COMMISSION OF THE STATE OF CALIFORNIA</dc:title>
</cp:coreProperties>
</file>