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rPr/>
      </w:pPr>
      <w:r>
        <w:rPr/>
        <w:t>LYN/JRD/avs  4/27/2001</w:t>
      </w:r>
    </w:p>
    <w:p>
      <w:pPr>
        <w:pStyle w:val="Header"/>
        <w:rPr/>
      </w:pPr>
      <w:r>
        <w:rPr/>
      </w:r>
    </w:p>
    <w:p>
      <w:pPr>
        <w:pStyle w:val="Header"/>
        <w:rPr/>
      </w:pPr>
      <w:r>
        <w:rPr/>
      </w:r>
    </w:p>
    <w:p>
      <w:pPr>
        <w:pStyle w:val="Header"/>
        <w:rPr/>
      </w:pPr>
      <w:r>
        <w:rPr/>
      </w:r>
    </w:p>
    <w:p>
      <w:pPr>
        <w:pStyle w:val="Header"/>
        <w:rPr/>
      </w:pPr>
      <w:r>
        <w:rPr/>
      </w:r>
    </w:p>
    <w:p>
      <w:pPr>
        <w:pStyle w:val="main"/>
        <w:rPr>
          <w:sz w:val="24"/>
        </w:rPr>
      </w:pPr>
      <w:r>
        <w:rPr>
          <w:sz w:val="24"/>
        </w:rPr>
        <w:t>BEFORE THE PUBLIC UTILITIES COMMISSION OF THE STATE OF CALIFORNIA</w:t>
      </w:r>
    </w:p>
    <w:p>
      <w:pPr>
        <w:pStyle w:val="Normal"/>
        <w:suppressAutoHyphens w:val="true"/>
        <w:rPr>
          <w:sz w:val="24"/>
        </w:rPr>
      </w:pPr>
      <w:r>
        <w:rPr>
          <w:sz w:val="24"/>
        </w:rPr>
      </w:r>
    </w:p>
    <w:tbl>
      <w:tblPr>
        <w:tblW w:w="9245" w:type="dxa"/>
        <w:jc w:val="start"/>
        <w:tblInd w:w="0" w:type="dxa"/>
        <w:tblLayout w:type="fixed"/>
        <w:tblCellMar>
          <w:top w:w="0" w:type="dxa"/>
          <w:start w:w="108" w:type="dxa"/>
          <w:bottom w:w="0" w:type="dxa"/>
          <w:end w:w="108" w:type="dxa"/>
        </w:tblCellMar>
      </w:tblPr>
      <w:tblGrid>
        <w:gridCol w:w="5958"/>
        <w:gridCol w:w="3287"/>
      </w:tblGrid>
      <w:tr>
        <w:trPr/>
        <w:tc>
          <w:tcPr>
            <w:tcW w:w="5958" w:type="dxa"/>
            <w:tcBorders>
              <w:end w:val="single" w:sz="6" w:space="0" w:color="000000"/>
            </w:tcBorders>
          </w:tcPr>
          <w:p>
            <w:pPr>
              <w:pStyle w:val="Normal"/>
              <w:tabs>
                <w:tab w:val="clear" w:pos="288"/>
                <w:tab w:val="left" w:pos="2160" w:leader="none"/>
                <w:tab w:val="left" w:pos="3600" w:leader="none"/>
              </w:tabs>
              <w:rPr/>
            </w:pPr>
            <w:r>
              <w:rPr/>
              <w:t>Application of Southern California Edison Company (E 3338-E) for Authority to Institute a Rate Stabilization Plan with a Rate Increase and End of Rate Freeze Tariffs.</w:t>
            </w:r>
          </w:p>
          <w:p>
            <w:pPr>
              <w:pStyle w:val="Normal"/>
              <w:rPr/>
            </w:pPr>
            <w:r>
              <w:rPr/>
            </w:r>
          </w:p>
        </w:tc>
        <w:tc>
          <w:tcPr>
            <w:tcW w:w="3287" w:type="dxa"/>
            <w:tcBorders/>
          </w:tcPr>
          <w:p>
            <w:pPr>
              <w:pStyle w:val="Normal"/>
              <w:snapToGrid w:val="false"/>
              <w:jc w:val="center"/>
              <w:rPr/>
            </w:pPr>
            <w:r>
              <w:rPr/>
            </w:r>
          </w:p>
          <w:p>
            <w:pPr>
              <w:pStyle w:val="Normal"/>
              <w:jc w:val="center"/>
              <w:rPr/>
            </w:pPr>
            <w:r>
              <w:rPr/>
              <w:t>Application 00-11-038</w:t>
            </w:r>
          </w:p>
          <w:p>
            <w:pPr>
              <w:pStyle w:val="Normal"/>
              <w:jc w:val="center"/>
              <w:rPr/>
            </w:pPr>
            <w:r>
              <w:rPr/>
              <w:t>(Filed November 16, 2000)</w:t>
            </w:r>
          </w:p>
        </w:tc>
      </w:tr>
      <w:tr>
        <w:trPr/>
        <w:tc>
          <w:tcPr>
            <w:tcW w:w="5958" w:type="dxa"/>
            <w:tcBorders>
              <w:top w:val="single" w:sz="4" w:space="0" w:color="000000"/>
              <w:bottom w:val="single" w:sz="4" w:space="0" w:color="000000"/>
              <w:end w:val="single" w:sz="6" w:space="0" w:color="000000"/>
            </w:tcBorders>
          </w:tcPr>
          <w:p>
            <w:pPr>
              <w:pStyle w:val="Normal"/>
              <w:tabs>
                <w:tab w:val="clear" w:pos="288"/>
                <w:tab w:val="left" w:pos="2160" w:leader="none"/>
                <w:tab w:val="left" w:pos="3600" w:leader="none"/>
              </w:tabs>
              <w:snapToGrid w:val="false"/>
              <w:rPr/>
            </w:pPr>
            <w:r>
              <w:rPr/>
            </w:r>
          </w:p>
          <w:p>
            <w:pPr>
              <w:pStyle w:val="Normal"/>
              <w:tabs>
                <w:tab w:val="clear" w:pos="288"/>
                <w:tab w:val="left" w:pos="2160" w:leader="none"/>
                <w:tab w:val="left" w:pos="3600" w:leader="none"/>
              </w:tabs>
              <w:rPr/>
            </w:pPr>
            <w:r>
              <w:rPr/>
              <w:t>Emergency Application of Pacific Gas and Electric Company to Adopt a Rate Stabilization Plan.  (U 39 E)</w:t>
            </w:r>
          </w:p>
          <w:p>
            <w:pPr>
              <w:pStyle w:val="Normal"/>
              <w:tabs>
                <w:tab w:val="clear" w:pos="288"/>
                <w:tab w:val="left" w:pos="2160" w:leader="none"/>
                <w:tab w:val="left" w:pos="3600" w:leader="none"/>
              </w:tabs>
              <w:rPr/>
            </w:pPr>
            <w:r>
              <w:rPr/>
            </w:r>
          </w:p>
        </w:tc>
        <w:tc>
          <w:tcPr>
            <w:tcW w:w="3287" w:type="dxa"/>
            <w:tcBorders/>
          </w:tcPr>
          <w:p>
            <w:pPr>
              <w:pStyle w:val="Normal"/>
              <w:snapToGrid w:val="false"/>
              <w:jc w:val="center"/>
              <w:rPr/>
            </w:pPr>
            <w:r>
              <w:rPr/>
            </w:r>
          </w:p>
          <w:p>
            <w:pPr>
              <w:pStyle w:val="Footer"/>
              <w:tabs>
                <w:tab w:val="clear" w:pos="4320"/>
                <w:tab w:val="clear" w:pos="8640"/>
              </w:tabs>
              <w:rPr/>
            </w:pPr>
            <w:r>
              <w:rPr/>
              <w:t>Application 00-11-056</w:t>
            </w:r>
          </w:p>
          <w:p>
            <w:pPr>
              <w:pStyle w:val="Normal"/>
              <w:jc w:val="center"/>
              <w:rPr/>
            </w:pPr>
            <w:r>
              <w:rPr/>
              <w:t>(Filed November 22, 2000)</w:t>
            </w:r>
          </w:p>
        </w:tc>
      </w:tr>
      <w:tr>
        <w:trPr/>
        <w:tc>
          <w:tcPr>
            <w:tcW w:w="5958" w:type="dxa"/>
            <w:tcBorders>
              <w:bottom w:val="single" w:sz="6" w:space="0" w:color="000000"/>
              <w:end w:val="single" w:sz="6" w:space="0" w:color="000000"/>
            </w:tcBorders>
          </w:tcPr>
          <w:p>
            <w:pPr>
              <w:pStyle w:val="Normal"/>
              <w:tabs>
                <w:tab w:val="clear" w:pos="288"/>
                <w:tab w:val="left" w:pos="2160" w:leader="none"/>
                <w:tab w:val="left" w:pos="3600" w:leader="none"/>
              </w:tabs>
              <w:snapToGrid w:val="false"/>
              <w:rPr/>
            </w:pPr>
            <w:r>
              <w:rPr/>
            </w:r>
          </w:p>
          <w:p>
            <w:pPr>
              <w:pStyle w:val="Normal"/>
              <w:tabs>
                <w:tab w:val="clear" w:pos="288"/>
                <w:tab w:val="left" w:pos="2160" w:leader="none"/>
                <w:tab w:val="left" w:pos="3600" w:leader="none"/>
              </w:tabs>
              <w:rPr/>
            </w:pPr>
            <w:r>
              <w:rPr/>
              <w:t>Petition of THE UTILITY REFORM NETWORK for Modification of Resolution E-3527.</w:t>
            </w:r>
          </w:p>
          <w:p>
            <w:pPr>
              <w:pStyle w:val="Normal"/>
              <w:tabs>
                <w:tab w:val="clear" w:pos="288"/>
                <w:tab w:val="left" w:pos="2160" w:leader="none"/>
                <w:tab w:val="left" w:pos="3600" w:leader="none"/>
              </w:tabs>
              <w:rPr/>
            </w:pPr>
            <w:r>
              <w:rPr/>
            </w:r>
          </w:p>
        </w:tc>
        <w:tc>
          <w:tcPr>
            <w:tcW w:w="3287" w:type="dxa"/>
            <w:tcBorders/>
          </w:tcPr>
          <w:p>
            <w:pPr>
              <w:pStyle w:val="Normal"/>
              <w:snapToGrid w:val="false"/>
              <w:jc w:val="center"/>
              <w:rPr/>
            </w:pPr>
            <w:r>
              <w:rPr/>
            </w:r>
          </w:p>
          <w:p>
            <w:pPr>
              <w:pStyle w:val="Normal"/>
              <w:jc w:val="center"/>
              <w:rPr/>
            </w:pPr>
            <w:r>
              <w:rPr/>
              <w:t>Application 00-10-028</w:t>
            </w:r>
          </w:p>
          <w:p>
            <w:pPr>
              <w:pStyle w:val="Normal"/>
              <w:jc w:val="center"/>
              <w:rPr/>
            </w:pPr>
            <w:r>
              <w:rPr/>
              <w:t>(Filed October 17, 2000)</w:t>
            </w:r>
          </w:p>
        </w:tc>
      </w:tr>
    </w:tbl>
    <w:p>
      <w:pPr>
        <w:pStyle w:val="Normal"/>
        <w:suppressAutoHyphens w:val="true"/>
        <w:rPr/>
      </w:pPr>
      <w:r>
        <w:rPr/>
      </w:r>
    </w:p>
    <w:p>
      <w:pPr>
        <w:pStyle w:val="Normal"/>
        <w:rPr/>
      </w:pPr>
      <w:r>
        <w:rPr/>
      </w:r>
    </w:p>
    <w:p>
      <w:pPr>
        <w:pStyle w:val="main"/>
        <w:rPr>
          <w:rFonts w:ascii="PALATINO" w:hAnsi="PALATINO" w:cs="PALATINO"/>
        </w:rPr>
      </w:pPr>
      <w:r>
        <w:rPr>
          <w:rFonts w:cs="PALATINO" w:ascii="PALATINO" w:hAnsi="PALATINO"/>
        </w:rPr>
        <w:t xml:space="preserve">JOINT ASSIGNED COMMISSIONER’S AND </w:t>
      </w:r>
    </w:p>
    <w:p>
      <w:pPr>
        <w:pStyle w:val="main"/>
        <w:rPr>
          <w:rFonts w:ascii="PALATINO" w:hAnsi="PALATINO" w:cs="PALATINO"/>
        </w:rPr>
      </w:pPr>
      <w:r>
        <w:rPr>
          <w:rFonts w:cs="PALATINO" w:ascii="PALATINO" w:hAnsi="PALATINO"/>
        </w:rPr>
        <w:t xml:space="preserve">ADMINISTRATIVE LAW JUDGE’S RULING </w:t>
      </w:r>
    </w:p>
    <w:p>
      <w:pPr>
        <w:pStyle w:val="main"/>
        <w:rPr>
          <w:rFonts w:ascii="PALATINO" w:hAnsi="PALATINO" w:cs="PALATINO"/>
        </w:rPr>
      </w:pPr>
      <w:r>
        <w:rPr>
          <w:rFonts w:cs="PALATINO" w:ascii="PALATINO" w:hAnsi="PALATINO"/>
        </w:rPr>
        <w:t xml:space="preserve">REGARDING SOUTHERN CALIFORNIA EDISON COMPANY’S </w:t>
      </w:r>
    </w:p>
    <w:p>
      <w:pPr>
        <w:pStyle w:val="main"/>
        <w:rPr>
          <w:rFonts w:ascii="PALATINO" w:hAnsi="PALATINO" w:cs="PALATINO"/>
        </w:rPr>
      </w:pPr>
      <w:r>
        <w:rPr>
          <w:rFonts w:cs="PALATINO" w:ascii="PALATINO" w:hAnsi="PALATINO"/>
        </w:rPr>
        <w:t>UTILITY RETAINED GENERATION</w:t>
      </w:r>
    </w:p>
    <w:p>
      <w:pPr>
        <w:pStyle w:val="Normal"/>
        <w:suppressAutoHyphens w:val="true"/>
        <w:rPr/>
      </w:pPr>
      <w:r>
        <w:rPr/>
      </w:r>
    </w:p>
    <w:p>
      <w:pPr>
        <w:pStyle w:val="standard"/>
        <w:rPr/>
      </w:pPr>
      <w:r>
        <w:rPr/>
        <w:t>This ruling solicits parties’ responses to certain issues proposed in the Memorandum of Understanding (MOU) signed on April 9, 2001, by the California Department of Water Resources (DWR), Southern California Edison Company (Edison) and Edison International (EI).  The MOU anticipates certain Commission action within 60 days after the date of signing.  This ruling seeks parties’ comments on a way of regulating utility retained generation (URG), an  issue raised in the MOU.</w:t>
      </w:r>
    </w:p>
    <w:p>
      <w:pPr>
        <w:pStyle w:val="standard"/>
        <w:rPr/>
      </w:pPr>
      <w:r>
        <w:rPr/>
        <w:t>URG is generation under the control of the utilities.  The MOU states:</w:t>
      </w:r>
    </w:p>
    <w:p>
      <w:pPr>
        <w:pStyle w:val="quote"/>
        <w:spacing w:before="120" w:after="120"/>
        <w:rPr/>
      </w:pPr>
      <w:r>
        <w:rPr/>
        <w:t>…</w:t>
      </w:r>
      <w:r>
        <w:rPr/>
        <w:t xml:space="preserve">SCE’s generation assets, including all energy, capacity, ancillary services, and any combination thereof, to which SCE has a contractual right (collectively </w:t>
      </w:r>
      <w:r>
        <w:rPr>
          <w:i/>
        </w:rPr>
        <w:t>“URG”</w:t>
      </w:r>
      <w:r>
        <w:rPr/>
        <w:t>), will be committed to cost</w:t>
        <w:noBreakHyphen/>
        <w:t>based ratemaking for SCE’s bundled service customers, and SCE will not seek authority to sell such assets, through December 31, 2010.  In addition, SCE will operate its URG in accordance with good utility practices, subject to the further terms hereof.  SCE’s URG includes its interests in Units 2 and 3 of the San Onofre Nuclear Generating Station ("</w:t>
      </w:r>
      <w:r>
        <w:rPr>
          <w:i/>
        </w:rPr>
        <w:t>SONGS</w:t>
      </w:r>
      <w:r>
        <w:rPr/>
        <w:t>"), the Palo Verde Nuclear Generating Station ("</w:t>
      </w:r>
      <w:r>
        <w:rPr>
          <w:i/>
        </w:rPr>
        <w:t>PVNGS</w:t>
      </w:r>
      <w:r>
        <w:rPr/>
        <w:t>"), the Mohave Generating Station ("</w:t>
      </w:r>
      <w:r>
        <w:rPr>
          <w:i/>
        </w:rPr>
        <w:t>Mohave</w:t>
      </w:r>
      <w:r>
        <w:rPr/>
        <w:t>"), the Four Corners Generating Station (</w:t>
      </w:r>
      <w:r>
        <w:rPr>
          <w:i/>
        </w:rPr>
        <w:t>"Four Corners"</w:t>
      </w:r>
      <w:r>
        <w:rPr/>
        <w:t>), SCE’s hydroelectric facilities ("</w:t>
      </w:r>
      <w:r>
        <w:rPr>
          <w:i/>
        </w:rPr>
        <w:t>Hydro Facilities</w:t>
      </w:r>
      <w:r>
        <w:rPr/>
        <w:t>"), and the Pebbly Beach generating facility.  URG also includes, for their respective terms, power purchase contracts that SCE currently has, and other contractual rights that SCE currently has, to purchase energy, capacity, ancillary services and any combination thereof, from other utilities, power suppliers or qualifying facilities</w:t>
      </w:r>
      <w:r>
        <w:rPr>
          <w:b/>
        </w:rPr>
        <w:t>…</w:t>
      </w:r>
    </w:p>
    <w:p>
      <w:pPr>
        <w:pStyle w:val="quote"/>
        <w:ind w:end="1440"/>
        <w:rPr/>
      </w:pPr>
      <w:r>
        <w:rPr/>
        <w:t>…</w:t>
      </w:r>
      <w:r>
        <w:rPr/>
        <w:t>SCE will be entitled to collect revenues sufficient to cover its costs from January 1, 2001, associated with its URG (and all costs for ancillary services or other ISO costs associated with CDWR’s procurement of the net short allocated to SCE under Section 10) on a timely basis, in accordance with the principles of cost-based ratemaking as applied in this State.  In this regard, one of the CPUC Implementing Decisions shall be the adoption by the CPUC of procedures (which may include one or more balancing accounts and trigger mechanisms) designed to ensure that any undercollection or overcollection of URG costs (provided that actual costs of utility-owned generation shall equal authorized costs, except for variable fuel costs) will be reconciled in a timely manner and that any undercollection can be financed on reasonable terms consistent with SCE being an investment grade credit (the "</w:t>
      </w:r>
      <w:r>
        <w:rPr>
          <w:i/>
        </w:rPr>
        <w:t>URG Cost Recovery Mechanism</w:t>
      </w:r>
      <w:r>
        <w:rPr/>
        <w:t>").  The legislation necessary for the implementation of the Plan shall include legislation overriding any applicable limits in A.B. 1890 which may be inconsistent with the foregoing recovery principle.  For the period from January 1 through 31, 2001, SCE will be deemed to have recovered its costs associated with its URG</w:t>
      </w:r>
      <w:r>
        <w:rPr>
          <w:b/>
        </w:rPr>
        <w:t xml:space="preserve"> </w:t>
      </w:r>
      <w:r>
        <w:rPr/>
        <w:t>through the operation of the Transition Cost Balancing Account (</w:t>
      </w:r>
      <w:r>
        <w:rPr>
          <w:i/>
        </w:rPr>
        <w:t>"TCBA")</w:t>
      </w:r>
      <w:r>
        <w:rPr/>
        <w:t>, except for depreciation and amortization that SCE shall recover as a capital-related cost as described below.</w:t>
      </w:r>
    </w:p>
    <w:p>
      <w:pPr>
        <w:pStyle w:val="standard"/>
        <w:rPr/>
      </w:pPr>
      <w:r>
        <w:rPr/>
        <w:t>Subject to the further provisions of this MOU respecting recovery of investments, and the ratemaking principles set forth herein, a CPUC Implementing Decision shall provide that SCE’s costs associated with its URG will include, through December 31, 2010:</w:t>
      </w:r>
    </w:p>
    <w:p>
      <w:pPr>
        <w:pStyle w:val="quote"/>
        <w:spacing w:before="120" w:after="120"/>
        <w:ind w:end="1440"/>
        <w:rPr/>
      </w:pPr>
      <w:r>
        <w:rPr/>
        <w:t>All customary categories of operating costs, including, but not limited to, fuel costs (fixed and variable), operations and maintenance expenses, costs of emissions credits (subject to the further provisions of Section 7), direct, joint and common administrative and general (A&amp;G) costs (excluding non-site specific general plant, which shall be treated as a capital cost), taxes, scheduling and dispatch costs, congestion costs, ancillary service costs, and other transmission-related costs charged to generators.</w:t>
      </w:r>
    </w:p>
    <w:p>
      <w:pPr>
        <w:pStyle w:val="quote"/>
        <w:spacing w:before="120" w:after="120"/>
        <w:ind w:end="1440"/>
        <w:rPr/>
      </w:pPr>
      <w:r>
        <w:rPr/>
        <w:t>For SONGS 2 and 3, other than transmission-related costs, operating costs will be recovered through 2003 through the existing Incremental Cost Incentive Procedure (“</w:t>
      </w:r>
      <w:r>
        <w:rPr>
          <w:i/>
        </w:rPr>
        <w:t>ICIP</w:t>
      </w:r>
      <w:r>
        <w:rPr/>
        <w:t>”) and will be recovered without regard to the ICIP mechanism thereafter.</w:t>
      </w:r>
    </w:p>
    <w:p>
      <w:pPr>
        <w:pStyle w:val="quote"/>
        <w:spacing w:before="120" w:after="120"/>
        <w:ind w:end="1440"/>
        <w:rPr/>
      </w:pPr>
      <w:r>
        <w:rPr/>
        <w:t>All reasonably recorded capital-related costs, including a full return on SCE’s investment in used and useful URG (except as provided herein with respect to SONGS 2 and 3).  SCE’s investment in URG will be set at the net book value of such assets on December 31, 2000, including site specific and non</w:t>
        <w:noBreakHyphen/>
        <w:t xml:space="preserve">site specific general plant and capital additions made after December 31, 1995, the costs of which have been reasonably and prudently incurred, together with their associated income tax regulatory receivable or payable, </w:t>
      </w:r>
      <w:r>
        <w:rPr>
          <w:i/>
        </w:rPr>
        <w:t>provided that</w:t>
      </w:r>
      <w:r>
        <w:rPr/>
        <w:t xml:space="preserve"> the $129,783,000 of non-nuclear site-specific general plant and capital additions made after December 31, 1995 and described on a schedule that has been provided to CDWR and which have not to date been disapproved by the CPUC shall be allowed in SCE’s rate base temporarily until the final approval or disapproval of such additions which shall be accomplished by the CPUC as soon as practicable.  Depreciation schedules will be based on the expected remaining useful life of each plant, fixed for this purpose for the period ending December 31, 2010 for SONGS 2 and 3 and PVNGS.  For purposes of this Section 3, “net book value” means the original cost recorded in SCE's books for a particular asset, less any accumulated depreciation or amortization plus any deferred or flow through taxes.  Assets that have been expensed shall not have a book value.</w:t>
      </w:r>
    </w:p>
    <w:p>
      <w:pPr>
        <w:pStyle w:val="quote"/>
        <w:spacing w:before="120" w:after="120"/>
        <w:ind w:end="1440"/>
        <w:rPr/>
      </w:pPr>
      <w:r>
        <w:rPr/>
        <w:t>All reasonable and prudent incremental capital investments put into service after December 31, 2000.  Such investments, including income taxes and a full return on investment, will be recovered in rates from the time they are placed in service.  Incremental investment which has not otherwise been expensed</w:t>
      </w:r>
      <w:r>
        <w:rPr>
          <w:b/>
        </w:rPr>
        <w:t xml:space="preserve"> </w:t>
      </w:r>
      <w:r>
        <w:rPr/>
        <w:t>will be depreciated over the expected remaining useful life of the plant in question, which for purposes of SONGS 2 and 3 and PVNGS, will be determined by the remaining term of the applicable license for each plant, granted to SCE by the Nuclear Regulatory Commission ("</w:t>
      </w:r>
      <w:r>
        <w:rPr>
          <w:i/>
        </w:rPr>
        <w:t>NRC</w:t>
      </w:r>
      <w:r>
        <w:rPr/>
        <w:t>"), as such licenses may be extended by the NRC.  Notwithstanding anything to the contrary in this Section 3, through 2003 incremental capital expenditures for SONGS 2 and 3 will be recovered through the ICIP mechanism.</w:t>
      </w:r>
    </w:p>
    <w:p>
      <w:pPr>
        <w:pStyle w:val="quote"/>
        <w:spacing w:before="120" w:after="120"/>
        <w:ind w:end="1440"/>
        <w:rPr/>
      </w:pPr>
      <w:r>
        <w:rPr/>
        <w:t xml:space="preserve">Operating decisions, including dispatch decisions, maintenance practices, energy/capacity exchange decisions, and other operating practices shall be performed by SCE in a reasonable and prudent manner.  </w:t>
      </w:r>
    </w:p>
    <w:p>
      <w:pPr>
        <w:pStyle w:val="quote"/>
        <w:ind w:end="1440"/>
        <w:rPr/>
      </w:pPr>
      <w:r>
        <w:rPr/>
        <w:t>Under current CPUC decisions, net revenues from PVNGS after 2001 and net revenues from SONGS 2 and 3 after 2003 are subject to a sharing mechanism whereby profits (as defined) are shared equally between shareholders and customers.  A CPUC Implementing Decision shall provide that such sharing mechanism, and all associated provisions for transfer of post-ICIP cost responsibility to SCE</w:t>
      </w:r>
      <w:r>
        <w:rPr>
          <w:i/>
        </w:rPr>
        <w:t>,</w:t>
      </w:r>
      <w:r>
        <w:rPr/>
        <w:t xml:space="preserve"> will be eliminated through December 31, 2010.  The existing memorandum of understanding respecting SCE’s Hydro Facilities will be rendered moot, and SCE will withdraw its associated application under Public Utilities Code section 377.</w:t>
      </w:r>
    </w:p>
    <w:p>
      <w:pPr>
        <w:pStyle w:val="standard"/>
        <w:rPr/>
      </w:pPr>
      <w:r>
        <w:rPr/>
        <w:t>In Decision (D.) 01-01-061, the Commission adopted an interim approach to pricing URG.  That decision specifically noted that the policy decisions and accounting method adopted would be subject to revision and adjustment (D.01</w:t>
        <w:noBreakHyphen/>
        <w:t xml:space="preserve">01-061, </w:t>
      </w:r>
      <w:r>
        <w:rPr>
          <w:i/>
        </w:rPr>
        <w:t>mimeo.</w:t>
      </w:r>
      <w:r>
        <w:rPr/>
        <w:t xml:space="preserve"> at p. 6.)  D.01-01-061 affirmed that the public interest warrants PG&amp;E, SDG&amp;E and Edison using retained generation to serve native load and that the utilities should price and account for URG using cost-based rates.  </w:t>
      </w:r>
    </w:p>
    <w:p>
      <w:pPr>
        <w:pStyle w:val="standard"/>
        <w:rPr/>
      </w:pPr>
      <w:r>
        <w:rPr/>
        <w:t>We seek the parties’ comments on the following model for determining revenue requirements for URG.</w:t>
      </w:r>
    </w:p>
    <w:p>
      <w:pPr>
        <w:pStyle w:val="standard"/>
        <w:numPr>
          <w:ilvl w:val="0"/>
          <w:numId w:val="13"/>
        </w:numPr>
        <w:tabs>
          <w:tab w:val="clear" w:pos="288"/>
        </w:tabs>
        <w:ind w:firstLine="720" w:start="0" w:end="0"/>
        <w:rPr/>
      </w:pPr>
      <w:r>
        <w:rPr/>
        <w:t>Cost-of-service ratemaking for retained generation assets would follow the model adopted by the Commission in D.01-01-061.</w:t>
      </w:r>
      <w:r>
        <w:rPr>
          <w:rStyle w:val="FootnoteCharacters"/>
          <w:rStyle w:val="FootnoteReference"/>
        </w:rPr>
        <w:footnoteReference w:id="2"/>
      </w:r>
      <w:r>
        <w:rPr/>
        <w:t xml:space="preserve">  URG would be placed into rate base at net book value as of December 31, 2000.  No estimated market value would be allowed for hydroelectric facilities.</w:t>
      </w:r>
    </w:p>
    <w:p>
      <w:pPr>
        <w:pStyle w:val="standard"/>
        <w:numPr>
          <w:ilvl w:val="0"/>
          <w:numId w:val="13"/>
        </w:numPr>
        <w:tabs>
          <w:tab w:val="clear" w:pos="288"/>
        </w:tabs>
        <w:ind w:firstLine="720" w:start="0" w:end="0"/>
        <w:rPr/>
      </w:pPr>
      <w:r>
        <w:rPr/>
        <w:t>The rate of return would be at Edison’s current level of 11.6 % and Edison’s current capital structure.</w:t>
      </w:r>
    </w:p>
    <w:p>
      <w:pPr>
        <w:pStyle w:val="standard"/>
        <w:numPr>
          <w:ilvl w:val="0"/>
          <w:numId w:val="13"/>
        </w:numPr>
        <w:tabs>
          <w:tab w:val="clear" w:pos="288"/>
        </w:tabs>
        <w:ind w:firstLine="720" w:start="0" w:end="0"/>
        <w:rPr/>
      </w:pPr>
      <w:r>
        <w:rPr/>
        <w:t>Depreciation for non-nuclear facilities would be calculated according to the schedules adopted in Edison’s most recent GRC decision.  Depreciation for nuclear facilities would be determined by amortizing capital costs not covered by the ICIP mechanism over the remaining useful life of the nuclear facilities.  Operating costs and capital additions for SONGS through 2003 will be recovered via the ICIP mechanism as required in P.U. Code Section 367.</w:t>
      </w:r>
    </w:p>
    <w:p>
      <w:pPr>
        <w:pStyle w:val="standard"/>
        <w:numPr>
          <w:ilvl w:val="0"/>
          <w:numId w:val="13"/>
        </w:numPr>
        <w:tabs>
          <w:tab w:val="clear" w:pos="288"/>
        </w:tabs>
        <w:ind w:firstLine="720" w:start="0" w:end="0"/>
        <w:rPr/>
      </w:pPr>
      <w:r>
        <w:rPr/>
        <w:t>Taxes would be computed for Edison on the basis of actual costs.</w:t>
      </w:r>
    </w:p>
    <w:p>
      <w:pPr>
        <w:pStyle w:val="standard"/>
        <w:numPr>
          <w:ilvl w:val="0"/>
          <w:numId w:val="13"/>
        </w:numPr>
        <w:tabs>
          <w:tab w:val="clear" w:pos="288"/>
        </w:tabs>
        <w:ind w:firstLine="720" w:start="0" w:end="0"/>
        <w:rPr/>
      </w:pPr>
      <w:r>
        <w:rPr/>
        <w:t>Expenses (operating and maintenance (O&amp;M), administrative and general, etc.) would be based on generation expenses determined in D.97-08-056 and would be escalated by the Consumer Price Index (CPI).</w:t>
      </w:r>
    </w:p>
    <w:p>
      <w:pPr>
        <w:pStyle w:val="standard"/>
        <w:numPr>
          <w:ilvl w:val="0"/>
          <w:numId w:val="13"/>
        </w:numPr>
        <w:tabs>
          <w:tab w:val="clear" w:pos="288"/>
        </w:tabs>
        <w:ind w:firstLine="720" w:start="0" w:end="0"/>
        <w:rPr/>
      </w:pPr>
      <w:r>
        <w:rPr/>
        <w:t>Approximately $130 million in capital additions would be placed in rate base temporarily until a decision is rendered on these issues if Edison can justify the source and nature of these costs in its comments</w:t>
      </w:r>
      <w:r>
        <w:rPr>
          <w:b/>
        </w:rPr>
        <w:t>.</w:t>
      </w:r>
      <w:r>
        <w:rPr>
          <w:rStyle w:val="FootnoteCharacters"/>
          <w:rStyle w:val="FootnoteReference"/>
          <w:b/>
        </w:rPr>
        <w:footnoteReference w:id="3"/>
      </w:r>
    </w:p>
    <w:p>
      <w:pPr>
        <w:pStyle w:val="standard"/>
        <w:numPr>
          <w:ilvl w:val="0"/>
          <w:numId w:val="13"/>
        </w:numPr>
        <w:tabs>
          <w:tab w:val="clear" w:pos="288"/>
        </w:tabs>
        <w:ind w:firstLine="720" w:start="0" w:end="0"/>
        <w:rPr/>
      </w:pPr>
      <w:r>
        <w:rPr/>
        <w:t>Fuel costs, scheduling and dispatch costs, congestion costs, ancillary service costs, and other transmission-related costs charged to generators and revenues would be entered into a balancing account for future recovery.</w:t>
      </w:r>
    </w:p>
    <w:p>
      <w:pPr>
        <w:pStyle w:val="standard"/>
        <w:numPr>
          <w:ilvl w:val="0"/>
          <w:numId w:val="13"/>
        </w:numPr>
        <w:tabs>
          <w:tab w:val="clear" w:pos="288"/>
        </w:tabs>
        <w:ind w:firstLine="720" w:start="0" w:end="0"/>
        <w:rPr/>
      </w:pPr>
      <w:r>
        <w:rPr/>
        <w:t>Rates for Palo Verde Nuclear Generation Station (PVNGS) after 2001 and Units 2 and 3 of the San Onofre Nuclear Generating Station (SONGS) after 2003 would be set according to costs as set forth in Item 1.</w:t>
      </w:r>
    </w:p>
    <w:p>
      <w:pPr>
        <w:pStyle w:val="standard"/>
        <w:keepNext w:val="true"/>
        <w:rPr/>
      </w:pPr>
      <w:r>
        <w:rPr/>
        <w:t xml:space="preserve">Therefore </w:t>
      </w:r>
      <w:r>
        <w:rPr>
          <w:b/>
        </w:rPr>
        <w:t>IT IS RULED</w:t>
      </w:r>
      <w:r>
        <w:rPr/>
        <w:t xml:space="preserve"> that:</w:t>
      </w:r>
    </w:p>
    <w:p>
      <w:pPr>
        <w:pStyle w:val="num1"/>
        <w:numPr>
          <w:ilvl w:val="0"/>
          <w:numId w:val="12"/>
        </w:numPr>
        <w:rPr/>
      </w:pPr>
      <w:r>
        <w:rPr/>
        <w:t xml:space="preserve">By May 4, 2001, Southern California Edison Company shall file comments on the proposed approach to Utility Retained Generation and the URG Cost Recovery Mechanism described in this ruling and Edison’s Memorandum of Understanding (MOU), dated April 9, 2001.  Others who wish to comment shall file comments no later than May 11, 2001. Comments shall be electronically served to all parties with e-mail addresses and hard copies shall be served on those parties who do not have e-mail addresses.  Comments shall be served electronically to Administrative Law Judge (ALJ) DeUlloa at </w:t>
      </w:r>
      <w:hyperlink r:id="rId2">
        <w:r>
          <w:rPr>
            <w:rStyle w:val="Hyperlink"/>
          </w:rPr>
          <w:t>jrd@cpuc.ca.gov</w:t>
        </w:r>
      </w:hyperlink>
      <w:r>
        <w:rPr/>
        <w:t xml:space="preserve">, to Commissioner Lynch at </w:t>
      </w:r>
      <w:hyperlink r:id="rId3">
        <w:r>
          <w:rPr>
            <w:rStyle w:val="Hyperlink"/>
          </w:rPr>
          <w:t>lyn@cpuc.ca.gov</w:t>
        </w:r>
      </w:hyperlink>
      <w:r>
        <w:rPr/>
        <w:t xml:space="preserve">, and to Doug Long of the Energy Division at </w:t>
      </w:r>
      <w:hyperlink r:id="rId4">
        <w:r>
          <w:rPr>
            <w:rStyle w:val="Hyperlink"/>
          </w:rPr>
          <w:t>dug@cpuc.ca.gov</w:t>
        </w:r>
      </w:hyperlink>
      <w:r>
        <w:rPr/>
        <w:t>. Comments shall be filed by hard copy at the Commission’s Docket Office.</w:t>
      </w:r>
    </w:p>
    <w:p>
      <w:pPr>
        <w:pStyle w:val="num1"/>
        <w:numPr>
          <w:ilvl w:val="0"/>
          <w:numId w:val="12"/>
        </w:numPr>
        <w:rPr/>
      </w:pPr>
      <w:r>
        <w:rPr/>
        <w:t>Parties may file and serve reply comments using the same filing and service protocols delineated above by May 14, 2001.</w:t>
      </w:r>
    </w:p>
    <w:p>
      <w:pPr>
        <w:pStyle w:val="num1"/>
        <w:numPr>
          <w:ilvl w:val="0"/>
          <w:numId w:val="12"/>
        </w:numPr>
        <w:rPr/>
      </w:pPr>
      <w:r>
        <w:rPr/>
        <w:t>This ruling should be served on parties to Application (A.) 99-04-024, Rulemaking 94</w:t>
        <w:noBreakHyphen/>
        <w:t>04</w:t>
        <w:noBreakHyphen/>
        <w:t>031 and Investigation 94-04-032, A.93-12-025 and A.96-02-056.</w:t>
      </w:r>
    </w:p>
    <w:p>
      <w:pPr>
        <w:pStyle w:val="standard"/>
        <w:rPr/>
      </w:pPr>
      <w:r>
        <w:rPr/>
        <w:t>Dated April 27, 2001, at San Francisco, California.</w:t>
      </w:r>
    </w:p>
    <w:tbl>
      <w:tblPr>
        <w:tblW w:w="8010" w:type="dxa"/>
        <w:jc w:val="start"/>
        <w:tblInd w:w="828" w:type="dxa"/>
        <w:tblLayout w:type="fixed"/>
        <w:tblCellMar>
          <w:top w:w="0" w:type="dxa"/>
          <w:start w:w="108" w:type="dxa"/>
          <w:bottom w:w="0" w:type="dxa"/>
          <w:end w:w="108" w:type="dxa"/>
        </w:tblCellMar>
      </w:tblPr>
      <w:tblGrid>
        <w:gridCol w:w="3060"/>
        <w:gridCol w:w="990"/>
        <w:gridCol w:w="3960"/>
      </w:tblGrid>
      <w:tr>
        <w:trPr/>
        <w:tc>
          <w:tcPr>
            <w:tcW w:w="3060" w:type="dxa"/>
            <w:tcBorders>
              <w:bottom w:val="single" w:sz="4" w:space="0" w:color="000000"/>
            </w:tcBorders>
          </w:tcPr>
          <w:p>
            <w:pPr>
              <w:pStyle w:val="Footer"/>
              <w:tabs>
                <w:tab w:val="clear" w:pos="4320"/>
                <w:tab w:val="clear" w:pos="8640"/>
              </w:tabs>
              <w:rPr/>
            </w:pPr>
            <w:r>
              <w:rPr/>
              <w:t>/s/ Loretta M. Lynch</w:t>
            </w:r>
          </w:p>
        </w:tc>
        <w:tc>
          <w:tcPr>
            <w:tcW w:w="990" w:type="dxa"/>
            <w:tcBorders/>
          </w:tcPr>
          <w:p>
            <w:pPr>
              <w:pStyle w:val="Normal"/>
              <w:snapToGrid w:val="false"/>
              <w:rPr/>
            </w:pPr>
            <w:r>
              <w:rPr/>
            </w:r>
          </w:p>
        </w:tc>
        <w:tc>
          <w:tcPr>
            <w:tcW w:w="3960" w:type="dxa"/>
            <w:tcBorders>
              <w:bottom w:val="single" w:sz="6" w:space="0" w:color="000000"/>
            </w:tcBorders>
          </w:tcPr>
          <w:p>
            <w:pPr>
              <w:pStyle w:val="Footer"/>
              <w:tabs>
                <w:tab w:val="clear" w:pos="4320"/>
                <w:tab w:val="clear" w:pos="8640"/>
              </w:tabs>
              <w:rPr/>
            </w:pPr>
            <w:r>
              <w:rPr/>
              <w:t>/s/ Joseph . DeUlloa</w:t>
            </w:r>
          </w:p>
        </w:tc>
      </w:tr>
      <w:tr>
        <w:trPr/>
        <w:tc>
          <w:tcPr>
            <w:tcW w:w="3060" w:type="dxa"/>
            <w:tcBorders/>
          </w:tcPr>
          <w:p>
            <w:pPr>
              <w:pStyle w:val="Normal"/>
              <w:jc w:val="center"/>
              <w:rPr/>
            </w:pPr>
            <w:r>
              <w:rPr/>
              <w:t>Loretta M. Lynch</w:t>
            </w:r>
          </w:p>
          <w:p>
            <w:pPr>
              <w:pStyle w:val="Normal"/>
              <w:jc w:val="center"/>
              <w:rPr/>
            </w:pPr>
            <w:r>
              <w:rPr/>
              <w:t>President</w:t>
            </w:r>
          </w:p>
          <w:p>
            <w:pPr>
              <w:pStyle w:val="Normal"/>
              <w:jc w:val="center"/>
              <w:rPr/>
            </w:pPr>
            <w:r>
              <w:rPr/>
              <w:t>Assigned Commissioner</w:t>
            </w:r>
          </w:p>
        </w:tc>
        <w:tc>
          <w:tcPr>
            <w:tcW w:w="990" w:type="dxa"/>
            <w:tcBorders/>
          </w:tcPr>
          <w:p>
            <w:pPr>
              <w:pStyle w:val="Normal"/>
              <w:snapToGrid w:val="false"/>
              <w:rPr/>
            </w:pPr>
            <w:r>
              <w:rPr/>
            </w:r>
          </w:p>
        </w:tc>
        <w:tc>
          <w:tcPr>
            <w:tcW w:w="3960" w:type="dxa"/>
            <w:tcBorders/>
          </w:tcPr>
          <w:p>
            <w:pPr>
              <w:pStyle w:val="Normal"/>
              <w:jc w:val="center"/>
              <w:rPr/>
            </w:pPr>
            <w:r>
              <w:rPr/>
              <w:t>Joseph R. DeUlloa</w:t>
            </w:r>
          </w:p>
          <w:p>
            <w:pPr>
              <w:pStyle w:val="Normal"/>
              <w:jc w:val="center"/>
              <w:rPr/>
            </w:pPr>
            <w:r>
              <w:rPr/>
              <w:t>Administrative Law Judge</w:t>
            </w:r>
          </w:p>
        </w:tc>
      </w:tr>
    </w:tbl>
    <w:p>
      <w:pPr>
        <w:sectPr>
          <w:headerReference w:type="default" r:id="rId5"/>
          <w:headerReference w:type="first" r:id="rId6"/>
          <w:footerReference w:type="default" r:id="rId7"/>
          <w:footerReference w:type="first" r:id="rId8"/>
          <w:footnotePr>
            <w:numFmt w:val="decimal"/>
          </w:footnotePr>
          <w:type w:val="nextPage"/>
          <w:pgSz w:w="12240" w:h="15840"/>
          <w:pgMar w:left="1440" w:right="1440" w:gutter="0" w:header="720" w:top="1152" w:footer="720" w:bottom="1440"/>
          <w:pgNumType w:fmt="decimal"/>
          <w:formProt w:val="false"/>
          <w:titlePg/>
          <w:textDirection w:val="lrTb"/>
          <w:docGrid w:type="default" w:linePitch="360" w:charSpace="0"/>
        </w:sectPr>
      </w:pPr>
    </w:p>
    <w:p>
      <w:pPr>
        <w:pStyle w:val="main"/>
        <w:rPr/>
      </w:pPr>
      <w:r>
        <w:rPr/>
        <w:t>CERTIFICATE OF SERVICE</w:t>
      </w:r>
    </w:p>
    <w:p>
      <w:pPr>
        <w:pStyle w:val="Normal"/>
        <w:rPr/>
      </w:pPr>
      <w:r>
        <w:rPr/>
      </w:r>
    </w:p>
    <w:p>
      <w:pPr>
        <w:pStyle w:val="Normal"/>
        <w:spacing w:lineRule="auto" w:line="360"/>
        <w:rPr/>
      </w:pPr>
      <w:r>
        <w:rPr/>
      </w:r>
    </w:p>
    <w:p>
      <w:pPr>
        <w:pStyle w:val="standard"/>
        <w:rPr/>
      </w:pPr>
      <w:r>
        <w:rPr/>
        <w:t>I certify that I have by mail this day served a true copy of the original attached Joint Assigned Commissioner’s and Administrative Law Judge’s Ruling Regarding Southern California Edison Company’s Utility Retained Generation on all parties of record in this proceeding or their attorneys of record and in Application (A.) 99-04-024, Rulemaking 94-04-031 and Investigation 94-04-032, A.93-12-025, and A.96-02-056.  In addition, service was also performed by electronic mail.</w:t>
      </w:r>
    </w:p>
    <w:p>
      <w:pPr>
        <w:pStyle w:val="standard"/>
        <w:rPr/>
      </w:pPr>
      <w:r>
        <w:rPr/>
        <w:t>Dated April 27, 2001, at San Francisco, California.</w:t>
      </w:r>
    </w:p>
    <w:p>
      <w:pPr>
        <w:pStyle w:val="Normal"/>
        <w:rPr/>
      </w:pPr>
      <w:r>
        <w:rPr/>
      </w:r>
    </w:p>
    <w:p>
      <w:pPr>
        <w:pStyle w:val="Normal"/>
        <w:rPr/>
      </w:pPr>
      <w:r>
        <w:rPr/>
      </w:r>
    </w:p>
    <w:p>
      <w:pPr>
        <w:pStyle w:val="Normal"/>
        <w:rPr/>
      </w:pPr>
      <w:r>
        <w:rPr/>
      </w:r>
    </w:p>
    <w:tbl>
      <w:tblPr>
        <w:tblW w:w="3420" w:type="dxa"/>
        <w:jc w:val="start"/>
        <w:tblInd w:w="4878" w:type="dxa"/>
        <w:tblLayout w:type="fixed"/>
        <w:tblCellMar>
          <w:top w:w="0" w:type="dxa"/>
          <w:start w:w="108" w:type="dxa"/>
          <w:bottom w:w="0" w:type="dxa"/>
          <w:end w:w="108" w:type="dxa"/>
        </w:tblCellMar>
      </w:tblPr>
      <w:tblGrid>
        <w:gridCol w:w="3420"/>
      </w:tblGrid>
      <w:tr>
        <w:trPr/>
        <w:tc>
          <w:tcPr>
            <w:tcW w:w="3420" w:type="dxa"/>
            <w:tcBorders>
              <w:bottom w:val="single" w:sz="6" w:space="0" w:color="000000"/>
            </w:tcBorders>
          </w:tcPr>
          <w:p>
            <w:pPr>
              <w:pStyle w:val="Footer"/>
              <w:tabs>
                <w:tab w:val="clear" w:pos="4320"/>
                <w:tab w:val="clear" w:pos="8640"/>
              </w:tabs>
              <w:rPr/>
            </w:pPr>
            <w:r>
              <w:rPr/>
              <w:t>/s/ Antonina V. Swansen</w:t>
            </w:r>
          </w:p>
        </w:tc>
      </w:tr>
      <w:tr>
        <w:trPr/>
        <w:tc>
          <w:tcPr>
            <w:tcW w:w="3420" w:type="dxa"/>
            <w:tcBorders/>
          </w:tcPr>
          <w:p>
            <w:pPr>
              <w:pStyle w:val="Normal"/>
              <w:jc w:val="center"/>
              <w:rPr/>
            </w:pPr>
            <w:r>
              <w:rPr/>
              <w:t>Antonina V. Swansen</w:t>
            </w:r>
          </w:p>
        </w:tc>
      </w:tr>
    </w:tbl>
    <w:p>
      <w:pPr>
        <w:pStyle w:val="Normal"/>
        <w:rPr/>
      </w:pPr>
      <w:r>
        <w:rPr/>
      </w:r>
    </w:p>
    <w:p>
      <w:pPr>
        <w:pStyle w:val="Normal"/>
        <w:spacing w:lineRule="auto" w:line="360"/>
        <w:rPr/>
      </w:pPr>
      <w:r>
        <w:rPr/>
      </w:r>
    </w:p>
    <w:p>
      <w:pPr>
        <w:pStyle w:val="mainex"/>
        <w:spacing w:before="0" w:after="120"/>
        <w:rPr/>
      </w:pPr>
      <w:r>
        <w:rPr/>
        <w:t>NOTICE</w:t>
      </w:r>
    </w:p>
    <w:p>
      <w:pPr>
        <w:pStyle w:val="BlockText"/>
        <w:rPr/>
      </w:pPr>
      <w:r>
        <w:rPr/>
        <w:t>Parties should notify the Process Office, Public Utilities Commission, 505 Van Ness Avenue, Room 2000, San Francisco, CA  94102, of any change of address to insure that they continue to receive documents. You must indicate the proceeding number on the service list on which your name appears.</w:t>
      </w:r>
    </w:p>
    <w:p>
      <w:pPr>
        <w:pStyle w:val="Normal"/>
        <w:ind w:start="1440" w:end="0"/>
        <w:rPr>
          <w:sz w:val="24"/>
        </w:rPr>
      </w:pPr>
      <w:r>
        <w:rPr>
          <w:sz w:val="24"/>
        </w:rPr>
      </w:r>
    </w:p>
    <w:p>
      <w:pPr>
        <w:pStyle w:val="Normal"/>
        <w:tabs>
          <w:tab w:val="clear" w:pos="288"/>
          <w:tab w:val="left" w:pos="0" w:leader="none"/>
        </w:tabs>
        <w:ind w:start="1440" w:end="1440"/>
        <w:rPr>
          <w:sz w:val="24"/>
        </w:rPr>
      </w:pPr>
      <w:r>
        <w:rPr>
          <w:sz w:val="24"/>
        </w:rPr>
        <w:t>* * * * * * * * * * * * * * * * * * * * * * * * * * * * * * * * * * * * * * *</w:t>
      </w:r>
    </w:p>
    <w:p>
      <w:pPr>
        <w:pStyle w:val="Normal"/>
        <w:tabs>
          <w:tab w:val="clear" w:pos="288"/>
          <w:tab w:val="left" w:pos="0" w:leader="none"/>
        </w:tabs>
        <w:ind w:start="1440" w:end="1440"/>
        <w:rPr>
          <w:sz w:val="24"/>
        </w:rPr>
      </w:pPr>
      <w:r>
        <w:rPr>
          <w:sz w:val="24"/>
        </w:rPr>
      </w:r>
    </w:p>
    <w:p>
      <w:pPr>
        <w:pStyle w:val="BlockText"/>
        <w:rPr/>
      </w:pPr>
      <w:r>
        <w:rPr/>
        <w:t>The Commission’s policy is to schedule hearings (meetings, workshops, etc.) in locations that are accessible to people with disabilities. To verify that a particular location is accessible, call: Calendar Clerk (415) 703-1203.</w:t>
      </w:r>
    </w:p>
    <w:p>
      <w:pPr>
        <w:pStyle w:val="Normal"/>
        <w:tabs>
          <w:tab w:val="clear" w:pos="288"/>
          <w:tab w:val="left" w:pos="0" w:leader="none"/>
        </w:tabs>
        <w:ind w:start="1440" w:end="1440"/>
        <w:rPr>
          <w:sz w:val="24"/>
        </w:rPr>
      </w:pPr>
      <w:r>
        <w:rPr>
          <w:sz w:val="24"/>
        </w:rPr>
      </w:r>
    </w:p>
    <w:p>
      <w:pPr>
        <w:pStyle w:val="Normal"/>
        <w:tabs>
          <w:tab w:val="clear" w:pos="288"/>
          <w:tab w:val="left" w:pos="0" w:leader="none"/>
        </w:tabs>
        <w:ind w:start="1440" w:end="1440"/>
        <w:rPr>
          <w:sz w:val="24"/>
        </w:rPr>
      </w:pPr>
      <w:r>
        <w:rPr>
          <w:sz w:val="24"/>
        </w:rPr>
        <w:t>If specialized accommodations for the disabled are needed, e.g., sign language interpreters, those making the arrangements must call the Public Advisor at (415) 703</w:t>
        <w:noBreakHyphen/>
        <w:t>2074,</w:t>
      </w:r>
    </w:p>
    <w:p>
      <w:pPr>
        <w:pStyle w:val="Normal"/>
        <w:tabs>
          <w:tab w:val="clear" w:pos="288"/>
          <w:tab w:val="left" w:pos="0" w:leader="none"/>
        </w:tabs>
        <w:ind w:start="1440" w:end="1440"/>
        <w:rPr/>
      </w:pPr>
      <w:r>
        <w:rPr>
          <w:sz w:val="24"/>
        </w:rPr>
        <w:t xml:space="preserve">TTY </w:t>
      </w:r>
      <w:r>
        <w:rPr>
          <w:b/>
          <w:sz w:val="24"/>
        </w:rPr>
        <w:t xml:space="preserve"> 1-866-836-7825 or (415) 703-5282 at least </w:t>
      </w:r>
      <w:r>
        <w:rPr>
          <w:sz w:val="24"/>
        </w:rPr>
        <w:t>three working days in advance of the event.</w:t>
      </w:r>
    </w:p>
    <w:sectPr>
      <w:headerReference w:type="default" r:id="rId9"/>
      <w:headerReference w:type="first" r:id="rId10"/>
      <w:footerReference w:type="default" r:id="rId11"/>
      <w:footerReference w:type="first" r:id="rId12"/>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HELVETICA">
    <w:altName w:val="Arial"/>
    <w:charset w:val="00" w:characterSet="windows-1252"/>
    <w:family w:val="swiss"/>
    <w:pitch w:val="variable"/>
  </w:font>
  <w:font w:name="Tahoma">
    <w:charset w:val="00" w:characterSet="windows-1252"/>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590" w:leader="none"/>
        <w:tab w:val="right" w:pos="8640" w:leader="none"/>
      </w:tabs>
      <w:jc w:val="start"/>
      <w:rPr/>
    </w:pPr>
    <w:r>
      <w:rPr>
        <w:sz w:val="16"/>
      </w:rPr>
      <w:t>96386</w:t>
    </w:r>
    <w: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20"/>
        <w:rPr/>
      </w:pPr>
      <w:r>
        <w:rPr>
          <w:rStyle w:val="FootnoteCharacters"/>
        </w:rPr>
        <w:footnoteRef/>
      </w:r>
      <w:r>
        <w:rPr/>
        <w:t xml:space="preserve"> “</w:t>
      </w:r>
      <w:r>
        <w:rPr/>
        <w:t xml:space="preserve">PG&amp;E, SDG&amp;E and Edison should price and account for URG using cost-based rates.  Further, Edison, PG&amp;E and SDG&amp;E should file ALs that take effect the day the utility stopped selling power to the PX.  We note that in PG&amp;E’s AL 2073-E and Edison’s AL 1514-E (discussed below), PG&amp;E and Edison explain that they stopped bidding retained generation into the PX on December 28, 2000, and that on January 19, 2001, they ended participation in the PX day-of and day-ahead markets.  The utilities should fully explain and justify the effective dates requested in the ALs required by this decision.  In its review of the ALs required by this decision, Energy Division shall confirm that effective date requested by the utilities is the actual date that they stopped selling power to the PX.  In establishing a cost-based rate, the utilities should, subject to adjustment, calculate expenses, but determine the capital-related revenue requirement based on the amounts recorded in their respective Transition Cost Balancing Accounts (TCBA).  This approach may result in the utilities earning a reduced rate of return on rate base.  Therefore, the difference between the revenue requirement based on this reduced rate of return and that based on a fully authorized rate of return, (i.e., the last Commission authorized rate of return for these assets) should be recorded in a memorandum account, which the utilities shall establish by these advice letters.  The cost-based rate shall be subject to adjustment in a future phase of this proceeding.  This approach equitably captures the rate of return the utilities may have earned had these generation costs been recovered under traditional cost of service ratemaking in place prior to restructuring.” (D.01-01-061, </w:t>
      </w:r>
      <w:r>
        <w:rPr>
          <w:i/>
        </w:rPr>
        <w:t>mime</w:t>
      </w:r>
      <w:r>
        <w:rPr/>
        <w:t>o. at p. 8.)</w:t>
      </w:r>
    </w:p>
  </w:footnote>
  <w:footnote w:id="3">
    <w:p>
      <w:pPr>
        <w:pStyle w:val="FootnoteText"/>
        <w:spacing w:before="0" w:after="240"/>
        <w:rPr/>
      </w:pPr>
      <w:r>
        <w:rPr>
          <w:rStyle w:val="FootnoteCharacters"/>
        </w:rPr>
        <w:footnoteRef/>
      </w:r>
      <w:r>
        <w:rPr/>
        <w:t xml:space="preserve">  </w:t>
      </w:r>
      <w:r>
        <w:rPr>
          <w:sz w:val="22"/>
        </w:rPr>
        <w:t>We note that a proposed decision is expected in Application (A.) 99-04-024 regarding Edison’s 1997 and 1998 capital additions. In that proceeding, Edison requests recovery of approximately $83 million.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A.00-11-038 et al.  LYN/JRD/avs</w:t>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A.00-11-038 et al.  LYN/JRD/avs</w:t>
    </w:r>
  </w:p>
  <w:p>
    <w:pPr>
      <w:pStyle w:val="Header"/>
      <w:rPr/>
    </w:pPr>
    <w:r>
      <w:rPr/>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A.00-11-038 et al.  LYN/JRD/avs</w:t>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
      <w:lvlText w:val="%1."/>
      <w:lvlJc w:val="start"/>
      <w:pPr>
        <w:tabs>
          <w:tab w:val="num" w:pos="0"/>
        </w:tabs>
        <w:ind w:start="0" w:hanging="0"/>
      </w:pPr>
    </w:lvl>
  </w:abstractNum>
  <w:abstractNum w:abstractNumId="13">
    <w:lvl w:ilvl="0">
      <w:start w:val="1"/>
      <w:numFmt w:val="decimal"/>
      <w:lvlText w:val="%1."/>
      <w:lvlJc w:val="start"/>
      <w:pPr>
        <w:tabs>
          <w:tab w:val="num" w:pos="360"/>
        </w:tabs>
        <w:ind w:start="360" w:hanging="360"/>
      </w:pPr>
    </w:lvl>
  </w:abstractNum>
  <w:abstractNum w:abstractNumId="14">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1"/>
      <w:numFmt w:val="lowerLetter"/>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10"/>
  <w:defaultTabStop w:val="288"/>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 w:hAnsi="PALATINO" w:eastAsia="Times New Roman" w:cs="PALATINO"/>
      <w:color w:val="auto"/>
      <w:sz w:val="26"/>
      <w:szCs w:val="20"/>
      <w:lang w:val="en-US" w:eastAsia="zh-CN" w:bidi="hi-IN"/>
    </w:rPr>
  </w:style>
  <w:style w:type="paragraph" w:styleId="Heading1">
    <w:name w:val="heading 1"/>
    <w:basedOn w:val="Normal"/>
    <w:next w:val="standard"/>
    <w:qFormat/>
    <w:pPr>
      <w:keepNext w:val="true"/>
      <w:numPr>
        <w:ilvl w:val="0"/>
        <w:numId w:val="1"/>
      </w:numPr>
      <w:spacing w:before="120" w:after="120"/>
      <w:ind w:firstLine="720" w:start="0" w:end="0"/>
      <w:outlineLvl w:val="0"/>
    </w:pPr>
    <w:rPr>
      <w:rFonts w:ascii="HELVETICA" w:hAnsi="HELVETICA" w:cs="HELVETICA"/>
      <w:b/>
      <w:kern w:val="2"/>
    </w:rPr>
  </w:style>
  <w:style w:type="paragraph" w:styleId="Heading2">
    <w:name w:val="heading 2"/>
    <w:basedOn w:val="Normal"/>
    <w:next w:val="sub1"/>
    <w:qFormat/>
    <w:pPr>
      <w:keepNext w:val="true"/>
      <w:numPr>
        <w:ilvl w:val="1"/>
        <w:numId w:val="1"/>
      </w:numPr>
      <w:spacing w:before="120" w:after="120"/>
      <w:ind w:firstLine="1440" w:start="0" w:end="0"/>
      <w:outlineLvl w:val="1"/>
    </w:pPr>
    <w:rPr>
      <w:rFonts w:ascii="HELVETICA" w:hAnsi="HELVETICA" w:cs="HELVETICA"/>
      <w:b/>
      <w:i/>
    </w:rPr>
  </w:style>
  <w:style w:type="paragraph" w:styleId="Heading3">
    <w:name w:val="heading 3"/>
    <w:basedOn w:val="Normal"/>
    <w:next w:val="sub2"/>
    <w:qFormat/>
    <w:pPr>
      <w:keepNext w:val="true"/>
      <w:numPr>
        <w:ilvl w:val="2"/>
        <w:numId w:val="1"/>
      </w:numPr>
      <w:spacing w:before="120" w:after="120"/>
      <w:ind w:firstLine="2160" w:start="0" w:end="0"/>
      <w:outlineLvl w:val="2"/>
    </w:pPr>
    <w:rPr>
      <w:rFonts w:ascii="HELVETICA" w:hAnsi="HELVETICA" w:cs="HELVETICA"/>
      <w:b/>
    </w:rPr>
  </w:style>
  <w:style w:type="paragraph" w:styleId="Heading4">
    <w:name w:val="heading 4"/>
    <w:basedOn w:val="Normal"/>
    <w:next w:val="sub3"/>
    <w:qFormat/>
    <w:pPr>
      <w:keepNext w:val="true"/>
      <w:numPr>
        <w:ilvl w:val="3"/>
        <w:numId w:val="1"/>
      </w:numPr>
      <w:spacing w:before="120" w:after="60"/>
      <w:ind w:firstLine="2880" w:start="0" w:end="0"/>
      <w:outlineLvl w:val="3"/>
    </w:pPr>
    <w:rPr>
      <w:rFonts w:ascii="HELVETICA" w:hAnsi="HELVETICA" w:cs="HELVETICA"/>
      <w:b/>
      <w:i/>
    </w:rPr>
  </w:style>
  <w:style w:type="paragraph" w:styleId="Heading5">
    <w:name w:val="heading 5"/>
    <w:basedOn w:val="Normal"/>
    <w:next w:val="sub4"/>
    <w:qFormat/>
    <w:pPr>
      <w:numPr>
        <w:ilvl w:val="4"/>
        <w:numId w:val="1"/>
      </w:numPr>
      <w:spacing w:before="120" w:after="120"/>
      <w:ind w:firstLine="3600" w:start="0" w:end="0"/>
      <w:outlineLvl w:val="4"/>
    </w:pPr>
    <w:rPr>
      <w:rFonts w:ascii="HELVETICA" w:hAnsi="HELVETICA" w:cs="HELVETICA"/>
      <w:b/>
    </w:rPr>
  </w:style>
  <w:style w:type="paragraph" w:styleId="Heading6">
    <w:name w:val="heading 6"/>
    <w:basedOn w:val="Normal"/>
    <w:next w:val="Normal"/>
    <w:qFormat/>
    <w:pPr>
      <w:numPr>
        <w:ilvl w:val="5"/>
        <w:numId w:val="1"/>
      </w:numPr>
      <w:spacing w:before="240" w:after="60"/>
      <w:outlineLvl w:val="5"/>
    </w:pPr>
    <w:rPr>
      <w:rFonts w:ascii="Times New Roman" w:hAnsi="Times New Roman" w:cs="Times New Roman"/>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spacing w:before="240" w:after="60"/>
      <w:jc w:val="center"/>
      <w:outlineLvl w:val="0"/>
    </w:pPr>
    <w:rPr>
      <w:rFonts w:ascii="Arial" w:hAnsi="Arial" w:cs="Arial"/>
      <w:b/>
      <w:kern w:val="2"/>
      <w:sz w:val="3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pPr>
    <w:rPr>
      <w:sz w:val="24"/>
    </w:rPr>
  </w:style>
  <w:style w:type="paragraph" w:styleId="standard">
    <w:name w:val="standard"/>
    <w:basedOn w:val="Normal"/>
    <w:qFormat/>
    <w:pPr>
      <w:spacing w:lineRule="auto" w:line="360"/>
      <w:ind w:firstLine="720" w:start="0" w:end="0"/>
    </w:pPr>
    <w:rPr>
      <w:sz w:val="26"/>
    </w:rPr>
  </w:style>
  <w:style w:type="paragraph" w:styleId="Subtitle">
    <w:name w:val="Subtitle"/>
    <w:basedOn w:val="Normal"/>
    <w:next w:val="BodyText"/>
    <w:qFormat/>
    <w:pPr>
      <w:spacing w:before="0" w:after="60"/>
      <w:jc w:val="center"/>
    </w:pPr>
    <w:rPr>
      <w:rFonts w:ascii="Arial" w:hAnsi="Arial" w:cs="Arial"/>
    </w:rPr>
  </w:style>
  <w:style w:type="paragraph" w:styleId="quote">
    <w:name w:val="quote"/>
    <w:basedOn w:val="standard"/>
    <w:next w:val="standard"/>
    <w:qFormat/>
    <w:pPr>
      <w:spacing w:lineRule="auto" w:line="240" w:before="120" w:after="240"/>
      <w:ind w:hanging="0" w:start="720" w:end="720"/>
    </w:pPr>
    <w:rPr/>
  </w:style>
  <w:style w:type="paragraph" w:styleId="num1">
    <w:name w:val="num1"/>
    <w:basedOn w:val="Normal"/>
    <w:qFormat/>
    <w:pPr>
      <w:numPr>
        <w:ilvl w:val="0"/>
        <w:numId w:val="14"/>
      </w:numPr>
      <w:tabs>
        <w:tab w:val="clear" w:pos="288"/>
        <w:tab w:val="left" w:pos="-720" w:leader="none"/>
      </w:tabs>
      <w:suppressAutoHyphens w:val="true"/>
      <w:spacing w:lineRule="auto" w:line="360"/>
      <w:ind w:firstLine="360" w:start="0" w:end="0"/>
    </w:pPr>
    <w:rPr/>
  </w:style>
  <w:style w:type="paragraph" w:styleId="letter">
    <w:name w:val="letter"/>
    <w:basedOn w:val="num1"/>
    <w:qFormat/>
    <w:pPr>
      <w:numPr>
        <w:ilvl w:val="0"/>
        <w:numId w:val="15"/>
      </w:numPr>
      <w:spacing w:lineRule="auto" w:line="240" w:before="0" w:after="120"/>
      <w:ind w:hanging="274" w:start="994" w:end="0"/>
    </w:pPr>
    <w:rPr/>
  </w:style>
  <w:style w:type="paragraph" w:styleId="TOC4">
    <w:name w:val="toc 4"/>
    <w:basedOn w:val="Normal"/>
    <w:next w:val="Normal"/>
    <w:pPr>
      <w:tabs>
        <w:tab w:val="clear" w:pos="288"/>
        <w:tab w:val="right" w:pos="9360" w:leader="dot"/>
      </w:tabs>
      <w:ind w:hanging="0" w:start="720" w:end="0"/>
    </w:pPr>
    <w:rPr/>
  </w:style>
  <w:style w:type="paragraph" w:styleId="main">
    <w:name w:val="main"/>
    <w:basedOn w:val="Normal"/>
    <w:qFormat/>
    <w:pPr>
      <w:jc w:val="center"/>
    </w:pPr>
    <w:rPr>
      <w:rFonts w:ascii="HELVETICA" w:hAnsi="HELVETICA" w:cs="HELVETICA"/>
      <w:b/>
      <w:sz w:val="26"/>
    </w:rPr>
  </w:style>
  <w:style w:type="paragraph" w:styleId="mainex">
    <w:name w:val="mainex"/>
    <w:basedOn w:val="main"/>
    <w:qFormat/>
    <w:pPr/>
    <w:rPr>
      <w:spacing w:val="120"/>
    </w:rPr>
  </w:style>
  <w:style w:type="paragraph" w:styleId="HeaderandFooter">
    <w:name w:val="Header and Footer"/>
    <w:basedOn w:val="Normal"/>
    <w:qFormat/>
    <w:pPr>
      <w:suppressLineNumbers/>
      <w:tabs>
        <w:tab w:val="clear" w:pos="288"/>
        <w:tab w:val="center" w:pos="4986" w:leader="none"/>
        <w:tab w:val="right" w:pos="9972" w:leader="none"/>
      </w:tabs>
    </w:pPr>
    <w:rPr/>
  </w:style>
  <w:style w:type="paragraph" w:styleId="Header">
    <w:name w:val="header"/>
    <w:basedOn w:val="Normal"/>
    <w:pPr>
      <w:widowControl w:val="false"/>
      <w:tabs>
        <w:tab w:val="clear" w:pos="288"/>
        <w:tab w:val="center" w:pos="4320" w:leader="none"/>
        <w:tab w:val="right" w:pos="8640" w:leader="none"/>
      </w:tabs>
    </w:pPr>
    <w:rPr>
      <w:sz w:val="26"/>
    </w:rPr>
  </w:style>
  <w:style w:type="paragraph" w:styleId="num2">
    <w:name w:val="num2"/>
    <w:basedOn w:val="num1"/>
    <w:qFormat/>
    <w:pPr>
      <w:ind w:firstLine="270" w:start="0" w:end="0"/>
    </w:pPr>
    <w:rPr/>
  </w:style>
  <w:style w:type="paragraph" w:styleId="Footer">
    <w:name w:val="footer"/>
    <w:basedOn w:val="Normal"/>
    <w:pPr>
      <w:tabs>
        <w:tab w:val="clear" w:pos="288"/>
        <w:tab w:val="center" w:pos="4320" w:leader="none"/>
        <w:tab w:val="right" w:pos="8640" w:leader="none"/>
      </w:tabs>
      <w:jc w:val="center"/>
    </w:pPr>
    <w:rPr>
      <w:sz w:val="26"/>
    </w:rPr>
  </w:style>
  <w:style w:type="paragraph" w:styleId="BlockText">
    <w:name w:val="Block Text"/>
    <w:basedOn w:val="Normal"/>
    <w:qFormat/>
    <w:pPr>
      <w:tabs>
        <w:tab w:val="clear" w:pos="288"/>
        <w:tab w:val="left" w:pos="0" w:leader="none"/>
      </w:tabs>
      <w:ind w:hanging="0" w:start="1440" w:end="1440"/>
    </w:pPr>
    <w:rPr>
      <w:sz w:val="24"/>
    </w:rPr>
  </w:style>
  <w:style w:type="paragraph" w:styleId="sub1">
    <w:name w:val="sub1"/>
    <w:basedOn w:val="Normal"/>
    <w:qFormat/>
    <w:pPr>
      <w:spacing w:lineRule="auto" w:line="360"/>
      <w:ind w:firstLine="1440" w:start="0" w:end="0"/>
    </w:pPr>
    <w:rPr/>
  </w:style>
  <w:style w:type="paragraph" w:styleId="sub2">
    <w:name w:val="sub2"/>
    <w:basedOn w:val="Normal"/>
    <w:qFormat/>
    <w:pPr>
      <w:spacing w:lineRule="auto" w:line="360"/>
      <w:ind w:firstLine="2160" w:start="0" w:end="0"/>
    </w:pPr>
    <w:rPr/>
  </w:style>
  <w:style w:type="paragraph" w:styleId="sub3">
    <w:name w:val="sub3"/>
    <w:basedOn w:val="Normal"/>
    <w:qFormat/>
    <w:pPr>
      <w:spacing w:lineRule="auto" w:line="360"/>
      <w:ind w:firstLine="2880" w:start="0" w:end="0"/>
    </w:pPr>
    <w:rPr/>
  </w:style>
  <w:style w:type="paragraph" w:styleId="sub4">
    <w:name w:val="sub4"/>
    <w:basedOn w:val="Normal"/>
    <w:qFormat/>
    <w:pPr>
      <w:spacing w:lineRule="auto" w:line="360"/>
      <w:ind w:firstLine="3600" w:start="0" w:end="0"/>
    </w:pPr>
    <w:rPr/>
  </w:style>
  <w:style w:type="paragraph" w:styleId="Quote1">
    <w:name w:val="Quote1"/>
    <w:basedOn w:val="quote"/>
    <w:next w:val="sub1"/>
    <w:qFormat/>
    <w:pPr>
      <w:ind w:hanging="0" w:start="1080" w:end="126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ind w:firstLine="210" w:start="0" w:end="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ind w:firstLine="210" w:start="36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 w:val="24"/>
    </w:rPr>
  </w:style>
  <w:style w:type="paragraph" w:styleId="EnvelopeReturn">
    <w:name w:val="envelope return"/>
    <w:basedOn w:val="Normal"/>
    <w:pPr/>
    <w:rPr>
      <w:rFonts w:ascii="Arial" w:hAnsi="Arial" w:cs="Arial"/>
      <w:sz w:val="20"/>
    </w:rPr>
  </w:style>
  <w:style w:type="paragraph" w:styleId="Index1">
    <w:name w:val="index 1"/>
    <w:basedOn w:val="Normal"/>
    <w:next w:val="Normal"/>
    <w:pPr>
      <w:ind w:hanging="260" w:start="260" w:end="0"/>
    </w:pPr>
    <w:rPr/>
  </w:style>
  <w:style w:type="paragraph" w:styleId="Index2">
    <w:name w:val="index 2"/>
    <w:basedOn w:val="Normal"/>
    <w:next w:val="Normal"/>
    <w:pPr>
      <w:ind w:hanging="260" w:start="520" w:end="0"/>
    </w:pPr>
    <w:rPr/>
  </w:style>
  <w:style w:type="paragraph" w:styleId="Index3">
    <w:name w:val="index 3"/>
    <w:basedOn w:val="Normal"/>
    <w:next w:val="Normal"/>
    <w:pPr>
      <w:ind w:hanging="260" w:start="780" w:end="0"/>
    </w:pPr>
    <w:rPr/>
  </w:style>
  <w:style w:type="paragraph" w:styleId="Index4">
    <w:name w:val="Index 4"/>
    <w:basedOn w:val="Normal"/>
    <w:next w:val="Normal"/>
    <w:qFormat/>
    <w:pPr>
      <w:ind w:hanging="260" w:start="1040" w:end="0"/>
    </w:pPr>
    <w:rPr/>
  </w:style>
  <w:style w:type="paragraph" w:styleId="Index5">
    <w:name w:val="Index 5"/>
    <w:basedOn w:val="Normal"/>
    <w:next w:val="Normal"/>
    <w:qFormat/>
    <w:pPr>
      <w:ind w:hanging="260" w:start="1300" w:end="0"/>
    </w:pPr>
    <w:rPr/>
  </w:style>
  <w:style w:type="paragraph" w:styleId="Index6">
    <w:name w:val="Index 6"/>
    <w:basedOn w:val="Normal"/>
    <w:next w:val="Normal"/>
    <w:qFormat/>
    <w:pPr>
      <w:ind w:hanging="260" w:start="1560" w:end="0"/>
    </w:pPr>
    <w:rPr/>
  </w:style>
  <w:style w:type="paragraph" w:styleId="Index7">
    <w:name w:val="Index 7"/>
    <w:basedOn w:val="Normal"/>
    <w:next w:val="Normal"/>
    <w:qFormat/>
    <w:pPr>
      <w:ind w:hanging="260" w:start="1820" w:end="0"/>
    </w:pPr>
    <w:rPr/>
  </w:style>
  <w:style w:type="paragraph" w:styleId="Index8">
    <w:name w:val="Index 8"/>
    <w:basedOn w:val="Normal"/>
    <w:next w:val="Normal"/>
    <w:qFormat/>
    <w:pPr>
      <w:ind w:hanging="260" w:start="2080" w:end="0"/>
    </w:pPr>
    <w:rPr/>
  </w:style>
  <w:style w:type="paragraph" w:styleId="Index9">
    <w:name w:val="Index 9"/>
    <w:basedOn w:val="Normal"/>
    <w:next w:val="Normal"/>
    <w:qFormat/>
    <w:pPr>
      <w:ind w:hanging="260" w:start="234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288"/>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eastAsia="zh-CN"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TableofAuthorities">
    <w:name w:val="Table of Authorities"/>
    <w:basedOn w:val="Normal"/>
    <w:next w:val="Normal"/>
    <w:qFormat/>
    <w:pPr>
      <w:ind w:hanging="260" w:start="260" w:end="0"/>
    </w:pPr>
    <w:rPr/>
  </w:style>
  <w:style w:type="paragraph" w:styleId="TableofFigures">
    <w:name w:val="Table of Figures"/>
    <w:basedOn w:val="Normal"/>
    <w:next w:val="Normal"/>
    <w:qFormat/>
    <w:pPr>
      <w:ind w:hanging="520" w:start="520" w:end="0"/>
    </w:pPr>
    <w:rPr/>
  </w:style>
  <w:style w:type="paragraph" w:styleId="TOAHeading">
    <w:name w:val="TOA Heading"/>
    <w:basedOn w:val="Normal"/>
    <w:next w:val="Normal"/>
    <w:qFormat/>
    <w:pPr>
      <w:spacing w:before="120" w:after="0"/>
    </w:pPr>
    <w:rPr>
      <w:rFonts w:ascii="Arial" w:hAnsi="Arial" w:cs="Arial"/>
      <w:b/>
      <w:sz w:val="24"/>
    </w:rPr>
  </w:style>
  <w:style w:type="paragraph" w:styleId="TOC1">
    <w:name w:val="toc 1"/>
    <w:basedOn w:val="Normal"/>
    <w:next w:val="Normal"/>
    <w:pPr/>
    <w:rPr/>
  </w:style>
  <w:style w:type="paragraph" w:styleId="TOC2">
    <w:name w:val="toc 2"/>
    <w:basedOn w:val="Normal"/>
    <w:next w:val="Normal"/>
    <w:pPr>
      <w:ind w:hanging="0" w:start="260" w:end="0"/>
    </w:pPr>
    <w:rPr/>
  </w:style>
  <w:style w:type="paragraph" w:styleId="TOC3">
    <w:name w:val="toc 3"/>
    <w:basedOn w:val="Normal"/>
    <w:next w:val="Normal"/>
    <w:pPr>
      <w:ind w:hanging="0" w:start="520" w:end="0"/>
    </w:pPr>
    <w:rPr/>
  </w:style>
  <w:style w:type="paragraph" w:styleId="TOC5">
    <w:name w:val="toc 5"/>
    <w:basedOn w:val="Normal"/>
    <w:next w:val="Normal"/>
    <w:pPr>
      <w:ind w:hanging="0" w:start="1040" w:end="0"/>
    </w:pPr>
    <w:rPr/>
  </w:style>
  <w:style w:type="paragraph" w:styleId="TOC6">
    <w:name w:val="toc 6"/>
    <w:basedOn w:val="Normal"/>
    <w:next w:val="Normal"/>
    <w:pPr>
      <w:ind w:hanging="0" w:start="1300" w:end="0"/>
    </w:pPr>
    <w:rPr/>
  </w:style>
  <w:style w:type="paragraph" w:styleId="TOC7">
    <w:name w:val="toc 7"/>
    <w:basedOn w:val="Normal"/>
    <w:next w:val="Normal"/>
    <w:pPr>
      <w:ind w:hanging="0" w:start="1560" w:end="0"/>
    </w:pPr>
    <w:rPr/>
  </w:style>
  <w:style w:type="paragraph" w:styleId="TOC8">
    <w:name w:val="toc 8"/>
    <w:basedOn w:val="Normal"/>
    <w:next w:val="Normal"/>
    <w:pPr>
      <w:ind w:hanging="0" w:start="1820" w:end="0"/>
    </w:pPr>
    <w:rPr/>
  </w:style>
  <w:style w:type="paragraph" w:styleId="TOC9">
    <w:name w:val="toc 9"/>
    <w:basedOn w:val="Normal"/>
    <w:next w:val="Normal"/>
    <w:pPr>
      <w:ind w:hanging="0" w:start="208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rd@cpuc.ca.gov" TargetMode="External"/><Relationship Id="rId3" Type="http://schemas.openxmlformats.org/officeDocument/2006/relationships/hyperlink" Target="mailto:lyn@cpuc.ca.gov" TargetMode="External"/><Relationship Id="rId4" Type="http://schemas.openxmlformats.org/officeDocument/2006/relationships/hyperlink" Target="mailto:dug@cpuc.ca.gov"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footnotes" Target="footnotes.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2001-04-27T18:17:00Z</dcterms:created>
  <dc:creator>Antonina Swansen</dc:creator>
  <dc:description/>
  <dc:language>en-CA</dc:language>
  <cp:lastModifiedBy>Antonina Swansen</cp:lastModifiedBy>
  <cp:lastPrinted>2001-04-27T14:53:00Z</cp:lastPrinted>
  <dcterms:modified xsi:type="dcterms:W3CDTF">2001-04-27T20:04:00Z</dcterms:modified>
  <cp:revision>28</cp:revision>
  <dc:subject/>
  <dc:title>BEFORE THE PUBLIC UTILITIES COMMISSION OF THE STATE OF CALIFORNIA</dc:title>
</cp:coreProperties>
</file>