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SCHEDULE 3.03</w:t>
      </w:r>
    </w:p>
    <w:p>
      <w:pPr>
        <w:pStyle w:val="Normal"/>
        <w:jc w:val="center"/>
        <w:rPr>
          <w:b/>
        </w:rPr>
      </w:pPr>
      <w:r>
        <w:rPr>
          <w:b/>
        </w:rPr>
      </w:r>
    </w:p>
    <w:p>
      <w:pPr>
        <w:pStyle w:val="Normal"/>
        <w:numPr>
          <w:ilvl w:val="0"/>
          <w:numId w:val="0"/>
        </w:numPr>
        <w:jc w:val="center"/>
        <w:outlineLvl w:val="0"/>
        <w:rPr>
          <w:b/>
        </w:rPr>
      </w:pPr>
      <w:r>
        <w:rPr>
          <w:b/>
        </w:rPr>
        <w:t>REQUIRED REGULATORY APPROVALS</w:t>
      </w:r>
    </w:p>
    <w:p>
      <w:pPr>
        <w:pStyle w:val="Normal"/>
        <w:rPr/>
      </w:pPr>
      <w:r>
        <w:rPr/>
      </w:r>
    </w:p>
    <w:p>
      <w:pPr>
        <w:pStyle w:val="Normal"/>
        <w:rPr/>
      </w:pPr>
      <w:r>
        <w:rPr/>
        <w:t>The following is a summary of regulatory consents or notifications to regulators required in SOCAL countries according to information received from local counsel.</w:t>
      </w:r>
    </w:p>
    <w:p>
      <w:pPr>
        <w:pStyle w:val="Normal"/>
        <w:rPr>
          <w:b/>
          <w:u w:val="single"/>
        </w:rPr>
      </w:pPr>
      <w:r>
        <w:rPr>
          <w:b/>
          <w:u w:val="single"/>
        </w:rPr>
      </w:r>
    </w:p>
    <w:p>
      <w:pPr>
        <w:pStyle w:val="Normal"/>
        <w:jc w:val="start"/>
        <w:rPr/>
      </w:pPr>
      <w:r>
        <w:rPr/>
        <w:tab/>
        <w:t>1.</w:t>
        <w:tab/>
        <w:t>SIRESE</w:t>
      </w:r>
    </w:p>
    <w:p>
      <w:pPr>
        <w:pStyle w:val="Normal"/>
        <w:jc w:val="start"/>
        <w:rPr/>
      </w:pPr>
      <w:r>
        <w:rPr/>
      </w:r>
    </w:p>
    <w:p>
      <w:pPr>
        <w:pStyle w:val="Normal"/>
        <w:jc w:val="start"/>
        <w:rPr/>
      </w:pPr>
      <w:r>
        <w:rPr/>
        <w:tab/>
        <w:t>2.</w:t>
        <w:tab/>
        <w:t>CADE</w:t>
      </w:r>
    </w:p>
    <w:p>
      <w:pPr>
        <w:pStyle w:val="Normal"/>
        <w:jc w:val="start"/>
        <w:rPr/>
      </w:pPr>
      <w:r>
        <w:rPr/>
      </w:r>
    </w:p>
    <w:p>
      <w:pPr>
        <w:pStyle w:val="Normal"/>
        <w:jc w:val="start"/>
        <w:rPr/>
      </w:pPr>
      <w:r>
        <w:rPr/>
        <w:tab/>
        <w:t>3.</w:t>
        <w:tab/>
        <w:t>Agencia Nacional de Petroleo (“ANP”) must be notified.</w:t>
      </w:r>
    </w:p>
    <w:p>
      <w:pPr>
        <w:pStyle w:val="Normal"/>
        <w:rPr/>
      </w:pPr>
      <w:r>
        <w:rPr/>
      </w:r>
      <w:r>
        <w:br w:type="page"/>
      </w:r>
    </w:p>
    <w:p>
      <w:pPr>
        <w:pStyle w:val="Normal"/>
        <w:numPr>
          <w:ilvl w:val="0"/>
          <w:numId w:val="0"/>
        </w:numPr>
        <w:jc w:val="center"/>
        <w:outlineLvl w:val="0"/>
        <w:rPr>
          <w:b/>
        </w:rPr>
      </w:pPr>
      <w:r>
        <w:rPr>
          <w:b/>
        </w:rPr>
        <w:t>SCHEDULE 4.01</w:t>
      </w:r>
    </w:p>
    <w:p>
      <w:pPr>
        <w:pStyle w:val="Normal"/>
        <w:jc w:val="center"/>
        <w:rPr>
          <w:b/>
        </w:rPr>
      </w:pPr>
      <w:r>
        <w:rPr>
          <w:b/>
        </w:rPr>
      </w:r>
    </w:p>
    <w:p>
      <w:pPr>
        <w:pStyle w:val="Normal"/>
        <w:numPr>
          <w:ilvl w:val="0"/>
          <w:numId w:val="0"/>
        </w:numPr>
        <w:jc w:val="center"/>
        <w:outlineLvl w:val="0"/>
        <w:rPr>
          <w:b/>
        </w:rPr>
      </w:pPr>
      <w:r>
        <w:rPr>
          <w:b/>
        </w:rPr>
        <w:t>IDENTIFICATION OF THE SELLERS</w:t>
      </w:r>
    </w:p>
    <w:p>
      <w:pPr>
        <w:pStyle w:val="Normal"/>
        <w:rPr/>
      </w:pPr>
      <w:r>
        <w:rPr/>
      </w:r>
    </w:p>
    <w:p>
      <w:pPr>
        <w:pStyle w:val="Normal"/>
        <w:rPr/>
      </w:pPr>
      <w:r>
        <w:rPr/>
        <w:tab/>
        <w:t>The following are the names of the Sellers, the natures of their organizations and the jurisdictions of their organizations.</w:t>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Business</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Operating Company</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Subject Company</w:t>
            </w:r>
          </w:p>
          <w:p>
            <w:pPr>
              <w:pStyle w:val="Normal"/>
              <w:jc w:val="center"/>
              <w:rPr>
                <w:b/>
                <w:sz w:val="20"/>
              </w:rPr>
            </w:pPr>
            <w:r>
              <w:rPr>
                <w:b/>
                <w:sz w:val="20"/>
              </w:rPr>
              <w:t>(entity whose shares being sold)</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Sellers</w:t>
            </w:r>
          </w:p>
        </w:tc>
      </w:tr>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0"/>
              </w:rPr>
            </w:pPr>
            <w:r>
              <w:rPr>
                <w:b/>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GasMat</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GasMat</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GasMat Holdings Ltd.</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start"/>
              <w:rPr>
                <w:sz w:val="20"/>
              </w:rPr>
            </w:pPr>
            <w:r>
              <w:rPr>
                <w:sz w:val="20"/>
              </w:rPr>
              <w:t>Enron Brazil Power Holdings I Ltd., a Cayman Islands corporation</w:t>
            </w:r>
          </w:p>
        </w:tc>
      </w:tr>
    </w:tbl>
    <w:p>
      <w:pPr>
        <w:pStyle w:val="Normal"/>
        <w:rPr/>
      </w:pPr>
      <w:r>
        <w:rPr/>
      </w:r>
      <w:r>
        <w:br w:type="page"/>
      </w:r>
    </w:p>
    <w:p>
      <w:pPr>
        <w:pStyle w:val="Normal"/>
        <w:numPr>
          <w:ilvl w:val="0"/>
          <w:numId w:val="0"/>
        </w:numPr>
        <w:jc w:val="center"/>
        <w:outlineLvl w:val="0"/>
        <w:rPr>
          <w:b/>
        </w:rPr>
      </w:pPr>
      <w:r>
        <w:rPr>
          <w:b/>
        </w:rPr>
        <w:t>SCHEDULE 4.03</w:t>
      </w:r>
    </w:p>
    <w:p>
      <w:pPr>
        <w:pStyle w:val="Normal"/>
        <w:jc w:val="center"/>
        <w:rPr>
          <w:b/>
        </w:rPr>
      </w:pPr>
      <w:r>
        <w:rPr>
          <w:b/>
        </w:rPr>
      </w:r>
    </w:p>
    <w:p>
      <w:pPr>
        <w:pStyle w:val="Normal"/>
        <w:numPr>
          <w:ilvl w:val="0"/>
          <w:numId w:val="0"/>
        </w:numPr>
        <w:jc w:val="center"/>
        <w:outlineLvl w:val="0"/>
        <w:rPr>
          <w:b/>
        </w:rPr>
      </w:pPr>
      <w:r>
        <w:rPr>
          <w:b/>
        </w:rPr>
        <w:t>EXCEPTIONS TO TITLE TO SECURITIES</w:t>
      </w:r>
    </w:p>
    <w:p>
      <w:pPr>
        <w:pStyle w:val="Normal"/>
        <w:rPr/>
      </w:pPr>
      <w:r>
        <w:rPr/>
      </w:r>
    </w:p>
    <w:p>
      <w:pPr>
        <w:pStyle w:val="Normal"/>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All shares and quotas are pledged in accordance with the Common Terms Agreement and associated financing documents.</w:t>
      </w:r>
    </w:p>
    <w:p>
      <w:pPr>
        <w:pStyle w:val="Normal"/>
        <w:rPr/>
      </w:pPr>
      <w:r>
        <w:rPr/>
      </w:r>
    </w:p>
    <w:p>
      <w:pPr>
        <w:pStyle w:val="Normal"/>
        <w:rPr/>
      </w:pPr>
      <w:r>
        <w:rPr/>
      </w:r>
    </w:p>
    <w:p>
      <w:pPr>
        <w:pStyle w:val="Normal"/>
        <w:rPr/>
      </w:pPr>
      <w:r>
        <w:rPr/>
      </w:r>
      <w:r>
        <w:br w:type="page"/>
      </w:r>
    </w:p>
    <w:p>
      <w:pPr>
        <w:pStyle w:val="Normal"/>
        <w:ind w:hanging="1440" w:start="1440" w:end="0"/>
        <w:jc w:val="center"/>
        <w:rPr>
          <w:b/>
        </w:rPr>
      </w:pPr>
      <w:r>
        <w:rPr>
          <w:b/>
        </w:rPr>
        <w:t>SCHEDULE 4.05</w:t>
      </w:r>
    </w:p>
    <w:p>
      <w:pPr>
        <w:pStyle w:val="Normal"/>
        <w:jc w:val="center"/>
        <w:rPr>
          <w:b/>
        </w:rPr>
      </w:pPr>
      <w:r>
        <w:rPr>
          <w:b/>
        </w:rPr>
      </w:r>
    </w:p>
    <w:p>
      <w:pPr>
        <w:pStyle w:val="Normal"/>
        <w:numPr>
          <w:ilvl w:val="0"/>
          <w:numId w:val="0"/>
        </w:numPr>
        <w:jc w:val="center"/>
        <w:outlineLvl w:val="0"/>
        <w:rPr>
          <w:b/>
        </w:rPr>
      </w:pPr>
      <w:r>
        <w:rPr>
          <w:b/>
        </w:rPr>
        <w:t>CONTRACTUAL RESTRICTIONS</w:t>
      </w:r>
    </w:p>
    <w:p>
      <w:pPr>
        <w:pStyle w:val="Normal"/>
        <w:rPr/>
      </w:pPr>
      <w:r>
        <w:rPr/>
      </w:r>
    </w:p>
    <w:p>
      <w:pPr>
        <w:pStyle w:val="Normal"/>
        <w:rPr/>
      </w:pPr>
      <w:r>
        <w:rPr/>
        <w:tab/>
        <w:t>The following are the contracts to which any Seller is a party or by which it or its properties or assets are bound, the terms of which would be violated or breached by execution, delivery or performance of the Agreement by such Seller:</w:t>
      </w:r>
    </w:p>
    <w:p>
      <w:pPr>
        <w:pStyle w:val="Normal"/>
        <w:rPr/>
      </w:pPr>
      <w:r>
        <w:rPr/>
      </w:r>
    </w:p>
    <w:p>
      <w:pPr>
        <w:pStyle w:val="Normal"/>
        <w:rPr/>
      </w:pPr>
      <w:r>
        <w:rPr/>
        <w:t>I.</w:t>
        <w:tab/>
        <w:t>GasMat:</w:t>
      </w:r>
    </w:p>
    <w:p>
      <w:pPr>
        <w:pStyle w:val="Normal"/>
        <w:rPr/>
      </w:pPr>
      <w:r>
        <w:rPr/>
      </w:r>
    </w:p>
    <w:p>
      <w:pPr>
        <w:pStyle w:val="Normal"/>
        <w:ind w:hanging="720" w:start="1440" w:end="0"/>
        <w:rPr/>
      </w:pPr>
      <w:r>
        <w:rPr/>
        <w:t>A.</w:t>
        <w:tab/>
        <w:t>The Downstream Agreement.  Section 2.4(b) of the Downstream Agreement, as modified by the Shell Letter Agreement, contains a change in control provision requiring EBPH-I to offer to sell its interest in GasMat Holdings to Shell if neither Enron Corp. nor EGPP controls GasMat Holdings.</w:t>
      </w:r>
    </w:p>
    <w:p>
      <w:pPr>
        <w:pStyle w:val="Normal"/>
        <w:rPr/>
      </w:pPr>
      <w:r>
        <w:rPr/>
      </w:r>
    </w:p>
    <w:p>
      <w:pPr>
        <w:pStyle w:val="Normal"/>
        <w:ind w:hanging="720" w:start="1440" w:end="0"/>
        <w:rPr/>
      </w:pPr>
      <w:r>
        <w:rPr/>
        <w:t>B.</w:t>
        <w:tab/>
        <w:t>Common Terms Agreement.  Under the Common Terms Agreement, a Change in Control is an event of default.  The definition of Change in Control includes:</w:t>
      </w:r>
    </w:p>
    <w:p>
      <w:pPr>
        <w:pStyle w:val="Normal"/>
        <w:rPr/>
      </w:pPr>
      <w:r>
        <w:rPr/>
      </w:r>
    </w:p>
    <w:p>
      <w:pPr>
        <w:pStyle w:val="Normal"/>
        <w:ind w:hanging="720" w:start="2160" w:end="0"/>
        <w:rPr/>
      </w:pPr>
      <w:r>
        <w:rPr/>
        <w:t>1.</w:t>
        <w:tab/>
        <w:t>Prior to the Project Completion Date, any transfer of beneficial ownership of any of the Borrowers, including GasMat (except a transfer of not more than an indirect 15.625% interest in EPE to a Permitted Transferee).</w:t>
      </w:r>
    </w:p>
    <w:p>
      <w:pPr>
        <w:pStyle w:val="Normal"/>
        <w:rPr/>
      </w:pPr>
      <w:r>
        <w:rPr/>
      </w:r>
    </w:p>
    <w:p>
      <w:pPr>
        <w:pStyle w:val="Normal"/>
        <w:ind w:hanging="720" w:start="2160" w:end="0"/>
        <w:rPr/>
      </w:pPr>
      <w:r>
        <w:rPr/>
        <w:t>2.</w:t>
        <w:tab/>
        <w:t>At any time, a reduction by Enron Corp. of its Economic Interest in GasMat to less than 25%.</w:t>
      </w:r>
    </w:p>
    <w:p>
      <w:pPr>
        <w:pStyle w:val="Normal"/>
        <w:rPr/>
      </w:pPr>
      <w:r>
        <w:rPr/>
      </w:r>
    </w:p>
    <w:p>
      <w:pPr>
        <w:pStyle w:val="Normal"/>
        <w:ind w:hanging="720" w:start="1440" w:end="0"/>
        <w:rPr/>
      </w:pPr>
      <w:r>
        <w:rPr/>
        <w:t>C.</w:t>
        <w:tab/>
        <w:t>Interborrower Agreement.  The Interborrower Agreement dated as of ___________, 2000 (draft) among EPE, GasBol, GasMat, TransBorder Gas Services Ltd. (“TBS”), EPE Holdings, GasMat Holdings, Transredes, Shell Cuiaba Holdings Limited (“SCHL”), Southern Cone Gas Ltd. (“SCG”), Atlantic Commercial Finance, Inc. (“ACFI”), SGLA, Shell Overseas, T.R. Holdings Ltda., Enron Corp. and various Enron Corp. subsidiaries.  The Interborrower Agreement includes two covenants by Enron Corp.:</w:t>
      </w:r>
    </w:p>
    <w:p>
      <w:pPr>
        <w:pStyle w:val="Normal"/>
        <w:rPr/>
      </w:pPr>
      <w:r>
        <w:rPr/>
      </w:r>
    </w:p>
    <w:p>
      <w:pPr>
        <w:pStyle w:val="Normal"/>
        <w:ind w:hanging="720" w:start="2160" w:end="0"/>
        <w:rPr/>
      </w:pPr>
      <w:r>
        <w:rPr/>
        <w:t>1.</w:t>
        <w:tab/>
        <w:t xml:space="preserve">Section 4.1(a) provides that Enron Corp. will not effect and will not permit its subsidiaries to effect any sale or other transfer that would result in a Change in Control.  For this purpose, a Change in Control means, prior to the Project Completion Date, any transfer of beneficial ownership of any of the Borrowers except a transfer of not more than an indirect 15.625% interest in EPE to a Permitted Transferee and, at any time, among other things, a reduction in the Enron Corp. Economic Interest in EPE, GasMat or GasBol to less than 25%. </w:t>
      </w:r>
    </w:p>
    <w:p>
      <w:pPr>
        <w:pStyle w:val="Normal"/>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2.</w:t>
        <w:tab/>
      </w:r>
      <w:r>
        <w:rPr>
          <w:b/>
        </w:rPr>
        <w:t>[</w:t>
      </w:r>
      <w:r>
        <w:rPr/>
        <w:t>Section 4.1(b) provides that, until the earlier of (i) payment of the debt or (ii) the expiration of ten years after the Project Completion Date, it will not reduce its direct or indirect equity interest in EPE by more than 24.5% or its direct or indirect equity interest in EPE, GasBol, or GasMat to less than 25% plus a share.  The Agreement purports to make any transfer in violation of these provisions null and void.]</w:t>
      </w:r>
    </w:p>
    <w:p>
      <w:pPr>
        <w:pStyle w:val="Normal"/>
        <w:ind w:hanging="720" w:start="2160" w:end="0"/>
        <w:rPr/>
      </w:pPr>
      <w:r>
        <w:rPr/>
      </w:r>
    </w:p>
    <w:p>
      <w:pPr>
        <w:pStyle w:val="Normal"/>
        <w:ind w:hanging="720" w:start="1440" w:end="0"/>
        <w:rPr/>
      </w:pPr>
      <w:r>
        <w:rPr/>
        <w:t>D.</w:t>
        <w:tab/>
        <w:t xml:space="preserve">Shareholders’ Funding Agreement.  Under the Shareholders’ Funding Agreement, the transferee of all or a portion of the equity interests or shareholder loans made by EBPH-I must assume EBPH-I’s obligations under the Shareholders’ Funding Agreement.  </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numPr>
          <w:ilvl w:val="0"/>
          <w:numId w:val="0"/>
        </w:numPr>
        <w:jc w:val="center"/>
        <w:outlineLvl w:val="0"/>
        <w:rPr>
          <w:b/>
        </w:rPr>
      </w:pPr>
      <w:r>
        <w:rPr>
          <w:b/>
        </w:rPr>
        <w:t>SCHEDULE 5.01(a)</w:t>
      </w:r>
    </w:p>
    <w:p>
      <w:pPr>
        <w:pStyle w:val="Normal"/>
        <w:jc w:val="center"/>
        <w:rPr/>
      </w:pPr>
      <w:r>
        <w:rPr/>
      </w:r>
    </w:p>
    <w:p>
      <w:pPr>
        <w:pStyle w:val="Normal"/>
        <w:numPr>
          <w:ilvl w:val="0"/>
          <w:numId w:val="0"/>
        </w:numPr>
        <w:jc w:val="center"/>
        <w:outlineLvl w:val="0"/>
        <w:rPr>
          <w:b/>
        </w:rPr>
      </w:pPr>
      <w:r>
        <w:rPr>
          <w:b/>
        </w:rPr>
        <w:t>LIST OF SUBJECT COMPANIES, SUBSIDIARIES OF SUBJECT</w:t>
      </w:r>
    </w:p>
    <w:p>
      <w:pPr>
        <w:pStyle w:val="Normal"/>
        <w:jc w:val="center"/>
        <w:rPr>
          <w:b/>
        </w:rPr>
      </w:pPr>
      <w:r>
        <w:rPr>
          <w:b/>
        </w:rPr>
        <w:t>COMPANIES AND OPERATING COMPANIES</w:t>
      </w:r>
    </w:p>
    <w:p>
      <w:pPr>
        <w:pStyle w:val="Normal"/>
        <w:rPr>
          <w:b/>
        </w:rPr>
      </w:pPr>
      <w:r>
        <w:rPr>
          <w:b/>
        </w:rPr>
      </w:r>
    </w:p>
    <w:p>
      <w:pPr>
        <w:pStyle w:val="Normal"/>
        <w:numPr>
          <w:ilvl w:val="0"/>
          <w:numId w:val="0"/>
        </w:numPr>
        <w:outlineLvl w:val="0"/>
        <w:rPr/>
      </w:pPr>
      <w:r>
        <w:rPr/>
        <w:tab/>
        <w:t xml:space="preserve">The following table sets forth the name of each Subject Company, the name of each of its </w:t>
      </w:r>
    </w:p>
    <w:p>
      <w:pPr>
        <w:pStyle w:val="Normal"/>
        <w:rPr/>
      </w:pPr>
      <w:r>
        <w:rPr/>
        <w:t>Subsidiaries and the name of its Operating Company or Companies, together with the nature of its legal organization, the jurisdiction of its organization and its direct and indirect ownership by the Parent (expressed as a percentage):</w:t>
      </w:r>
    </w:p>
    <w:p>
      <w:pPr>
        <w:pStyle w:val="Normal"/>
        <w:rPr/>
      </w:pPr>
      <w:r>
        <w:rPr/>
      </w:r>
    </w:p>
    <w:p>
      <w:pPr>
        <w:pStyle w:val="Normal"/>
        <w:keepNext w:val="true"/>
        <w:keepLines/>
        <w:ind w:hanging="720" w:start="720" w:end="0"/>
        <w:rPr/>
      </w:pPr>
      <w:r>
        <w:rPr/>
        <w:t>I.</w:t>
        <w:tab/>
        <w:t>GasMat:</w:t>
      </w:r>
    </w:p>
    <w:p>
      <w:pPr>
        <w:pStyle w:val="Normal"/>
        <w:keepNext w:val="true"/>
        <w:keepLines/>
        <w:rPr/>
      </w:pPr>
      <w:r>
        <w:rPr/>
      </w:r>
    </w:p>
    <w:p>
      <w:pPr>
        <w:pStyle w:val="Normal"/>
        <w:ind w:start="720" w:end="0"/>
        <w:rPr/>
      </w:pPr>
      <w:r>
        <w:rPr/>
        <w:tab/>
      </w:r>
      <w:r>
        <w:rPr>
          <w:u w:val="single"/>
        </w:rPr>
        <w:t>Subject Company</w:t>
      </w:r>
      <w:r>
        <w:rPr/>
        <w:t>: GasMat Holdings Ltd., a Cayman Islands corporation (50%).</w:t>
      </w:r>
    </w:p>
    <w:p>
      <w:pPr>
        <w:pStyle w:val="Normal"/>
        <w:rPr/>
      </w:pPr>
      <w:r>
        <w:rPr/>
      </w:r>
    </w:p>
    <w:p>
      <w:pPr>
        <w:pStyle w:val="Normal"/>
        <w:tabs>
          <w:tab w:val="left" w:pos="720" w:leader="none"/>
          <w:tab w:val="left" w:pos="1440" w:leader="none"/>
        </w:tabs>
        <w:ind w:start="1440" w:end="0"/>
        <w:rPr/>
      </w:pPr>
      <w:r>
        <w:rPr>
          <w:u w:val="single"/>
        </w:rPr>
        <w:t>Subsidiary</w:t>
      </w:r>
      <w:r>
        <w:rPr/>
        <w:t>: GasMat Investments Ltd., a Cayman Islands corporation (50%).</w:t>
      </w:r>
    </w:p>
    <w:p>
      <w:pPr>
        <w:pStyle w:val="Normal"/>
        <w:rPr/>
      </w:pPr>
      <w:r>
        <w:rPr/>
      </w:r>
    </w:p>
    <w:p>
      <w:pPr>
        <w:pStyle w:val="Normal"/>
        <w:ind w:start="2160" w:end="0"/>
        <w:rPr/>
      </w:pPr>
      <w:r>
        <w:rPr>
          <w:u w:val="single"/>
        </w:rPr>
        <w:t>Operating Company</w:t>
      </w:r>
      <w:r>
        <w:rPr/>
        <w:t>: Gas Ocidente do Mato Grosso Ltd., a Brazilian ________ (50%, with an additional indirect 3.125% held through Transredes).</w:t>
      </w:r>
    </w:p>
    <w:p>
      <w:pPr>
        <w:pStyle w:val="Normal"/>
        <w:rPr/>
      </w:pPr>
      <w:r>
        <w:rPr/>
      </w:r>
      <w:r>
        <w:br w:type="page"/>
      </w:r>
    </w:p>
    <w:p>
      <w:pPr>
        <w:pStyle w:val="Normal"/>
        <w:numPr>
          <w:ilvl w:val="0"/>
          <w:numId w:val="0"/>
        </w:numPr>
        <w:jc w:val="center"/>
        <w:outlineLvl w:val="0"/>
        <w:rPr>
          <w:b/>
        </w:rPr>
      </w:pPr>
      <w:r>
        <w:rPr>
          <w:b/>
        </w:rPr>
        <w:t>SCHEDULE 5.02</w:t>
      </w:r>
    </w:p>
    <w:p>
      <w:pPr>
        <w:pStyle w:val="Normal"/>
        <w:jc w:val="center"/>
        <w:rPr/>
      </w:pPr>
      <w:r>
        <w:rPr/>
      </w:r>
    </w:p>
    <w:p>
      <w:pPr>
        <w:pStyle w:val="Normal"/>
        <w:numPr>
          <w:ilvl w:val="0"/>
          <w:numId w:val="0"/>
        </w:numPr>
        <w:jc w:val="center"/>
        <w:outlineLvl w:val="0"/>
        <w:rPr>
          <w:b/>
        </w:rPr>
      </w:pPr>
      <w:r>
        <w:rPr>
          <w:b/>
        </w:rPr>
        <w:t>CONTRACTUAL RESTRICTIONS</w:t>
      </w:r>
    </w:p>
    <w:p>
      <w:pPr>
        <w:pStyle w:val="Normal"/>
        <w:rPr/>
      </w:pPr>
      <w:r>
        <w:rPr/>
      </w:r>
    </w:p>
    <w:p>
      <w:pPr>
        <w:pStyle w:val="Normal"/>
        <w:rPr/>
      </w:pPr>
      <w:r>
        <w:rPr/>
      </w:r>
    </w:p>
    <w:p>
      <w:pPr>
        <w:pStyle w:val="Normal"/>
        <w:ind w:hanging="720" w:start="720" w:end="0"/>
        <w:rPr/>
      </w:pPr>
      <w:r>
        <w:rPr/>
        <w:t>I.</w:t>
        <w:tab/>
        <w:t>See the Sellers’ contractual and other restrictions set forth on Schedule 4.05, all of which are incorporated herein by this reference.</w:t>
      </w:r>
    </w:p>
    <w:p>
      <w:pPr>
        <w:pStyle w:val="Normal"/>
        <w:rPr/>
      </w:pPr>
      <w:r>
        <w:rPr/>
      </w:r>
      <w:r>
        <w:br w:type="page"/>
      </w:r>
    </w:p>
    <w:p>
      <w:pPr>
        <w:pStyle w:val="Normal"/>
        <w:jc w:val="center"/>
        <w:rPr>
          <w:b/>
        </w:rPr>
      </w:pPr>
      <w:r>
        <w:rPr>
          <w:b/>
        </w:rPr>
        <w:t>SCHEDULE 5.03</w:t>
      </w:r>
    </w:p>
    <w:p>
      <w:pPr>
        <w:pStyle w:val="Normal"/>
        <w:jc w:val="center"/>
        <w:rPr>
          <w:b/>
        </w:rPr>
      </w:pPr>
      <w:r>
        <w:rPr>
          <w:b/>
        </w:rPr>
      </w:r>
    </w:p>
    <w:p>
      <w:pPr>
        <w:pStyle w:val="Normal"/>
        <w:jc w:val="center"/>
        <w:rPr>
          <w:b/>
        </w:rPr>
      </w:pPr>
      <w:r>
        <w:rPr>
          <w:b/>
        </w:rPr>
        <w:t>REQUIRED REGULATORY APPROVALS</w:t>
      </w:r>
    </w:p>
    <w:p>
      <w:pPr>
        <w:pStyle w:val="Normal"/>
        <w:rPr/>
      </w:pPr>
      <w:r>
        <w:rPr/>
      </w:r>
    </w:p>
    <w:p>
      <w:pPr>
        <w:pStyle w:val="Normal"/>
        <w:rPr/>
      </w:pPr>
      <w:r>
        <w:rPr/>
      </w:r>
    </w:p>
    <w:p>
      <w:pPr>
        <w:pStyle w:val="Normal"/>
        <w:ind w:hanging="720" w:start="720" w:end="0"/>
        <w:rPr/>
      </w:pPr>
      <w:r>
        <w:rPr/>
        <w:t>I.</w:t>
        <w:tab/>
        <w:t>See the Sellers’ contractual and other restrictions set forth on Schedule 4.05, all of which are incorporated by this reference.</w:t>
      </w:r>
    </w:p>
    <w:p>
      <w:pPr>
        <w:pStyle w:val="Normal"/>
        <w:rPr/>
      </w:pPr>
      <w:r>
        <w:rPr/>
      </w:r>
    </w:p>
    <w:p>
      <w:pPr>
        <w:pStyle w:val="Normal"/>
        <w:rPr/>
      </w:pPr>
      <w:r>
        <w:rPr/>
      </w:r>
    </w:p>
    <w:p>
      <w:pPr>
        <w:pStyle w:val="Normal"/>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in each Subject Company owned by the related Seller, in each case as of the date of the Agreement:</w:t>
      </w:r>
    </w:p>
    <w:p>
      <w:pPr>
        <w:pStyle w:val="Normal"/>
        <w:rPr/>
      </w:pPr>
      <w:r>
        <w:rPr/>
      </w:r>
    </w:p>
    <w:tbl>
      <w:tblPr>
        <w:tblW w:w="12330" w:type="dxa"/>
        <w:jc w:val="center"/>
        <w:tblInd w:w="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jc w:val="center"/>
              <w:rPr>
                <w:sz w:val="20"/>
              </w:rPr>
            </w:pPr>
            <w:r>
              <w:rPr>
                <w:b/>
                <w:sz w:val="20"/>
              </w:rPr>
              <w:t>Business(es)</w:t>
            </w:r>
          </w:p>
        </w:tc>
        <w:tc>
          <w:tcPr>
            <w:tcW w:w="2250" w:type="dxa"/>
            <w:tcBorders>
              <w:top w:val="single" w:sz="6" w:space="0" w:color="000000"/>
              <w:start w:val="single" w:sz="6" w:space="0" w:color="000000"/>
            </w:tcBorders>
          </w:tcPr>
          <w:p>
            <w:pPr>
              <w:pStyle w:val="Normal"/>
              <w:jc w:val="center"/>
              <w:rPr>
                <w:b/>
                <w:sz w:val="20"/>
              </w:rPr>
            </w:pPr>
            <w:r>
              <w:rPr>
                <w:b/>
                <w:sz w:val="20"/>
              </w:rPr>
              <w:t>Name of</w:t>
            </w:r>
          </w:p>
          <w:p>
            <w:pPr>
              <w:pStyle w:val="Normal"/>
              <w:jc w:val="center"/>
              <w:rPr>
                <w:b/>
                <w:sz w:val="20"/>
              </w:rPr>
            </w:pPr>
            <w:r>
              <w:rPr>
                <w:b/>
                <w:sz w:val="20"/>
              </w:rPr>
              <w:t>Subject</w:t>
            </w:r>
          </w:p>
          <w:p>
            <w:pPr>
              <w:pStyle w:val="Normal"/>
              <w:jc w:val="center"/>
              <w:rPr>
                <w:sz w:val="20"/>
              </w:rPr>
            </w:pPr>
            <w:r>
              <w:rPr>
                <w:b/>
                <w:sz w:val="20"/>
              </w:rPr>
              <w:t>Company</w:t>
            </w:r>
          </w:p>
        </w:tc>
        <w:tc>
          <w:tcPr>
            <w:tcW w:w="1800" w:type="dxa"/>
            <w:tcBorders>
              <w:top w:val="single" w:sz="6" w:space="0" w:color="000000"/>
              <w:start w:val="single" w:sz="6" w:space="0" w:color="000000"/>
            </w:tcBorders>
          </w:tcPr>
          <w:p>
            <w:pPr>
              <w:pStyle w:val="Normal"/>
              <w:jc w:val="center"/>
              <w:rPr>
                <w:b/>
                <w:sz w:val="20"/>
              </w:rPr>
            </w:pPr>
            <w:r>
              <w:rPr>
                <w:b/>
                <w:sz w:val="20"/>
              </w:rPr>
              <w:t>Description</w:t>
            </w:r>
          </w:p>
          <w:p>
            <w:pPr>
              <w:pStyle w:val="Normal"/>
              <w:jc w:val="center"/>
              <w:rPr>
                <w:b/>
                <w:sz w:val="20"/>
              </w:rPr>
            </w:pPr>
            <w:r>
              <w:rPr>
                <w:b/>
                <w:sz w:val="20"/>
              </w:rPr>
              <w:t>of Equity</w:t>
            </w:r>
          </w:p>
          <w:p>
            <w:pPr>
              <w:pStyle w:val="Normal"/>
              <w:jc w:val="center"/>
              <w:rPr>
                <w:sz w:val="20"/>
              </w:rPr>
            </w:pPr>
            <w:r>
              <w:rPr>
                <w:b/>
                <w:sz w:val="20"/>
              </w:rPr>
              <w:t>Securities</w:t>
            </w:r>
          </w:p>
        </w:tc>
        <w:tc>
          <w:tcPr>
            <w:tcW w:w="1710" w:type="dxa"/>
            <w:tcBorders>
              <w:top w:val="single" w:sz="6" w:space="0" w:color="000000"/>
              <w:start w:val="single" w:sz="6" w:space="0" w:color="000000"/>
            </w:tcBorders>
          </w:tcPr>
          <w:p>
            <w:pPr>
              <w:pStyle w:val="Normal"/>
              <w:jc w:val="center"/>
              <w:rPr>
                <w:b/>
                <w:sz w:val="20"/>
              </w:rPr>
            </w:pPr>
            <w:r>
              <w:rPr>
                <w:b/>
                <w:sz w:val="20"/>
              </w:rPr>
              <w:t>Authorized</w:t>
            </w:r>
          </w:p>
          <w:p>
            <w:pPr>
              <w:pStyle w:val="Normal"/>
              <w:jc w:val="center"/>
              <w:rPr>
                <w:b/>
                <w:sz w:val="20"/>
              </w:rPr>
            </w:pPr>
            <w:r>
              <w:rPr>
                <w:b/>
                <w:sz w:val="20"/>
              </w:rPr>
              <w:t>Equity</w:t>
            </w:r>
          </w:p>
          <w:p>
            <w:pPr>
              <w:pStyle w:val="Normal"/>
              <w:jc w:val="center"/>
              <w:rPr>
                <w:sz w:val="20"/>
              </w:rPr>
            </w:pPr>
            <w:r>
              <w:rPr>
                <w:b/>
                <w:sz w:val="20"/>
              </w:rPr>
              <w:t>Securities</w:t>
            </w:r>
          </w:p>
        </w:tc>
        <w:tc>
          <w:tcPr>
            <w:tcW w:w="1710" w:type="dxa"/>
            <w:tcBorders>
              <w:top w:val="single" w:sz="6" w:space="0" w:color="000000"/>
              <w:start w:val="single" w:sz="6" w:space="0" w:color="000000"/>
            </w:tcBorders>
          </w:tcPr>
          <w:p>
            <w:pPr>
              <w:pStyle w:val="Normal"/>
              <w:jc w:val="center"/>
              <w:rPr>
                <w:b/>
                <w:sz w:val="20"/>
              </w:rPr>
            </w:pPr>
            <w:r>
              <w:rPr>
                <w:b/>
                <w:sz w:val="20"/>
              </w:rPr>
              <w:t>Outstanding</w:t>
            </w:r>
          </w:p>
          <w:p>
            <w:pPr>
              <w:pStyle w:val="Normal"/>
              <w:jc w:val="center"/>
              <w:rPr>
                <w:b/>
                <w:sz w:val="20"/>
              </w:rPr>
            </w:pPr>
            <w:r>
              <w:rPr>
                <w:b/>
                <w:sz w:val="20"/>
              </w:rPr>
              <w:t>Equity</w:t>
            </w:r>
          </w:p>
          <w:p>
            <w:pPr>
              <w:pStyle w:val="Normal"/>
              <w:jc w:val="center"/>
              <w:rPr>
                <w:sz w:val="20"/>
              </w:rPr>
            </w:pPr>
            <w:r>
              <w:rPr>
                <w:b/>
                <w:sz w:val="20"/>
              </w:rPr>
              <w:t>Securities</w:t>
            </w:r>
          </w:p>
        </w:tc>
        <w:tc>
          <w:tcPr>
            <w:tcW w:w="1440" w:type="dxa"/>
            <w:tcBorders>
              <w:top w:val="single" w:sz="6" w:space="0" w:color="000000"/>
              <w:start w:val="single" w:sz="6" w:space="0" w:color="000000"/>
            </w:tcBorders>
          </w:tcPr>
          <w:p>
            <w:pPr>
              <w:pStyle w:val="Normal"/>
              <w:jc w:val="center"/>
              <w:rPr>
                <w:b/>
                <w:sz w:val="20"/>
              </w:rPr>
            </w:pPr>
            <w:r>
              <w:rPr>
                <w:b/>
                <w:sz w:val="20"/>
              </w:rPr>
              <w:t>Equity Securities</w:t>
            </w:r>
          </w:p>
          <w:p>
            <w:pPr>
              <w:pStyle w:val="Normal"/>
              <w:jc w:val="center"/>
              <w:rPr>
                <w:b/>
                <w:sz w:val="20"/>
              </w:rPr>
            </w:pPr>
            <w:r>
              <w:rPr>
                <w:b/>
                <w:sz w:val="20"/>
              </w:rPr>
              <w:t>Owned by</w:t>
            </w:r>
          </w:p>
          <w:p>
            <w:pPr>
              <w:pStyle w:val="Normal"/>
              <w:jc w:val="center"/>
              <w:rPr>
                <w:sz w:val="20"/>
              </w:rPr>
            </w:pPr>
            <w:r>
              <w:rPr>
                <w:b/>
                <w:sz w:val="20"/>
              </w:rPr>
              <w:t>Seller</w:t>
            </w:r>
          </w:p>
        </w:tc>
        <w:tc>
          <w:tcPr>
            <w:tcW w:w="1710" w:type="dxa"/>
            <w:tcBorders>
              <w:top w:val="single" w:sz="6" w:space="0" w:color="000000"/>
              <w:start w:val="single" w:sz="6" w:space="0" w:color="000000"/>
              <w:end w:val="single" w:sz="6" w:space="0" w:color="000000"/>
            </w:tcBorders>
          </w:tcPr>
          <w:p>
            <w:pPr>
              <w:pStyle w:val="Normal"/>
              <w:jc w:val="center"/>
              <w:rPr>
                <w:b/>
                <w:sz w:val="20"/>
              </w:rPr>
            </w:pPr>
            <w:r>
              <w:rPr>
                <w:b/>
                <w:sz w:val="20"/>
              </w:rPr>
              <w:t>% of Subject</w:t>
            </w:r>
          </w:p>
          <w:p>
            <w:pPr>
              <w:pStyle w:val="Normal"/>
              <w:jc w:val="center"/>
              <w:rPr>
                <w:b/>
                <w:sz w:val="20"/>
              </w:rPr>
            </w:pPr>
            <w:r>
              <w:rPr>
                <w:b/>
                <w:sz w:val="20"/>
              </w:rPr>
              <w:t>Company Owned and Transferred</w:t>
            </w:r>
          </w:p>
          <w:p>
            <w:pPr>
              <w:pStyle w:val="Normal"/>
              <w:jc w:val="center"/>
              <w:rPr>
                <w:sz w:val="20"/>
              </w:rPr>
            </w:pPr>
            <w:r>
              <w:rPr>
                <w:b/>
                <w:sz w:val="20"/>
              </w:rPr>
              <w:t>by Seller</w:t>
            </w:r>
          </w:p>
        </w:tc>
      </w:tr>
      <w:tr>
        <w:trPr>
          <w:trHeight w:val="403" w:hRule="atLeast"/>
        </w:trPr>
        <w:tc>
          <w:tcPr>
            <w:tcW w:w="1710" w:type="dxa"/>
            <w:tcBorders>
              <w:top w:val="single" w:sz="6" w:space="0" w:color="000000"/>
              <w:start w:val="single" w:sz="6" w:space="0" w:color="000000"/>
              <w:bottom w:val="single" w:sz="6" w:space="0" w:color="000000"/>
            </w:tcBorders>
          </w:tcPr>
          <w:p>
            <w:pPr>
              <w:pStyle w:val="Normal"/>
              <w:jc w:val="start"/>
              <w:rPr>
                <w:sz w:val="20"/>
              </w:rPr>
            </w:pPr>
            <w:r>
              <w:rPr>
                <w:sz w:val="20"/>
              </w:rPr>
              <w:t>GasMat</w:t>
            </w:r>
          </w:p>
        </w:tc>
        <w:tc>
          <w:tcPr>
            <w:tcW w:w="2250" w:type="dxa"/>
            <w:tcBorders>
              <w:top w:val="single" w:sz="6" w:space="0" w:color="000000"/>
              <w:start w:val="single" w:sz="6" w:space="0" w:color="000000"/>
              <w:bottom w:val="single" w:sz="6" w:space="0" w:color="000000"/>
            </w:tcBorders>
          </w:tcPr>
          <w:p>
            <w:pPr>
              <w:pStyle w:val="Normal"/>
              <w:jc w:val="start"/>
              <w:rPr>
                <w:sz w:val="20"/>
              </w:rPr>
            </w:pPr>
            <w:r>
              <w:rPr>
                <w:sz w:val="20"/>
              </w:rPr>
              <w:t>GasMat Holdings Ltd.</w:t>
            </w:r>
          </w:p>
        </w:tc>
        <w:tc>
          <w:tcPr>
            <w:tcW w:w="1800" w:type="dxa"/>
            <w:tcBorders>
              <w:top w:val="single" w:sz="6" w:space="0" w:color="000000"/>
              <w:start w:val="single" w:sz="6" w:space="0" w:color="000000"/>
              <w:bottom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bottom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bottom w:val="single" w:sz="6"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bottom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20"/>
              </w:rPr>
            </w:pPr>
            <w:r>
              <w:rPr>
                <w:sz w:val="20"/>
              </w:rPr>
            </w:r>
          </w:p>
        </w:tc>
      </w:tr>
    </w:tbl>
    <w:p>
      <w:pPr>
        <w:pStyle w:val="Normal"/>
        <w:rPr>
          <w:u w:val="single"/>
        </w:rPr>
      </w:pPr>
      <w:r>
        <w:rPr>
          <w:u w:val="single"/>
        </w:rPr>
      </w:r>
    </w:p>
    <w:p>
      <w:pPr>
        <w:pStyle w:val="Normal"/>
        <w:rPr>
          <w:u w:val="single"/>
        </w:rPr>
      </w:pPr>
      <w:r>
        <w:rPr>
          <w:u w:val="single"/>
        </w:rPr>
      </w:r>
    </w:p>
    <w:p>
      <w:pPr>
        <w:pStyle w:val="Normal"/>
        <w:rPr>
          <w:u w:val="single"/>
        </w:rPr>
      </w:pPr>
      <w:r>
        <w:rPr>
          <w:u w:val="single"/>
        </w:rPr>
      </w:r>
    </w:p>
    <w:p>
      <w:pPr>
        <w:sectPr>
          <w:headerReference w:type="default" r:id="rId4"/>
          <w:footerReference w:type="default" r:id="rId5"/>
          <w:type w:val="oddPage"/>
          <w:pgSz w:orient="landscape" w:w="15840" w:h="12240"/>
          <w:pgMar w:left="720" w:right="1440" w:gutter="0" w:header="720" w:top="1440" w:footer="720" w:bottom="1440"/>
          <w:pgNumType w:fmt="decimal"/>
          <w:formProt w:val="false"/>
          <w:textDirection w:val="lrTb"/>
          <w:docGrid w:type="default" w:linePitch="360" w:charSpace="0"/>
        </w:sectPr>
        <w:pStyle w:val="Normal"/>
        <w:rPr>
          <w:u w:val="single"/>
        </w:rPr>
      </w:pPr>
      <w:r>
        <w:rPr>
          <w:u w:val="single"/>
        </w:rPr>
      </w:r>
    </w:p>
    <w:p>
      <w:pPr>
        <w:pStyle w:val="Normal"/>
        <w:numPr>
          <w:ilvl w:val="0"/>
          <w:numId w:val="0"/>
        </w:numPr>
        <w:jc w:val="center"/>
        <w:outlineLvl w:val="0"/>
        <w:rPr>
          <w:b/>
        </w:rPr>
      </w:pPr>
      <w:r>
        <w:rPr>
          <w:b/>
        </w:rPr>
        <w:t>SCHEDULE 5.03(c)</w:t>
      </w:r>
    </w:p>
    <w:p>
      <w:pPr>
        <w:pStyle w:val="Normal"/>
        <w:jc w:val="center"/>
        <w:rPr>
          <w:b/>
          <w:u w:val="single"/>
        </w:rPr>
      </w:pPr>
      <w:r>
        <w:rPr>
          <w:b/>
          <w:u w:val="single"/>
        </w:rPr>
      </w:r>
    </w:p>
    <w:p>
      <w:pPr>
        <w:pStyle w:val="Normal"/>
        <w:numPr>
          <w:ilvl w:val="0"/>
          <w:numId w:val="0"/>
        </w:numPr>
        <w:jc w:val="center"/>
        <w:outlineLvl w:val="0"/>
        <w:rPr>
          <w:b/>
        </w:rPr>
      </w:pPr>
      <w:r>
        <w:rPr>
          <w:b/>
        </w:rPr>
        <w:t>MATTERS RELATING TO EQUITY SECURITIES OF THE SUBJECT</w:t>
      </w:r>
    </w:p>
    <w:p>
      <w:pPr>
        <w:pStyle w:val="Normal"/>
        <w:jc w:val="center"/>
        <w:rPr>
          <w:b/>
        </w:rPr>
      </w:pPr>
      <w:r>
        <w:rPr>
          <w:b/>
        </w:rPr>
        <w:t>COMPANIES AND THEIR SIGNIFICANT ENTITIES</w:t>
      </w:r>
    </w:p>
    <w:p>
      <w:pPr>
        <w:pStyle w:val="Normal"/>
        <w:rPr/>
      </w:pPr>
      <w:r>
        <w:rPr/>
      </w:r>
    </w:p>
    <w:p>
      <w:pPr>
        <w:pStyle w:val="Normal"/>
        <w:ind w:hanging="720" w:start="720" w:end="0"/>
        <w:rPr/>
      </w:pPr>
      <w:r>
        <w:rPr/>
        <w:t>I.</w:t>
        <w:tab/>
        <w:t>Matters relating to Clause (iii):  See the contractual restrictions disclosed in Schedules 3.04, 4.04 and 5.04 to this Parent Disclosure Letter, all of which are incorporated herein by this reference.</w:t>
      </w:r>
    </w:p>
    <w:p>
      <w:pPr>
        <w:pStyle w:val="Normal"/>
        <w:ind w:hanging="720" w:start="720" w:end="0"/>
        <w:rPr/>
      </w:pPr>
      <w:r>
        <w:rPr/>
        <w:tab/>
      </w:r>
    </w:p>
    <w:p>
      <w:pPr>
        <w:pStyle w:val="Normal"/>
        <w:ind w:hanging="720" w:start="2160" w:end="0"/>
        <w:rPr/>
      </w:pPr>
      <w:r>
        <w:rPr/>
        <w:t>(A)</w:t>
        <w:tab/>
        <w:t>All shares and quotas are pledged in accordance with the Common Terms Agreement and associated financing documents.</w:t>
      </w:r>
    </w:p>
    <w:p>
      <w:pPr>
        <w:pStyle w:val="Normal"/>
        <w:rPr/>
      </w:pPr>
      <w:r>
        <w:rPr/>
      </w:r>
    </w:p>
    <w:p>
      <w:pPr>
        <w:pStyle w:val="Normal"/>
        <w:ind w:hanging="720" w:start="720" w:end="0"/>
        <w:rPr/>
      </w:pPr>
      <w:r>
        <w:rPr/>
        <w:t>II.</w:t>
        <w:tab/>
        <w:t>Matters relating to Clause (iv):  See the contractual restrictions disclosed in Schedules 3.04, 4.04 and 5.04 to this Parent Disclosure Letter, all of which are incorporated herein by this reference.</w:t>
      </w:r>
    </w:p>
    <w:p>
      <w:pPr>
        <w:pStyle w:val="Normal"/>
        <w:rPr/>
      </w:pPr>
      <w:r>
        <w:rPr/>
      </w:r>
    </w:p>
    <w:p>
      <w:pPr>
        <w:pStyle w:val="Normal"/>
        <w:ind w:hanging="720" w:start="2160" w:end="0"/>
        <w:rPr/>
      </w:pPr>
      <w:r>
        <w:rPr/>
        <w:t>(A)</w:t>
        <w:tab/>
        <w:t>All shares and quotas are pledged in accordance with the Common Terms Agreement and associated financing documents.</w:t>
      </w:r>
    </w:p>
    <w:p>
      <w:pPr>
        <w:pStyle w:val="Normal"/>
        <w:rPr/>
      </w:pPr>
      <w:r>
        <w:rPr/>
      </w:r>
    </w:p>
    <w:p>
      <w:pPr>
        <w:pStyle w:val="Normal"/>
        <w:ind w:hanging="720" w:start="720" w:end="0"/>
        <w:rPr/>
      </w:pPr>
      <w:r>
        <w:rPr/>
        <w:t>III.</w:t>
        <w:tab/>
        <w:t>Information regarding adverse claims with respect to Equity Securities of Subject Companies and their Significant Entities:</w:t>
      </w:r>
    </w:p>
    <w:p>
      <w:pPr>
        <w:pStyle w:val="Normal"/>
        <w:rPr/>
      </w:pPr>
      <w:r>
        <w:rPr/>
      </w:r>
    </w:p>
    <w:p>
      <w:pPr>
        <w:pStyle w:val="Normal"/>
        <w:rPr/>
      </w:pPr>
      <w:r>
        <w:rPr/>
        <w:tab/>
        <w:t>None.</w:t>
      </w:r>
    </w:p>
    <w:p>
      <w:pPr>
        <w:pStyle w:val="Normal"/>
        <w:rPr>
          <w:u w:val="single"/>
        </w:rPr>
      </w:pPr>
      <w:r>
        <w:rPr>
          <w:u w:val="single"/>
        </w:rPr>
      </w:r>
    </w:p>
    <w:p>
      <w:pPr>
        <w:pStyle w:val="Normal"/>
        <w:rPr>
          <w:u w:val="single"/>
        </w:rPr>
      </w:pPr>
      <w:r>
        <w:rPr>
          <w:u w:val="single"/>
        </w:rPr>
      </w:r>
      <w:r>
        <w:br w:type="page"/>
      </w:r>
    </w:p>
    <w:p>
      <w:pPr>
        <w:pStyle w:val="Normal"/>
        <w:jc w:val="center"/>
        <w:rPr>
          <w:b/>
        </w:rPr>
      </w:pPr>
      <w:r>
        <w:rPr>
          <w:b/>
        </w:rPr>
        <w:t>SCHEDULE 5.03(d)</w:t>
      </w:r>
    </w:p>
    <w:p>
      <w:pPr>
        <w:pStyle w:val="Normal"/>
        <w:jc w:val="center"/>
        <w:rPr/>
      </w:pPr>
      <w:r>
        <w:rPr/>
      </w:r>
    </w:p>
    <w:p>
      <w:pPr>
        <w:pStyle w:val="Normal"/>
        <w:numPr>
          <w:ilvl w:val="0"/>
          <w:numId w:val="0"/>
        </w:numPr>
        <w:jc w:val="center"/>
        <w:outlineLvl w:val="0"/>
        <w:rPr>
          <w:b/>
        </w:rPr>
      </w:pPr>
      <w:r>
        <w:rPr>
          <w:b/>
        </w:rPr>
        <w:t>VOTING ARRANGEMENTS</w:t>
      </w:r>
    </w:p>
    <w:p>
      <w:pPr>
        <w:pStyle w:val="Normal"/>
        <w:rPr>
          <w:u w:val="single"/>
        </w:rPr>
      </w:pPr>
      <w:r>
        <w:rPr>
          <w:u w:val="single"/>
        </w:rPr>
      </w:r>
    </w:p>
    <w:p>
      <w:pPr>
        <w:pStyle w:val="Normal"/>
        <w:ind w:hanging="720" w:start="1440" w:end="0"/>
        <w:rPr/>
      </w:pPr>
      <w:r>
        <w:rPr/>
        <w:t>1.</w:t>
        <w:tab/>
        <w:t>Letter Agreement between Enron Electric Power Brazil C.V. (“EEPB”) and SGL, dated June 4, 1998 and amendments dated July 6, 1998 and July 17, 1998.</w:t>
      </w:r>
    </w:p>
    <w:p>
      <w:pPr>
        <w:pStyle w:val="Normal"/>
        <w:rPr/>
      </w:pPr>
      <w:r>
        <w:rPr/>
      </w:r>
    </w:p>
    <w:p>
      <w:pPr>
        <w:pStyle w:val="Normal"/>
        <w:ind w:hanging="720" w:start="1440" w:end="0"/>
        <w:rPr/>
      </w:pPr>
      <w:r>
        <w:rPr/>
        <w:t>2.</w:t>
        <w:tab/>
        <w:t>Letter Agreement between Transredes, Enron (Bolivia) Brazil C.V. (“EBCV”), Enron do Brazil Holdings Ltd. (“EBHL”) and Enron Brazil Power Holdings I. Ltd. (“EBPH”), dated October 2 , 1998.</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776"/>
          <w:pgNumType w:fmt="decimal"/>
          <w:formProt w:val="false"/>
          <w:textDirection w:val="lrTb"/>
          <w:docGrid w:type="default" w:linePitch="360" w:charSpace="0"/>
        </w:sectPr>
        <w:pStyle w:val="Normal"/>
        <w:rPr>
          <w:u w:val="single"/>
        </w:rPr>
      </w:pPr>
      <w:r>
        <w:rPr>
          <w:u w:val="single"/>
        </w:rPr>
      </w:r>
    </w:p>
    <w:p>
      <w:pPr>
        <w:pStyle w:val="Normal"/>
        <w:numPr>
          <w:ilvl w:val="0"/>
          <w:numId w:val="0"/>
        </w:numPr>
        <w:jc w:val="center"/>
        <w:outlineLvl w:val="0"/>
        <w:rPr>
          <w:b/>
        </w:rPr>
      </w:pPr>
      <w:r>
        <w:rPr>
          <w:b/>
        </w:rPr>
        <w:t>SCHEDULE 5.06(b)</w:t>
      </w:r>
    </w:p>
    <w:p>
      <w:pPr>
        <w:pStyle w:val="Normal"/>
        <w:jc w:val="center"/>
        <w:rPr>
          <w:b/>
        </w:rPr>
      </w:pPr>
      <w:r>
        <w:rPr>
          <w:b/>
        </w:rPr>
      </w:r>
    </w:p>
    <w:p>
      <w:pPr>
        <w:pStyle w:val="Normal"/>
        <w:numPr>
          <w:ilvl w:val="0"/>
          <w:numId w:val="0"/>
        </w:numPr>
        <w:jc w:val="center"/>
        <w:outlineLvl w:val="0"/>
        <w:rPr>
          <w:b/>
        </w:rPr>
      </w:pPr>
      <w:r>
        <w:rPr>
          <w:b/>
        </w:rPr>
        <w:t>AUTHORIZATIONS FOR BUSINESSES UNDER DEVELOPMENT</w:t>
      </w:r>
    </w:p>
    <w:p>
      <w:pPr>
        <w:pStyle w:val="Normal"/>
        <w:jc w:val="center"/>
        <w:rPr>
          <w:b/>
        </w:rPr>
      </w:pPr>
      <w:r>
        <w:rPr>
          <w:b/>
        </w:rPr>
      </w:r>
    </w:p>
    <w:p>
      <w:pPr>
        <w:pStyle w:val="Normal"/>
        <w:rPr/>
      </w:pPr>
      <w:r>
        <w:rPr/>
      </w:r>
    </w:p>
    <w:p>
      <w:pPr>
        <w:pStyle w:val="Normal"/>
        <w:rPr>
          <w:b/>
          <w:u w:val="single"/>
        </w:rPr>
      </w:pPr>
      <w:r>
        <w:rPr/>
        <w:tab/>
        <w:t>The Authorizations, other than those subject to Section 5.12, that have heretofore been obtained [or are pending] for the Business under Development are set forth below:</w:t>
      </w:r>
    </w:p>
    <w:p>
      <w:pPr>
        <w:pStyle w:val="Normal"/>
        <w:rPr>
          <w:b/>
          <w:u w:val="single"/>
        </w:rPr>
      </w:pPr>
      <w:r>
        <w:rPr>
          <w:b/>
          <w:u w:val="single"/>
        </w:rPr>
      </w:r>
    </w:p>
    <w:p>
      <w:pPr>
        <w:pStyle w:val="Heading1"/>
        <w:tabs>
          <w:tab w:val="clear" w:pos="0"/>
          <w:tab w:val="clear" w:pos="360"/>
          <w:tab w:val="clear" w:pos="923"/>
          <w:tab w:val="clear" w:pos="1248"/>
          <w:tab w:val="left" w:pos="-1080" w:leader="none"/>
          <w:tab w:val="left" w:pos="-360" w:leader="none"/>
        </w:tabs>
        <w:suppressAutoHyphens w:val="false"/>
        <w:spacing w:lineRule="auto" w:line="240"/>
        <w:ind w:hanging="0" w:start="0"/>
        <w:rPr/>
      </w:pPr>
      <w:r>
        <w:rPr/>
        <w:t>I. LIST OF PERMITS - GASMAT</w:t>
      </w:r>
    </w:p>
    <w:tbl>
      <w:tblPr>
        <w:tblW w:w="14298" w:type="dxa"/>
        <w:jc w:val="center"/>
        <w:tblInd w:w="0" w:type="dxa"/>
        <w:tblLayout w:type="fixed"/>
        <w:tblCellMar>
          <w:top w:w="0" w:type="dxa"/>
          <w:start w:w="56" w:type="dxa"/>
          <w:bottom w:w="0" w:type="dxa"/>
          <w:end w:w="56" w:type="dxa"/>
        </w:tblCellMar>
      </w:tblPr>
      <w:tblGrid>
        <w:gridCol w:w="516"/>
        <w:gridCol w:w="3060"/>
        <w:gridCol w:w="1710"/>
        <w:gridCol w:w="2133"/>
        <w:gridCol w:w="1800"/>
        <w:gridCol w:w="990"/>
        <w:gridCol w:w="2919"/>
        <w:gridCol w:w="1170"/>
      </w:tblGrid>
      <w:tr>
        <w:trPr>
          <w:tblHeader w:val="true"/>
        </w:trPr>
        <w:tc>
          <w:tcPr>
            <w:tcW w:w="516" w:type="dxa"/>
            <w:tcBorders>
              <w:top w:val="single" w:sz="6" w:space="0" w:color="000000"/>
              <w:start w:val="single" w:sz="6" w:space="0" w:color="000000"/>
            </w:tcBorders>
            <w:shd w:fill="F2F2F2" w:val="clear"/>
          </w:tcPr>
          <w:p>
            <w:pPr>
              <w:pStyle w:val="Normal"/>
              <w:suppressAutoHyphens w:val="true"/>
              <w:spacing w:lineRule="auto" w:line="214" w:before="18" w:after="54"/>
              <w:jc w:val="center"/>
              <w:rPr>
                <w:spacing w:val="-2"/>
                <w:sz w:val="16"/>
              </w:rPr>
            </w:pPr>
            <w:r>
              <w:rPr>
                <w:b/>
                <w:spacing w:val="-2"/>
                <w:sz w:val="16"/>
              </w:rPr>
              <w:t>NO.</w:t>
            </w:r>
          </w:p>
        </w:tc>
        <w:tc>
          <w:tcPr>
            <w:tcW w:w="3060" w:type="dxa"/>
            <w:tcBorders>
              <w:top w:val="single" w:sz="6" w:space="0" w:color="000000"/>
              <w:start w:val="single" w:sz="6" w:space="0" w:color="000000"/>
            </w:tcBorders>
            <w:shd w:fill="F2F2F2" w:val="clear"/>
          </w:tcPr>
          <w:p>
            <w:pPr>
              <w:pStyle w:val="Heading3"/>
              <w:tabs>
                <w:tab w:val="clear" w:pos="360"/>
                <w:tab w:val="clear" w:pos="923"/>
                <w:tab w:val="clear" w:pos="1248"/>
                <w:tab w:val="clear" w:pos="3882"/>
                <w:tab w:val="clear" w:pos="4764"/>
                <w:tab w:val="clear" w:pos="5250"/>
                <w:tab w:val="clear" w:pos="11982"/>
                <w:tab w:val="clear" w:pos="12732"/>
                <w:tab w:val="clear" w:pos="13243"/>
                <w:tab w:val="left" w:pos="-1080" w:leader="none"/>
                <w:tab w:val="left" w:pos="-360" w:leader="none"/>
              </w:tabs>
              <w:spacing w:before="18" w:after="54"/>
              <w:ind w:hanging="0" w:start="0"/>
              <w:rPr>
                <w:b w:val="false"/>
                <w:sz w:val="16"/>
              </w:rPr>
            </w:pPr>
            <w:r>
              <w:rPr>
                <w:sz w:val="16"/>
              </w:rPr>
              <w:t xml:space="preserve">CONSENTS AND PERMITS </w:t>
            </w:r>
          </w:p>
        </w:tc>
        <w:tc>
          <w:tcPr>
            <w:tcW w:w="1710" w:type="dxa"/>
            <w:tcBorders>
              <w:top w:val="single" w:sz="6" w:space="0" w:color="000000"/>
              <w:start w:val="single" w:sz="6" w:space="0" w:color="000000"/>
            </w:tcBorders>
            <w:shd w:fill="F2F2F2" w:val="clear"/>
          </w:tcPr>
          <w:p>
            <w:pPr>
              <w:pStyle w:val="Normal"/>
              <w:suppressAutoHyphens w:val="true"/>
              <w:spacing w:lineRule="auto" w:line="214" w:before="18" w:after="54"/>
              <w:jc w:val="center"/>
              <w:rPr>
                <w:b/>
                <w:spacing w:val="-2"/>
                <w:sz w:val="16"/>
              </w:rPr>
            </w:pPr>
            <w:r>
              <w:rPr>
                <w:b/>
                <w:spacing w:val="-2"/>
                <w:sz w:val="16"/>
              </w:rPr>
              <w:t>AUTHORITY CONCERNED</w:t>
            </w:r>
          </w:p>
        </w:tc>
        <w:tc>
          <w:tcPr>
            <w:tcW w:w="2133" w:type="dxa"/>
            <w:tcBorders>
              <w:top w:val="single" w:sz="6" w:space="0" w:color="000000"/>
              <w:start w:val="single" w:sz="6" w:space="0" w:color="000000"/>
            </w:tcBorders>
            <w:shd w:fill="F2F2F2" w:val="clear"/>
          </w:tcPr>
          <w:p>
            <w:pPr>
              <w:pStyle w:val="Normal"/>
              <w:suppressAutoHyphens w:val="true"/>
              <w:spacing w:lineRule="auto" w:line="214" w:before="18" w:after="54"/>
              <w:jc w:val="center"/>
              <w:rPr>
                <w:b/>
                <w:spacing w:val="-2"/>
                <w:sz w:val="16"/>
              </w:rPr>
            </w:pPr>
            <w:r>
              <w:rPr>
                <w:b/>
                <w:spacing w:val="-2"/>
                <w:sz w:val="16"/>
              </w:rPr>
              <w:t>STATUS</w:t>
            </w:r>
          </w:p>
        </w:tc>
        <w:tc>
          <w:tcPr>
            <w:tcW w:w="1800" w:type="dxa"/>
            <w:tcBorders>
              <w:top w:val="single" w:sz="6" w:space="0" w:color="000000"/>
              <w:start w:val="single" w:sz="6" w:space="0" w:color="000000"/>
            </w:tcBorders>
            <w:shd w:fill="F2F2F2" w:val="clear"/>
          </w:tcPr>
          <w:p>
            <w:pPr>
              <w:pStyle w:val="Normal"/>
              <w:suppressAutoHyphens w:val="true"/>
              <w:spacing w:lineRule="auto" w:line="214" w:before="18" w:after="54"/>
              <w:jc w:val="center"/>
              <w:rPr>
                <w:b/>
                <w:spacing w:val="-2"/>
                <w:sz w:val="16"/>
              </w:rPr>
            </w:pPr>
            <w:r>
              <w:rPr>
                <w:b/>
                <w:spacing w:val="-2"/>
                <w:sz w:val="16"/>
              </w:rPr>
              <w:t>APPLICANT</w:t>
            </w:r>
          </w:p>
        </w:tc>
        <w:tc>
          <w:tcPr>
            <w:tcW w:w="990" w:type="dxa"/>
            <w:tcBorders>
              <w:top w:val="single" w:sz="6" w:space="0" w:color="000000"/>
              <w:start w:val="single" w:sz="6" w:space="0" w:color="000000"/>
            </w:tcBorders>
            <w:shd w:fill="F2F2F2" w:val="clear"/>
          </w:tcPr>
          <w:p>
            <w:pPr>
              <w:pStyle w:val="Heading3"/>
              <w:tabs>
                <w:tab w:val="clear" w:pos="360"/>
                <w:tab w:val="clear" w:pos="923"/>
                <w:tab w:val="clear" w:pos="1248"/>
                <w:tab w:val="clear" w:pos="3882"/>
                <w:tab w:val="clear" w:pos="4764"/>
                <w:tab w:val="clear" w:pos="5250"/>
                <w:tab w:val="clear" w:pos="11982"/>
                <w:tab w:val="clear" w:pos="12732"/>
                <w:tab w:val="clear" w:pos="13243"/>
                <w:tab w:val="left" w:pos="-1080" w:leader="none"/>
                <w:tab w:val="left" w:pos="-360" w:leader="none"/>
              </w:tabs>
              <w:spacing w:before="18" w:after="54"/>
              <w:ind w:hanging="0" w:start="0"/>
              <w:rPr>
                <w:sz w:val="16"/>
              </w:rPr>
            </w:pPr>
            <w:r>
              <w:rPr>
                <w:sz w:val="16"/>
              </w:rPr>
              <w:t>EXPIRY DATE</w:t>
            </w:r>
          </w:p>
        </w:tc>
        <w:tc>
          <w:tcPr>
            <w:tcW w:w="2919" w:type="dxa"/>
            <w:tcBorders>
              <w:top w:val="single" w:sz="6" w:space="0" w:color="000000"/>
              <w:start w:val="single" w:sz="6" w:space="0" w:color="000000"/>
            </w:tcBorders>
            <w:shd w:fill="F2F2F2" w:val="clear"/>
          </w:tcPr>
          <w:p>
            <w:pPr>
              <w:pStyle w:val="Heading3"/>
              <w:tabs>
                <w:tab w:val="clear" w:pos="360"/>
                <w:tab w:val="clear" w:pos="923"/>
                <w:tab w:val="clear" w:pos="1248"/>
                <w:tab w:val="clear" w:pos="3882"/>
                <w:tab w:val="clear" w:pos="4764"/>
                <w:tab w:val="clear" w:pos="5250"/>
                <w:tab w:val="clear" w:pos="11982"/>
                <w:tab w:val="clear" w:pos="12732"/>
                <w:tab w:val="clear" w:pos="13243"/>
                <w:tab w:val="left" w:pos="-1080" w:leader="none"/>
                <w:tab w:val="left" w:pos="-360" w:leader="none"/>
              </w:tabs>
              <w:spacing w:before="18" w:after="54"/>
              <w:ind w:hanging="0" w:start="0" w:end="-158"/>
              <w:rPr>
                <w:sz w:val="16"/>
              </w:rPr>
            </w:pPr>
            <w:r>
              <w:rPr>
                <w:sz w:val="16"/>
              </w:rPr>
              <w:t>NEED TO BE RENEWED</w:t>
            </w:r>
          </w:p>
        </w:tc>
        <w:tc>
          <w:tcPr>
            <w:tcW w:w="1170" w:type="dxa"/>
            <w:tcBorders>
              <w:top w:val="single" w:sz="6" w:space="0" w:color="000000"/>
              <w:start w:val="single" w:sz="6" w:space="0" w:color="000000"/>
              <w:end w:val="single" w:sz="6" w:space="0" w:color="000000"/>
            </w:tcBorders>
            <w:shd w:fill="F2F2F2" w:val="clear"/>
          </w:tcPr>
          <w:p>
            <w:pPr>
              <w:pStyle w:val="Heading3"/>
              <w:tabs>
                <w:tab w:val="clear" w:pos="360"/>
                <w:tab w:val="clear" w:pos="923"/>
                <w:tab w:val="clear" w:pos="1248"/>
                <w:tab w:val="clear" w:pos="3882"/>
                <w:tab w:val="clear" w:pos="4764"/>
                <w:tab w:val="clear" w:pos="5250"/>
                <w:tab w:val="clear" w:pos="11982"/>
                <w:tab w:val="clear" w:pos="12732"/>
                <w:tab w:val="clear" w:pos="13243"/>
                <w:tab w:val="left" w:pos="-1080" w:leader="none"/>
                <w:tab w:val="left" w:pos="-360" w:leader="none"/>
              </w:tabs>
              <w:spacing w:before="18" w:after="54"/>
              <w:ind w:hanging="0" w:start="0"/>
              <w:rPr>
                <w:sz w:val="16"/>
              </w:rPr>
            </w:pPr>
            <w:r>
              <w:rPr>
                <w:sz w:val="16"/>
              </w:rPr>
              <w:t xml:space="preserve">STATUS OF </w:t>
            </w:r>
            <w:r>
              <w:rPr>
                <w:rFonts w:cs="CG Times (PCL6)" w:ascii="CG Times (PCL6)" w:hAnsi="CG Times (PCL6)"/>
                <w:sz w:val="16"/>
              </w:rPr>
              <w:t>RENEWING</w:t>
            </w:r>
          </w:p>
        </w:tc>
      </w:tr>
      <w:tr>
        <w:trPr/>
        <w:tc>
          <w:tcPr>
            <w:tcW w:w="14298" w:type="dxa"/>
            <w:gridSpan w:val="8"/>
            <w:tcBorders>
              <w:top w:val="single" w:sz="6" w:space="0" w:color="000000"/>
              <w:start w:val="single" w:sz="6" w:space="0" w:color="000000"/>
              <w:end w:val="single" w:sz="6" w:space="0" w:color="000000"/>
            </w:tcBorders>
            <w:shd w:fill="FFFFFF" w:val="clear"/>
          </w:tcPr>
          <w:p>
            <w:pPr>
              <w:pStyle w:val="Normal"/>
              <w:suppressAutoHyphens w:val="true"/>
              <w:spacing w:lineRule="auto" w:line="214"/>
              <w:rPr>
                <w:b/>
                <w:spacing w:val="-2"/>
                <w:sz w:val="20"/>
              </w:rPr>
            </w:pPr>
            <w:r>
              <w:rPr>
                <w:b/>
                <w:spacing w:val="-2"/>
                <w:sz w:val="20"/>
              </w:rPr>
              <w:t>ENVIRONMENT</w:t>
            </w:r>
          </w:p>
        </w:tc>
      </w:tr>
      <w:tr>
        <w:trPr/>
        <w:tc>
          <w:tcPr>
            <w:tcW w:w="516"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1</w:t>
            </w:r>
          </w:p>
        </w:tc>
        <w:tc>
          <w:tcPr>
            <w:tcW w:w="306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Preliminary Environmental License nº 041/1998</w:t>
            </w:r>
          </w:p>
          <w:p>
            <w:pPr>
              <w:pStyle w:val="Heading1"/>
              <w:tabs>
                <w:tab w:val="clear" w:pos="0"/>
                <w:tab w:val="clear" w:pos="360"/>
                <w:tab w:val="clear" w:pos="923"/>
                <w:tab w:val="clear" w:pos="1248"/>
                <w:tab w:val="left" w:pos="-1080" w:leader="none"/>
                <w:tab w:val="left" w:pos="-360" w:leader="none"/>
              </w:tabs>
              <w:ind w:hanging="0" w:start="0"/>
              <w:rPr/>
            </w:pPr>
            <w:r>
              <w:rPr/>
              <w:t>Licença Prévia</w:t>
            </w:r>
          </w:p>
        </w:tc>
        <w:tc>
          <w:tcPr>
            <w:tcW w:w="171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IBAMA w/ FEMA input</w:t>
            </w:r>
          </w:p>
        </w:tc>
        <w:tc>
          <w:tcPr>
            <w:tcW w:w="2133"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Obtained Sep. 30, 1998.</w:t>
            </w:r>
          </w:p>
        </w:tc>
        <w:tc>
          <w:tcPr>
            <w:tcW w:w="180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Gas Ocidente</w:t>
            </w:r>
          </w:p>
          <w:p>
            <w:pPr>
              <w:pStyle w:val="Normal"/>
              <w:suppressAutoHyphens w:val="true"/>
              <w:spacing w:lineRule="auto" w:line="214"/>
              <w:jc w:val="start"/>
              <w:rPr>
                <w:spacing w:val="-2"/>
                <w:sz w:val="20"/>
              </w:rPr>
            </w:pPr>
            <w:r>
              <w:rPr>
                <w:spacing w:val="-2"/>
                <w:sz w:val="20"/>
              </w:rPr>
            </w:r>
          </w:p>
        </w:tc>
        <w:tc>
          <w:tcPr>
            <w:tcW w:w="99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30 Oct 99</w:t>
            </w:r>
          </w:p>
        </w:tc>
        <w:tc>
          <w:tcPr>
            <w:tcW w:w="2919"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w:t>
            </w:r>
          </w:p>
        </w:tc>
        <w:tc>
          <w:tcPr>
            <w:tcW w:w="1170" w:type="dxa"/>
            <w:tcBorders>
              <w:top w:val="single" w:sz="6" w:space="0" w:color="000000"/>
              <w:start w:val="single" w:sz="6" w:space="0" w:color="000000"/>
              <w:bottom w:val="single" w:sz="6" w:space="0" w:color="000000"/>
              <w:end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r>
      <w:tr>
        <w:trPr/>
        <w:tc>
          <w:tcPr>
            <w:tcW w:w="516"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2</w:t>
            </w:r>
          </w:p>
          <w:p>
            <w:pPr>
              <w:pStyle w:val="Normal"/>
              <w:suppressAutoHyphens w:val="true"/>
              <w:spacing w:lineRule="auto" w:line="214"/>
              <w:jc w:val="start"/>
              <w:rPr>
                <w:spacing w:val="-2"/>
                <w:sz w:val="20"/>
              </w:rPr>
            </w:pPr>
            <w:r>
              <w:rPr>
                <w:spacing w:val="-2"/>
                <w:sz w:val="20"/>
              </w:rPr>
            </w:r>
          </w:p>
        </w:tc>
        <w:tc>
          <w:tcPr>
            <w:tcW w:w="306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Deforestation Permit 484/99</w:t>
            </w:r>
          </w:p>
          <w:p>
            <w:pPr>
              <w:pStyle w:val="Heading1"/>
              <w:tabs>
                <w:tab w:val="clear" w:pos="0"/>
                <w:tab w:val="clear" w:pos="360"/>
                <w:tab w:val="clear" w:pos="923"/>
                <w:tab w:val="clear" w:pos="1248"/>
                <w:tab w:val="left" w:pos="-1080" w:leader="none"/>
                <w:tab w:val="left" w:pos="-360" w:leader="none"/>
              </w:tabs>
              <w:ind w:hanging="0" w:start="0"/>
              <w:rPr/>
            </w:pPr>
            <w:r>
              <w:rPr/>
              <w:t>Licença de Desmatamento</w:t>
            </w:r>
          </w:p>
        </w:tc>
        <w:tc>
          <w:tcPr>
            <w:tcW w:w="171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 xml:space="preserve">IBAMA </w:t>
            </w:r>
          </w:p>
        </w:tc>
        <w:tc>
          <w:tcPr>
            <w:tcW w:w="2133"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 xml:space="preserve">Partially obtained on March 24, 1999. </w:t>
            </w:r>
          </w:p>
        </w:tc>
        <w:tc>
          <w:tcPr>
            <w:tcW w:w="180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Gas Ocidente</w:t>
            </w:r>
          </w:p>
          <w:p>
            <w:pPr>
              <w:pStyle w:val="Normal"/>
              <w:suppressAutoHyphens w:val="true"/>
              <w:spacing w:lineRule="auto" w:line="214"/>
              <w:jc w:val="start"/>
              <w:rPr>
                <w:spacing w:val="-2"/>
                <w:sz w:val="20"/>
              </w:rPr>
            </w:pPr>
            <w:r>
              <w:rPr>
                <w:spacing w:val="-2"/>
                <w:sz w:val="20"/>
              </w:rPr>
            </w:r>
          </w:p>
        </w:tc>
        <w:tc>
          <w:tcPr>
            <w:tcW w:w="990" w:type="dxa"/>
            <w:tcBorders>
              <w:top w:val="single" w:sz="6" w:space="0" w:color="000000"/>
              <w:start w:val="single" w:sz="6" w:space="0" w:color="000000"/>
            </w:tcBorders>
            <w:shd w:fill="FFFFFF" w:val="clear"/>
          </w:tcPr>
          <w:p>
            <w:pPr>
              <w:pStyle w:val="BodyText3"/>
              <w:tabs>
                <w:tab w:val="clear" w:pos="0"/>
                <w:tab w:val="clear" w:pos="360"/>
                <w:tab w:val="clear" w:pos="923"/>
                <w:tab w:val="clear" w:pos="1248"/>
                <w:tab w:val="clear" w:pos="3882"/>
                <w:tab w:val="left" w:pos="-1080" w:leader="none"/>
                <w:tab w:val="left" w:pos="-360" w:leader="none"/>
              </w:tabs>
              <w:jc w:val="start"/>
              <w:rPr>
                <w:color w:val="auto"/>
              </w:rPr>
            </w:pPr>
            <w:r>
              <w:rPr>
                <w:color w:val="auto"/>
              </w:rPr>
              <w:t>24 Mar 00</w:t>
            </w:r>
          </w:p>
        </w:tc>
        <w:tc>
          <w:tcPr>
            <w:tcW w:w="2919" w:type="dxa"/>
            <w:tcBorders>
              <w:top w:val="single" w:sz="6" w:space="0" w:color="000000"/>
              <w:start w:val="single" w:sz="6" w:space="0" w:color="000000"/>
            </w:tcBorders>
            <w:shd w:fill="FFFFFF" w:val="clear"/>
          </w:tcPr>
          <w:p>
            <w:pPr>
              <w:pStyle w:val="BodyText3"/>
              <w:tabs>
                <w:tab w:val="clear" w:pos="0"/>
                <w:tab w:val="clear" w:pos="360"/>
                <w:tab w:val="clear" w:pos="923"/>
                <w:tab w:val="clear" w:pos="1248"/>
                <w:tab w:val="clear" w:pos="3882"/>
                <w:tab w:val="left" w:pos="-1080" w:leader="none"/>
                <w:tab w:val="left" w:pos="-360" w:leader="none"/>
              </w:tabs>
              <w:jc w:val="start"/>
              <w:rPr>
                <w:color w:val="0000FF"/>
              </w:rPr>
            </w:pPr>
            <w:r>
              <w:rPr>
                <w:color w:val="0000FF"/>
              </w:rPr>
              <w:t>-</w:t>
            </w:r>
          </w:p>
        </w:tc>
        <w:tc>
          <w:tcPr>
            <w:tcW w:w="1170" w:type="dxa"/>
            <w:tcBorders>
              <w:top w:val="single" w:sz="6" w:space="0" w:color="000000"/>
              <w:start w:val="single" w:sz="6" w:space="0" w:color="000000"/>
              <w:bottom w:val="single" w:sz="6" w:space="0" w:color="000000"/>
              <w:end w:val="single" w:sz="6" w:space="0" w:color="000000"/>
            </w:tcBorders>
            <w:shd w:fill="FFFFFF" w:val="clear"/>
          </w:tcPr>
          <w:p>
            <w:pPr>
              <w:pStyle w:val="BodyText3"/>
              <w:tabs>
                <w:tab w:val="clear" w:pos="0"/>
                <w:tab w:val="clear" w:pos="360"/>
                <w:tab w:val="clear" w:pos="923"/>
                <w:tab w:val="clear" w:pos="1248"/>
                <w:tab w:val="clear" w:pos="3882"/>
                <w:tab w:val="left" w:pos="-1080" w:leader="none"/>
                <w:tab w:val="left" w:pos="-360" w:leader="none"/>
              </w:tabs>
              <w:snapToGrid w:val="false"/>
              <w:jc w:val="start"/>
              <w:rPr>
                <w:color w:val="0000FF"/>
              </w:rPr>
            </w:pPr>
            <w:r>
              <w:rPr>
                <w:color w:val="0000FF"/>
              </w:rPr>
            </w:r>
          </w:p>
        </w:tc>
      </w:tr>
      <w:tr>
        <w:trPr/>
        <w:tc>
          <w:tcPr>
            <w:tcW w:w="516" w:type="dxa"/>
            <w:tcBorders>
              <w:top w:val="single" w:sz="6" w:space="0" w:color="000000"/>
              <w:start w:val="single" w:sz="6" w:space="0" w:color="000000"/>
            </w:tcBorders>
            <w:shd w:fill="FFFFFF" w:val="clear"/>
          </w:tcPr>
          <w:p>
            <w:pPr>
              <w:pStyle w:val="Normal"/>
              <w:suppressAutoHyphens w:val="true"/>
              <w:snapToGrid w:val="false"/>
              <w:spacing w:lineRule="auto" w:line="214"/>
              <w:jc w:val="start"/>
              <w:rPr>
                <w:color w:val="0000FF"/>
                <w:spacing w:val="-2"/>
                <w:sz w:val="20"/>
              </w:rPr>
            </w:pPr>
            <w:r>
              <w:rPr>
                <w:color w:val="0000FF"/>
                <w:spacing w:val="-2"/>
                <w:sz w:val="20"/>
              </w:rPr>
            </w:r>
          </w:p>
        </w:tc>
        <w:tc>
          <w:tcPr>
            <w:tcW w:w="306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Deforestation Permit 484/99</w:t>
            </w:r>
          </w:p>
          <w:p>
            <w:pPr>
              <w:pStyle w:val="Heading1"/>
              <w:tabs>
                <w:tab w:val="clear" w:pos="0"/>
                <w:tab w:val="clear" w:pos="360"/>
                <w:tab w:val="clear" w:pos="923"/>
                <w:tab w:val="clear" w:pos="1248"/>
                <w:tab w:val="left" w:pos="-1080" w:leader="none"/>
                <w:tab w:val="left" w:pos="-360" w:leader="none"/>
              </w:tabs>
              <w:ind w:hanging="0" w:start="0"/>
              <w:rPr/>
            </w:pPr>
            <w:r>
              <w:rPr/>
              <w:t>Licença de Desmatamento (Revised)</w:t>
            </w:r>
          </w:p>
        </w:tc>
        <w:tc>
          <w:tcPr>
            <w:tcW w:w="171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 xml:space="preserve">IBAMA </w:t>
            </w:r>
          </w:p>
        </w:tc>
        <w:tc>
          <w:tcPr>
            <w:tcW w:w="2133"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Remaining 18% obtained on May 26, 1999.</w:t>
            </w:r>
          </w:p>
        </w:tc>
        <w:tc>
          <w:tcPr>
            <w:tcW w:w="180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Gas Ocidente</w:t>
            </w:r>
          </w:p>
          <w:p>
            <w:pPr>
              <w:pStyle w:val="Normal"/>
              <w:suppressAutoHyphens w:val="true"/>
              <w:spacing w:lineRule="auto" w:line="214"/>
              <w:jc w:val="start"/>
              <w:rPr>
                <w:spacing w:val="-2"/>
                <w:sz w:val="20"/>
              </w:rPr>
            </w:pPr>
            <w:r>
              <w:rPr>
                <w:spacing w:val="-2"/>
                <w:sz w:val="20"/>
              </w:rPr>
            </w:r>
          </w:p>
        </w:tc>
        <w:tc>
          <w:tcPr>
            <w:tcW w:w="99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26 May 00</w:t>
            </w:r>
          </w:p>
        </w:tc>
        <w:tc>
          <w:tcPr>
            <w:tcW w:w="2919"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w:t>
            </w:r>
          </w:p>
        </w:tc>
        <w:tc>
          <w:tcPr>
            <w:tcW w:w="1170" w:type="dxa"/>
            <w:tcBorders>
              <w:top w:val="single" w:sz="6" w:space="0" w:color="000000"/>
              <w:start w:val="single" w:sz="6" w:space="0" w:color="000000"/>
              <w:bottom w:val="single" w:sz="6" w:space="0" w:color="000000"/>
              <w:end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r>
      <w:tr>
        <w:trPr/>
        <w:tc>
          <w:tcPr>
            <w:tcW w:w="516"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3</w:t>
            </w:r>
          </w:p>
        </w:tc>
        <w:tc>
          <w:tcPr>
            <w:tcW w:w="306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Deforestation Permit 07/99</w:t>
            </w:r>
          </w:p>
          <w:p>
            <w:pPr>
              <w:pStyle w:val="Heading1"/>
              <w:tabs>
                <w:tab w:val="clear" w:pos="0"/>
                <w:tab w:val="clear" w:pos="360"/>
                <w:tab w:val="clear" w:pos="923"/>
                <w:tab w:val="clear" w:pos="1248"/>
                <w:tab w:val="left" w:pos="-1080" w:leader="none"/>
                <w:tab w:val="left" w:pos="-360" w:leader="none"/>
              </w:tabs>
              <w:ind w:hanging="0" w:start="0"/>
              <w:rPr/>
            </w:pPr>
            <w:r>
              <w:rPr/>
              <w:t>Licença de Desmatamento</w:t>
            </w:r>
          </w:p>
        </w:tc>
        <w:tc>
          <w:tcPr>
            <w:tcW w:w="171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 xml:space="preserve">IBAMA </w:t>
            </w:r>
          </w:p>
        </w:tc>
        <w:tc>
          <w:tcPr>
            <w:tcW w:w="2133"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Obtained on July 30, 1999</w:t>
            </w:r>
          </w:p>
        </w:tc>
        <w:tc>
          <w:tcPr>
            <w:tcW w:w="180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Gas Ocidente</w:t>
            </w:r>
          </w:p>
          <w:p>
            <w:pPr>
              <w:pStyle w:val="Normal"/>
              <w:suppressAutoHyphens w:val="true"/>
              <w:spacing w:lineRule="auto" w:line="214"/>
              <w:jc w:val="start"/>
              <w:rPr>
                <w:spacing w:val="-2"/>
                <w:sz w:val="20"/>
              </w:rPr>
            </w:pPr>
            <w:r>
              <w:rPr>
                <w:spacing w:val="-2"/>
                <w:sz w:val="20"/>
              </w:rPr>
            </w:r>
          </w:p>
        </w:tc>
        <w:tc>
          <w:tcPr>
            <w:tcW w:w="990" w:type="dxa"/>
            <w:tcBorders>
              <w:top w:val="single" w:sz="6" w:space="0" w:color="000000"/>
              <w:start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c>
          <w:tcPr>
            <w:tcW w:w="2919" w:type="dxa"/>
            <w:tcBorders>
              <w:top w:val="single" w:sz="6" w:space="0" w:color="000000"/>
              <w:start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c>
          <w:tcPr>
            <w:tcW w:w="1170" w:type="dxa"/>
            <w:tcBorders>
              <w:top w:val="single" w:sz="6" w:space="0" w:color="000000"/>
              <w:start w:val="single" w:sz="6" w:space="0" w:color="000000"/>
              <w:bottom w:val="single" w:sz="6" w:space="0" w:color="000000"/>
              <w:end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r>
      <w:tr>
        <w:trPr/>
        <w:tc>
          <w:tcPr>
            <w:tcW w:w="516"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4</w:t>
            </w:r>
          </w:p>
        </w:tc>
        <w:tc>
          <w:tcPr>
            <w:tcW w:w="306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Deforestation Permit 11/99</w:t>
            </w:r>
          </w:p>
          <w:p>
            <w:pPr>
              <w:pStyle w:val="Normal"/>
              <w:suppressAutoHyphens w:val="true"/>
              <w:spacing w:lineRule="auto" w:line="214"/>
              <w:jc w:val="start"/>
              <w:rPr>
                <w:b/>
                <w:spacing w:val="-2"/>
                <w:sz w:val="20"/>
              </w:rPr>
            </w:pPr>
            <w:r>
              <w:rPr>
                <w:b/>
                <w:spacing w:val="-2"/>
                <w:sz w:val="20"/>
              </w:rPr>
              <w:t>Licença de Desmatamento</w:t>
            </w:r>
          </w:p>
          <w:p>
            <w:pPr>
              <w:pStyle w:val="Normal"/>
              <w:suppressAutoHyphens w:val="true"/>
              <w:spacing w:lineRule="auto" w:line="214"/>
              <w:jc w:val="start"/>
              <w:rPr>
                <w:spacing w:val="-2"/>
                <w:sz w:val="20"/>
              </w:rPr>
            </w:pPr>
            <w:r>
              <w:rPr>
                <w:b/>
                <w:spacing w:val="-2"/>
                <w:sz w:val="20"/>
              </w:rPr>
              <w:t>(Revised)</w:t>
            </w:r>
          </w:p>
        </w:tc>
        <w:tc>
          <w:tcPr>
            <w:tcW w:w="171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 xml:space="preserve">IBAMA </w:t>
            </w:r>
          </w:p>
        </w:tc>
        <w:tc>
          <w:tcPr>
            <w:tcW w:w="2133"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Obtained on July 30, 1999; revised to address lenders concern about the wording in the license.</w:t>
            </w:r>
          </w:p>
        </w:tc>
        <w:tc>
          <w:tcPr>
            <w:tcW w:w="180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Gas Ocidente</w:t>
            </w:r>
          </w:p>
          <w:p>
            <w:pPr>
              <w:pStyle w:val="Normal"/>
              <w:suppressAutoHyphens w:val="true"/>
              <w:spacing w:lineRule="auto" w:line="214"/>
              <w:jc w:val="start"/>
              <w:rPr>
                <w:spacing w:val="-2"/>
                <w:sz w:val="20"/>
              </w:rPr>
            </w:pPr>
            <w:r>
              <w:rPr>
                <w:spacing w:val="-2"/>
                <w:sz w:val="20"/>
              </w:rPr>
            </w:r>
          </w:p>
        </w:tc>
        <w:tc>
          <w:tcPr>
            <w:tcW w:w="990" w:type="dxa"/>
            <w:tcBorders>
              <w:top w:val="single" w:sz="6" w:space="0" w:color="000000"/>
              <w:start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c>
          <w:tcPr>
            <w:tcW w:w="2919" w:type="dxa"/>
            <w:tcBorders>
              <w:top w:val="single" w:sz="6" w:space="0" w:color="000000"/>
              <w:start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c>
          <w:tcPr>
            <w:tcW w:w="1170" w:type="dxa"/>
            <w:tcBorders>
              <w:top w:val="single" w:sz="6" w:space="0" w:color="000000"/>
              <w:start w:val="single" w:sz="6" w:space="0" w:color="000000"/>
              <w:bottom w:val="single" w:sz="6" w:space="0" w:color="000000"/>
              <w:end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r>
      <w:tr>
        <w:trPr/>
        <w:tc>
          <w:tcPr>
            <w:tcW w:w="516"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5</w:t>
            </w:r>
          </w:p>
        </w:tc>
        <w:tc>
          <w:tcPr>
            <w:tcW w:w="306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Deforestation Permit 01.044/00</w:t>
            </w:r>
          </w:p>
          <w:p>
            <w:pPr>
              <w:pStyle w:val="Normal"/>
              <w:suppressAutoHyphens w:val="true"/>
              <w:spacing w:lineRule="auto" w:line="214"/>
              <w:jc w:val="start"/>
              <w:rPr>
                <w:b/>
                <w:spacing w:val="-2"/>
                <w:sz w:val="20"/>
              </w:rPr>
            </w:pPr>
            <w:r>
              <w:rPr>
                <w:b/>
                <w:spacing w:val="-2"/>
                <w:sz w:val="20"/>
              </w:rPr>
              <w:t>Licença de Desmatamento</w:t>
            </w:r>
          </w:p>
          <w:p>
            <w:pPr>
              <w:pStyle w:val="Normal"/>
              <w:suppressAutoHyphens w:val="true"/>
              <w:spacing w:lineRule="auto" w:line="214"/>
              <w:jc w:val="start"/>
              <w:rPr>
                <w:spacing w:val="-2"/>
                <w:sz w:val="20"/>
              </w:rPr>
            </w:pPr>
            <w:r>
              <w:rPr>
                <w:b/>
                <w:spacing w:val="-2"/>
                <w:sz w:val="20"/>
              </w:rPr>
              <w:t>(Revised)</w:t>
            </w:r>
          </w:p>
        </w:tc>
        <w:tc>
          <w:tcPr>
            <w:tcW w:w="171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IBAMA</w:t>
            </w:r>
          </w:p>
        </w:tc>
        <w:tc>
          <w:tcPr>
            <w:tcW w:w="2133"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Obtained on Feb 02/00</w:t>
            </w:r>
          </w:p>
        </w:tc>
        <w:tc>
          <w:tcPr>
            <w:tcW w:w="180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Gas Ocidente</w:t>
            </w:r>
          </w:p>
        </w:tc>
        <w:tc>
          <w:tcPr>
            <w:tcW w:w="99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w:t>
            </w:r>
          </w:p>
        </w:tc>
        <w:tc>
          <w:tcPr>
            <w:tcW w:w="2919" w:type="dxa"/>
            <w:tcBorders>
              <w:top w:val="single" w:sz="6" w:space="0" w:color="000000"/>
              <w:start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c>
          <w:tcPr>
            <w:tcW w:w="1170" w:type="dxa"/>
            <w:tcBorders>
              <w:top w:val="single" w:sz="6" w:space="0" w:color="000000"/>
              <w:start w:val="single" w:sz="6" w:space="0" w:color="000000"/>
              <w:bottom w:val="single" w:sz="6" w:space="0" w:color="000000"/>
              <w:end w:val="single" w:sz="6" w:space="0" w:color="000000"/>
            </w:tcBorders>
            <w:shd w:fill="FFFFFF" w:val="clear"/>
          </w:tcPr>
          <w:p>
            <w:pPr>
              <w:pStyle w:val="Normal"/>
              <w:suppressAutoHyphens w:val="true"/>
              <w:snapToGrid w:val="false"/>
              <w:spacing w:lineRule="auto" w:line="214"/>
              <w:jc w:val="start"/>
              <w:rPr>
                <w:spacing w:val="-2"/>
                <w:sz w:val="20"/>
              </w:rPr>
            </w:pPr>
            <w:r>
              <w:rPr>
                <w:spacing w:val="-2"/>
                <w:sz w:val="20"/>
              </w:rPr>
            </w:r>
          </w:p>
        </w:tc>
      </w:tr>
      <w:tr>
        <w:trPr/>
        <w:tc>
          <w:tcPr>
            <w:tcW w:w="516"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6</w:t>
            </w:r>
          </w:p>
        </w:tc>
        <w:tc>
          <w:tcPr>
            <w:tcW w:w="306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Environmental Installation License nº 61/99</w:t>
            </w:r>
          </w:p>
          <w:p>
            <w:pPr>
              <w:pStyle w:val="Heading1"/>
              <w:tabs>
                <w:tab w:val="clear" w:pos="0"/>
                <w:tab w:val="clear" w:pos="360"/>
                <w:tab w:val="clear" w:pos="923"/>
                <w:tab w:val="clear" w:pos="1248"/>
                <w:tab w:val="left" w:pos="-1080" w:leader="none"/>
                <w:tab w:val="left" w:pos="-360" w:leader="none"/>
              </w:tabs>
              <w:ind w:hanging="0" w:start="0"/>
              <w:rPr/>
            </w:pPr>
            <w:r>
              <w:rPr/>
              <w:t>Licença de Instalação</w:t>
            </w:r>
          </w:p>
        </w:tc>
        <w:tc>
          <w:tcPr>
            <w:tcW w:w="171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IBAMA w/ FEMA, FUNAI and IPHAN inputs</w:t>
            </w:r>
          </w:p>
        </w:tc>
        <w:tc>
          <w:tcPr>
            <w:tcW w:w="2133"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Obtained on February 12, 1999.</w:t>
            </w:r>
          </w:p>
          <w:p>
            <w:pPr>
              <w:pStyle w:val="Normal"/>
              <w:suppressAutoHyphens w:val="true"/>
              <w:spacing w:lineRule="auto" w:line="214"/>
              <w:jc w:val="start"/>
              <w:rPr>
                <w:spacing w:val="-2"/>
                <w:sz w:val="20"/>
              </w:rPr>
            </w:pPr>
            <w:r>
              <w:rPr>
                <w:spacing w:val="-2"/>
                <w:sz w:val="20"/>
              </w:rPr>
            </w:r>
          </w:p>
          <w:p>
            <w:pPr>
              <w:pStyle w:val="Normal"/>
              <w:suppressAutoHyphens w:val="true"/>
              <w:spacing w:lineRule="auto" w:line="214"/>
              <w:jc w:val="start"/>
              <w:rPr>
                <w:spacing w:val="-2"/>
                <w:sz w:val="20"/>
              </w:rPr>
            </w:pPr>
            <w:r>
              <w:rPr>
                <w:spacing w:val="-2"/>
                <w:sz w:val="20"/>
              </w:rPr>
              <w:t>Revised on July 30, 1999 to address the lenders concern about the wording in the license.</w:t>
            </w:r>
          </w:p>
          <w:p>
            <w:pPr>
              <w:pStyle w:val="Normal"/>
              <w:suppressAutoHyphens w:val="true"/>
              <w:spacing w:lineRule="auto" w:line="214"/>
              <w:jc w:val="start"/>
              <w:rPr>
                <w:spacing w:val="-2"/>
                <w:sz w:val="20"/>
              </w:rPr>
            </w:pPr>
            <w:r>
              <w:rPr>
                <w:spacing w:val="-2"/>
                <w:sz w:val="20"/>
              </w:rPr>
            </w:r>
          </w:p>
          <w:p>
            <w:pPr>
              <w:pStyle w:val="Normal"/>
              <w:suppressAutoHyphens w:val="true"/>
              <w:spacing w:lineRule="auto" w:line="214"/>
              <w:jc w:val="start"/>
              <w:rPr>
                <w:spacing w:val="-2"/>
                <w:sz w:val="20"/>
              </w:rPr>
            </w:pPr>
            <w:r>
              <w:rPr>
                <w:spacing w:val="-2"/>
                <w:sz w:val="20"/>
              </w:rPr>
              <w:t>Renewed 20 Apr 00.</w:t>
            </w:r>
          </w:p>
        </w:tc>
        <w:tc>
          <w:tcPr>
            <w:tcW w:w="180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Gas Ocidente</w:t>
            </w:r>
          </w:p>
          <w:p>
            <w:pPr>
              <w:pStyle w:val="Normal"/>
              <w:suppressAutoHyphens w:val="true"/>
              <w:spacing w:lineRule="auto" w:line="214"/>
              <w:jc w:val="start"/>
              <w:rPr>
                <w:spacing w:val="-2"/>
                <w:sz w:val="20"/>
              </w:rPr>
            </w:pPr>
            <w:r>
              <w:rPr>
                <w:spacing w:val="-2"/>
                <w:sz w:val="20"/>
              </w:rPr>
            </w:r>
          </w:p>
        </w:tc>
        <w:tc>
          <w:tcPr>
            <w:tcW w:w="990" w:type="dxa"/>
            <w:tcBorders>
              <w:top w:val="single" w:sz="6" w:space="0" w:color="000000"/>
              <w:start w:val="single" w:sz="6" w:space="0" w:color="000000"/>
            </w:tcBorders>
            <w:shd w:fill="FFFFFF" w:val="clear"/>
          </w:tcPr>
          <w:p>
            <w:pPr>
              <w:pStyle w:val="Normal"/>
              <w:suppressAutoHyphens w:val="true"/>
              <w:spacing w:lineRule="auto" w:line="214"/>
              <w:jc w:val="start"/>
              <w:rPr>
                <w:spacing w:val="-2"/>
                <w:sz w:val="20"/>
              </w:rPr>
            </w:pPr>
            <w:r>
              <w:rPr>
                <w:spacing w:val="-2"/>
                <w:sz w:val="20"/>
              </w:rPr>
              <w:t xml:space="preserve">12 Fev 00                     </w:t>
            </w:r>
          </w:p>
          <w:p>
            <w:pPr>
              <w:pStyle w:val="Normal"/>
              <w:suppressAutoHyphens w:val="true"/>
              <w:spacing w:lineRule="auto" w:line="214"/>
              <w:jc w:val="start"/>
              <w:rPr>
                <w:spacing w:val="-2"/>
                <w:sz w:val="20"/>
              </w:rPr>
            </w:pPr>
            <w:r>
              <w:rPr>
                <w:spacing w:val="-2"/>
                <w:sz w:val="20"/>
              </w:rPr>
              <w:t xml:space="preserve">              </w:t>
            </w:r>
          </w:p>
          <w:p>
            <w:pPr>
              <w:pStyle w:val="Normal"/>
              <w:suppressAutoHyphens w:val="true"/>
              <w:spacing w:lineRule="auto" w:line="214"/>
              <w:jc w:val="start"/>
              <w:rPr>
                <w:spacing w:val="-2"/>
                <w:sz w:val="20"/>
              </w:rPr>
            </w:pPr>
            <w:r>
              <w:rPr>
                <w:spacing w:val="-2"/>
                <w:sz w:val="20"/>
              </w:rPr>
              <w:t xml:space="preserve">                                                                        </w:t>
            </w:r>
            <w:r>
              <w:rPr>
                <w:spacing w:val="-2"/>
                <w:sz w:val="20"/>
              </w:rPr>
              <w:t xml:space="preserve">20 Apr 01 </w:t>
            </w:r>
          </w:p>
        </w:tc>
        <w:tc>
          <w:tcPr>
            <w:tcW w:w="2919" w:type="dxa"/>
            <w:tcBorders>
              <w:top w:val="single" w:sz="6" w:space="0" w:color="000000"/>
              <w:start w:val="single" w:sz="6" w:space="0" w:color="000000"/>
            </w:tcBorders>
            <w:shd w:fill="FFFFFF" w:val="clear"/>
          </w:tcPr>
          <w:p>
            <w:pPr>
              <w:pStyle w:val="TOAHeading"/>
              <w:tabs>
                <w:tab w:val="clear" w:pos="9000"/>
                <w:tab w:val="clear" w:pos="9360"/>
              </w:tabs>
              <w:spacing w:lineRule="auto" w:line="214"/>
              <w:rPr>
                <w:rFonts w:ascii="Times New Roman" w:hAnsi="Times New Roman" w:cs="Times New Roman"/>
                <w:spacing w:val="-2"/>
              </w:rPr>
            </w:pPr>
            <w:r>
              <w:rPr>
                <w:rFonts w:cs="Times New Roman" w:ascii="Times New Roman" w:hAnsi="Times New Roman"/>
                <w:spacing w:val="-2"/>
              </w:rPr>
              <w:t>Applied for on 11/01/00</w:t>
            </w:r>
          </w:p>
        </w:tc>
        <w:tc>
          <w:tcPr>
            <w:tcW w:w="1170" w:type="dxa"/>
            <w:tcBorders>
              <w:top w:val="single" w:sz="6" w:space="0" w:color="000000"/>
              <w:start w:val="single" w:sz="6" w:space="0" w:color="000000"/>
              <w:bottom w:val="single" w:sz="6" w:space="0" w:color="000000"/>
              <w:end w:val="single" w:sz="6" w:space="0" w:color="000000"/>
            </w:tcBorders>
            <w:shd w:fill="FFFFFF" w:val="clear"/>
          </w:tcPr>
          <w:p>
            <w:pPr>
              <w:pStyle w:val="Normal"/>
              <w:suppressAutoHyphens w:val="true"/>
              <w:snapToGrid w:val="false"/>
              <w:spacing w:lineRule="auto" w:line="214"/>
              <w:jc w:val="start"/>
              <w:rPr>
                <w:rFonts w:ascii="Times New Roman" w:hAnsi="Times New Roman" w:cs="Times New Roman"/>
                <w:spacing w:val="-2"/>
                <w:sz w:val="20"/>
              </w:rPr>
            </w:pPr>
            <w:r>
              <w:rPr>
                <w:rFonts w:cs="Times New Roman"/>
                <w:spacing w:val="-2"/>
                <w:sz w:val="20"/>
              </w:rPr>
            </w:r>
          </w:p>
        </w:tc>
      </w:tr>
      <w:tr>
        <w:trPr/>
        <w:tc>
          <w:tcPr>
            <w:tcW w:w="516"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7</w:t>
            </w:r>
          </w:p>
        </w:tc>
        <w:tc>
          <w:tcPr>
            <w:tcW w:w="306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Operation License</w:t>
            </w:r>
          </w:p>
          <w:p>
            <w:pPr>
              <w:pStyle w:val="Heading1"/>
              <w:tabs>
                <w:tab w:val="clear" w:pos="0"/>
                <w:tab w:val="clear" w:pos="360"/>
                <w:tab w:val="clear" w:pos="923"/>
                <w:tab w:val="clear" w:pos="1248"/>
                <w:tab w:val="left" w:pos="-1080" w:leader="none"/>
                <w:tab w:val="left" w:pos="-360" w:leader="none"/>
              </w:tabs>
              <w:ind w:hanging="0" w:start="0"/>
              <w:rPr/>
            </w:pPr>
            <w:r>
              <w:rPr/>
              <w:t>Licença de Operação</w:t>
            </w:r>
          </w:p>
        </w:tc>
        <w:tc>
          <w:tcPr>
            <w:tcW w:w="171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IBAMA</w:t>
            </w:r>
          </w:p>
        </w:tc>
        <w:tc>
          <w:tcPr>
            <w:tcW w:w="2133"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Pending. To be obtained by December 30, 99. Will be applied for on 1/8/00. Need to submit emergency plan, operations plan, maintenance plan, etc. Transredes review of documents completed, except for emergency/contingency plan.</w:t>
            </w:r>
          </w:p>
          <w:p>
            <w:pPr>
              <w:pStyle w:val="Normal"/>
              <w:suppressAutoHyphens w:val="true"/>
              <w:spacing w:lineRule="auto" w:line="214"/>
              <w:jc w:val="start"/>
              <w:rPr>
                <w:spacing w:val="-2"/>
                <w:sz w:val="20"/>
              </w:rPr>
            </w:pPr>
            <w:r>
              <w:rPr>
                <w:spacing w:val="-2"/>
                <w:sz w:val="20"/>
              </w:rPr>
            </w:r>
          </w:p>
        </w:tc>
        <w:tc>
          <w:tcPr>
            <w:tcW w:w="180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Gas Ocidente</w:t>
            </w:r>
          </w:p>
        </w:tc>
        <w:tc>
          <w:tcPr>
            <w:tcW w:w="990" w:type="dxa"/>
            <w:tcBorders>
              <w:top w:val="single" w:sz="6" w:space="0" w:color="000000"/>
              <w:start w:val="single" w:sz="6" w:space="0" w:color="000000"/>
              <w:bottom w:val="single" w:sz="6" w:space="0" w:color="000000"/>
            </w:tcBorders>
          </w:tcPr>
          <w:p>
            <w:pPr>
              <w:pStyle w:val="Normal"/>
              <w:suppressAutoHyphens w:val="true"/>
              <w:snapToGrid w:val="false"/>
              <w:spacing w:lineRule="auto" w:line="214"/>
              <w:jc w:val="start"/>
              <w:rPr>
                <w:spacing w:val="-2"/>
                <w:sz w:val="20"/>
              </w:rPr>
            </w:pPr>
            <w:r>
              <w:rPr>
                <w:spacing w:val="-2"/>
                <w:sz w:val="20"/>
              </w:rPr>
            </w:r>
          </w:p>
        </w:tc>
        <w:tc>
          <w:tcPr>
            <w:tcW w:w="2919" w:type="dxa"/>
            <w:tcBorders>
              <w:top w:val="single" w:sz="6" w:space="0" w:color="000000"/>
              <w:start w:val="single" w:sz="6" w:space="0" w:color="000000"/>
              <w:bottom w:val="single" w:sz="6" w:space="0" w:color="000000"/>
            </w:tcBorders>
          </w:tcPr>
          <w:p>
            <w:pPr>
              <w:pStyle w:val="Normal"/>
              <w:suppressAutoHyphens w:val="true"/>
              <w:snapToGrid w:val="false"/>
              <w:spacing w:lineRule="auto" w:line="214"/>
              <w:jc w:val="start"/>
              <w:rPr>
                <w:spacing w:val="-2"/>
                <w:sz w:val="20"/>
              </w:rPr>
            </w:pPr>
            <w:r>
              <w:rPr>
                <w:spacing w:val="-2"/>
                <w:sz w:val="20"/>
              </w:rPr>
            </w:r>
          </w:p>
        </w:tc>
        <w:tc>
          <w:tcPr>
            <w:tcW w:w="1170" w:type="dxa"/>
            <w:tcBorders>
              <w:top w:val="single" w:sz="6" w:space="0" w:color="000000"/>
              <w:start w:val="single" w:sz="6" w:space="0" w:color="000000"/>
              <w:bottom w:val="single" w:sz="6" w:space="0" w:color="000000"/>
              <w:end w:val="single" w:sz="6" w:space="0" w:color="000000"/>
            </w:tcBorders>
          </w:tcPr>
          <w:p>
            <w:pPr>
              <w:pStyle w:val="TOAHeading"/>
              <w:tabs>
                <w:tab w:val="clear" w:pos="9000"/>
                <w:tab w:val="clear" w:pos="9360"/>
              </w:tabs>
              <w:snapToGrid w:val="false"/>
              <w:spacing w:lineRule="auto" w:line="214"/>
              <w:rPr>
                <w:rFonts w:ascii="Times New Roman" w:hAnsi="Times New Roman" w:cs="Times New Roman"/>
                <w:spacing w:val="-2"/>
                <w:sz w:val="20"/>
              </w:rPr>
            </w:pPr>
            <w:r>
              <w:rPr>
                <w:rFonts w:cs="Times New Roman" w:ascii="Times New Roman" w:hAnsi="Times New Roman"/>
                <w:spacing w:val="-2"/>
                <w:sz w:val="20"/>
              </w:rPr>
            </w:r>
          </w:p>
        </w:tc>
      </w:tr>
      <w:tr>
        <w:trPr/>
        <w:tc>
          <w:tcPr>
            <w:tcW w:w="14298" w:type="dxa"/>
            <w:gridSpan w:val="8"/>
            <w:tcBorders>
              <w:top w:val="single" w:sz="6" w:space="0" w:color="000000"/>
              <w:start w:val="single" w:sz="6" w:space="0" w:color="000000"/>
              <w:bottom w:val="single" w:sz="6" w:space="0" w:color="000000"/>
              <w:end w:val="single" w:sz="6" w:space="0" w:color="000000"/>
            </w:tcBorders>
          </w:tcPr>
          <w:p>
            <w:pPr>
              <w:pStyle w:val="TOAHeading"/>
              <w:tabs>
                <w:tab w:val="clear" w:pos="9000"/>
                <w:tab w:val="clear" w:pos="9360"/>
              </w:tabs>
              <w:spacing w:lineRule="auto" w:line="214"/>
              <w:rPr>
                <w:rFonts w:ascii="Times New Roman" w:hAnsi="Times New Roman" w:cs="Times New Roman"/>
                <w:b/>
                <w:spacing w:val="-2"/>
              </w:rPr>
            </w:pPr>
            <w:r>
              <w:rPr>
                <w:rFonts w:cs="Times New Roman" w:ascii="Times New Roman" w:hAnsi="Times New Roman"/>
                <w:b/>
                <w:spacing w:val="-2"/>
              </w:rPr>
              <w:t>DEVELOPMENTS</w:t>
            </w:r>
          </w:p>
        </w:tc>
      </w:tr>
      <w:tr>
        <w:trPr/>
        <w:tc>
          <w:tcPr>
            <w:tcW w:w="516"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1</w:t>
            </w:r>
          </w:p>
        </w:tc>
        <w:tc>
          <w:tcPr>
            <w:tcW w:w="306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Permit to Cross Federal Rivers and Highways w/ the pipeline</w:t>
            </w:r>
          </w:p>
          <w:p>
            <w:pPr>
              <w:pStyle w:val="Normal"/>
              <w:suppressAutoHyphens w:val="true"/>
              <w:spacing w:lineRule="auto" w:line="214"/>
              <w:jc w:val="start"/>
              <w:rPr>
                <w:spacing w:val="-2"/>
                <w:sz w:val="20"/>
              </w:rPr>
            </w:pPr>
            <w:r>
              <w:rPr>
                <w:b/>
                <w:sz w:val="20"/>
              </w:rPr>
              <w:t>Autorização para o cruzamento de rios e estradas federais com o gasoduto</w:t>
            </w:r>
          </w:p>
        </w:tc>
        <w:tc>
          <w:tcPr>
            <w:tcW w:w="171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MOG w/ SPU coordination</w:t>
            </w:r>
          </w:p>
        </w:tc>
        <w:tc>
          <w:tcPr>
            <w:tcW w:w="2133"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Issued on June 24, 1999.</w:t>
            </w:r>
          </w:p>
        </w:tc>
        <w:tc>
          <w:tcPr>
            <w:tcW w:w="180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Gasocidente</w:t>
            </w:r>
          </w:p>
        </w:tc>
        <w:tc>
          <w:tcPr>
            <w:tcW w:w="990" w:type="dxa"/>
            <w:tcBorders>
              <w:top w:val="single" w:sz="6" w:space="0" w:color="000000"/>
              <w:start w:val="single" w:sz="6" w:space="0" w:color="000000"/>
              <w:bottom w:val="single" w:sz="6" w:space="0" w:color="000000"/>
            </w:tcBorders>
          </w:tcPr>
          <w:p>
            <w:pPr>
              <w:pStyle w:val="Normal"/>
              <w:suppressAutoHyphens w:val="true"/>
              <w:snapToGrid w:val="false"/>
              <w:spacing w:lineRule="auto" w:line="214"/>
              <w:jc w:val="start"/>
              <w:rPr>
                <w:spacing w:val="-2"/>
                <w:sz w:val="20"/>
              </w:rPr>
            </w:pPr>
            <w:r>
              <w:rPr>
                <w:spacing w:val="-2"/>
                <w:sz w:val="20"/>
              </w:rPr>
            </w:r>
          </w:p>
        </w:tc>
        <w:tc>
          <w:tcPr>
            <w:tcW w:w="2919" w:type="dxa"/>
            <w:tcBorders>
              <w:top w:val="single" w:sz="6" w:space="0" w:color="000000"/>
              <w:start w:val="single" w:sz="6" w:space="0" w:color="000000"/>
              <w:bottom w:val="single" w:sz="6" w:space="0" w:color="000000"/>
            </w:tcBorders>
          </w:tcPr>
          <w:p>
            <w:pPr>
              <w:pStyle w:val="Normal"/>
              <w:suppressAutoHyphens w:val="true"/>
              <w:snapToGrid w:val="false"/>
              <w:spacing w:lineRule="auto" w:line="214"/>
              <w:jc w:val="start"/>
              <w:rPr>
                <w:spacing w:val="-2"/>
                <w:sz w:val="20"/>
              </w:rPr>
            </w:pPr>
            <w:r>
              <w:rPr>
                <w:spacing w:val="-2"/>
                <w:sz w:val="20"/>
              </w:rPr>
            </w:r>
          </w:p>
        </w:tc>
        <w:tc>
          <w:tcPr>
            <w:tcW w:w="1170" w:type="dxa"/>
            <w:tcBorders>
              <w:top w:val="single" w:sz="6" w:space="0" w:color="000000"/>
              <w:start w:val="single" w:sz="6" w:space="0" w:color="000000"/>
              <w:bottom w:val="single" w:sz="6" w:space="0" w:color="000000"/>
              <w:end w:val="single" w:sz="6" w:space="0" w:color="000000"/>
            </w:tcBorders>
          </w:tcPr>
          <w:p>
            <w:pPr>
              <w:pStyle w:val="TOAHeading"/>
              <w:tabs>
                <w:tab w:val="clear" w:pos="9000"/>
                <w:tab w:val="clear" w:pos="9360"/>
              </w:tabs>
              <w:snapToGrid w:val="false"/>
              <w:spacing w:lineRule="auto" w:line="214"/>
              <w:rPr>
                <w:rFonts w:ascii="Times New Roman" w:hAnsi="Times New Roman" w:cs="Times New Roman"/>
                <w:spacing w:val="-2"/>
                <w:sz w:val="20"/>
              </w:rPr>
            </w:pPr>
            <w:r>
              <w:rPr>
                <w:rFonts w:cs="Times New Roman" w:ascii="Times New Roman" w:hAnsi="Times New Roman"/>
                <w:spacing w:val="-2"/>
                <w:sz w:val="20"/>
              </w:rPr>
            </w:r>
          </w:p>
        </w:tc>
      </w:tr>
      <w:tr>
        <w:trPr/>
        <w:tc>
          <w:tcPr>
            <w:tcW w:w="516"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2.</w:t>
            </w:r>
          </w:p>
        </w:tc>
        <w:tc>
          <w:tcPr>
            <w:tcW w:w="306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Condemnation</w:t>
            </w:r>
          </w:p>
          <w:p>
            <w:pPr>
              <w:pStyle w:val="Normal"/>
              <w:suppressAutoHyphens w:val="true"/>
              <w:spacing w:lineRule="auto" w:line="214"/>
              <w:jc w:val="start"/>
              <w:rPr>
                <w:b/>
                <w:spacing w:val="-2"/>
                <w:sz w:val="20"/>
              </w:rPr>
            </w:pPr>
            <w:r>
              <w:rPr>
                <w:b/>
                <w:sz w:val="20"/>
              </w:rPr>
              <w:t>Decreto de Utilidade Pública</w:t>
            </w:r>
          </w:p>
          <w:p>
            <w:pPr>
              <w:pStyle w:val="Normal"/>
              <w:suppressAutoHyphens w:val="true"/>
              <w:spacing w:lineRule="auto" w:line="214"/>
              <w:jc w:val="start"/>
              <w:rPr>
                <w:b/>
                <w:spacing w:val="-2"/>
                <w:sz w:val="20"/>
              </w:rPr>
            </w:pPr>
            <w:r>
              <w:rPr>
                <w:b/>
                <w:spacing w:val="-2"/>
                <w:sz w:val="20"/>
              </w:rPr>
            </w:r>
          </w:p>
        </w:tc>
        <w:tc>
          <w:tcPr>
            <w:tcW w:w="171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MME w/ ANP input</w:t>
            </w:r>
          </w:p>
        </w:tc>
        <w:tc>
          <w:tcPr>
            <w:tcW w:w="2133"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Obtained April 8, 1999.</w:t>
            </w:r>
          </w:p>
        </w:tc>
        <w:tc>
          <w:tcPr>
            <w:tcW w:w="180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Gas Ocidente</w:t>
            </w:r>
          </w:p>
        </w:tc>
        <w:tc>
          <w:tcPr>
            <w:tcW w:w="990" w:type="dxa"/>
            <w:tcBorders>
              <w:top w:val="single" w:sz="6" w:space="0" w:color="000000"/>
              <w:start w:val="single" w:sz="6" w:space="0" w:color="000000"/>
              <w:bottom w:val="single" w:sz="6" w:space="0" w:color="000000"/>
            </w:tcBorders>
          </w:tcPr>
          <w:p>
            <w:pPr>
              <w:pStyle w:val="Normal"/>
              <w:suppressAutoHyphens w:val="true"/>
              <w:snapToGrid w:val="false"/>
              <w:spacing w:lineRule="auto" w:line="214"/>
              <w:jc w:val="start"/>
              <w:rPr>
                <w:spacing w:val="-2"/>
                <w:sz w:val="20"/>
              </w:rPr>
            </w:pPr>
            <w:r>
              <w:rPr>
                <w:spacing w:val="-2"/>
                <w:sz w:val="20"/>
              </w:rPr>
            </w:r>
          </w:p>
        </w:tc>
        <w:tc>
          <w:tcPr>
            <w:tcW w:w="2919"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Need to verify if a revision of the decree is necessary due to the reroute.  Anson and Valeria Lima attending; due date 26/2/00.</w:t>
            </w:r>
          </w:p>
        </w:tc>
        <w:tc>
          <w:tcPr>
            <w:tcW w:w="1170" w:type="dxa"/>
            <w:tcBorders>
              <w:top w:val="single" w:sz="6" w:space="0" w:color="000000"/>
              <w:start w:val="single" w:sz="6" w:space="0" w:color="000000"/>
              <w:bottom w:val="single" w:sz="6" w:space="0" w:color="000000"/>
              <w:end w:val="single" w:sz="6" w:space="0" w:color="000000"/>
            </w:tcBorders>
          </w:tcPr>
          <w:p>
            <w:pPr>
              <w:pStyle w:val="TOAHeading"/>
              <w:tabs>
                <w:tab w:val="clear" w:pos="9000"/>
                <w:tab w:val="clear" w:pos="9360"/>
              </w:tabs>
              <w:snapToGrid w:val="false"/>
              <w:spacing w:lineRule="auto" w:line="214"/>
              <w:rPr>
                <w:rFonts w:ascii="Times New Roman" w:hAnsi="Times New Roman" w:cs="Times New Roman"/>
                <w:spacing w:val="-2"/>
                <w:sz w:val="20"/>
              </w:rPr>
            </w:pPr>
            <w:r>
              <w:rPr>
                <w:rFonts w:cs="Times New Roman" w:ascii="Times New Roman" w:hAnsi="Times New Roman"/>
                <w:spacing w:val="-2"/>
                <w:sz w:val="20"/>
              </w:rPr>
            </w:r>
          </w:p>
        </w:tc>
      </w:tr>
      <w:tr>
        <w:trPr/>
        <w:tc>
          <w:tcPr>
            <w:tcW w:w="516"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3.</w:t>
            </w:r>
          </w:p>
        </w:tc>
        <w:tc>
          <w:tcPr>
            <w:tcW w:w="306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Construction Authorization</w:t>
            </w:r>
          </w:p>
          <w:p>
            <w:pPr>
              <w:pStyle w:val="Normal"/>
              <w:suppressAutoHyphens w:val="true"/>
              <w:spacing w:lineRule="auto" w:line="214"/>
              <w:jc w:val="start"/>
              <w:rPr>
                <w:b/>
                <w:spacing w:val="-2"/>
                <w:sz w:val="20"/>
              </w:rPr>
            </w:pPr>
            <w:r>
              <w:rPr>
                <w:b/>
                <w:sz w:val="20"/>
              </w:rPr>
              <w:t>Licença de Construção</w:t>
            </w:r>
          </w:p>
          <w:p>
            <w:pPr>
              <w:pStyle w:val="Normal"/>
              <w:suppressAutoHyphens w:val="true"/>
              <w:spacing w:lineRule="auto" w:line="214"/>
              <w:jc w:val="start"/>
              <w:rPr>
                <w:b/>
                <w:spacing w:val="-2"/>
                <w:sz w:val="20"/>
              </w:rPr>
            </w:pPr>
            <w:r>
              <w:rPr>
                <w:b/>
                <w:spacing w:val="-2"/>
                <w:sz w:val="20"/>
              </w:rPr>
            </w:r>
          </w:p>
        </w:tc>
        <w:tc>
          <w:tcPr>
            <w:tcW w:w="171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ANP</w:t>
            </w:r>
          </w:p>
        </w:tc>
        <w:tc>
          <w:tcPr>
            <w:tcW w:w="2133"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Obtained March 17, 1999.</w:t>
            </w:r>
          </w:p>
        </w:tc>
        <w:tc>
          <w:tcPr>
            <w:tcW w:w="180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Gas Ocidente</w:t>
            </w:r>
          </w:p>
        </w:tc>
        <w:tc>
          <w:tcPr>
            <w:tcW w:w="990" w:type="dxa"/>
            <w:tcBorders>
              <w:top w:val="single" w:sz="6" w:space="0" w:color="000000"/>
              <w:start w:val="single" w:sz="6" w:space="0" w:color="000000"/>
              <w:bottom w:val="single" w:sz="6" w:space="0" w:color="000000"/>
            </w:tcBorders>
          </w:tcPr>
          <w:p>
            <w:pPr>
              <w:pStyle w:val="Normal"/>
              <w:suppressAutoHyphens w:val="true"/>
              <w:snapToGrid w:val="false"/>
              <w:spacing w:lineRule="auto" w:line="214"/>
              <w:jc w:val="start"/>
              <w:rPr>
                <w:spacing w:val="-2"/>
                <w:sz w:val="20"/>
              </w:rPr>
            </w:pPr>
            <w:r>
              <w:rPr>
                <w:spacing w:val="-2"/>
                <w:sz w:val="20"/>
              </w:rPr>
            </w:r>
          </w:p>
        </w:tc>
        <w:tc>
          <w:tcPr>
            <w:tcW w:w="2919"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ANP needs to be updated on construction schedule, reroute, justification for schedule changes, and installation license from IBAMA. Due date 29/2/00. Anson, Eduardo and Ann attending.</w:t>
            </w:r>
          </w:p>
        </w:tc>
        <w:tc>
          <w:tcPr>
            <w:tcW w:w="1170" w:type="dxa"/>
            <w:tcBorders>
              <w:top w:val="single" w:sz="6" w:space="0" w:color="000000"/>
              <w:start w:val="single" w:sz="6" w:space="0" w:color="000000"/>
              <w:bottom w:val="single" w:sz="6" w:space="0" w:color="000000"/>
              <w:end w:val="single" w:sz="6" w:space="0" w:color="000000"/>
            </w:tcBorders>
          </w:tcPr>
          <w:p>
            <w:pPr>
              <w:pStyle w:val="TOAHeading"/>
              <w:tabs>
                <w:tab w:val="clear" w:pos="9000"/>
                <w:tab w:val="clear" w:pos="9360"/>
              </w:tabs>
              <w:snapToGrid w:val="false"/>
              <w:spacing w:lineRule="auto" w:line="214"/>
              <w:rPr>
                <w:rFonts w:ascii="Times New Roman" w:hAnsi="Times New Roman" w:cs="Times New Roman"/>
                <w:spacing w:val="-2"/>
                <w:sz w:val="20"/>
              </w:rPr>
            </w:pPr>
            <w:r>
              <w:rPr>
                <w:rFonts w:cs="Times New Roman" w:ascii="Times New Roman" w:hAnsi="Times New Roman"/>
                <w:spacing w:val="-2"/>
                <w:sz w:val="20"/>
              </w:rPr>
            </w:r>
          </w:p>
        </w:tc>
      </w:tr>
      <w:tr>
        <w:trPr/>
        <w:tc>
          <w:tcPr>
            <w:tcW w:w="516"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4.</w:t>
            </w:r>
          </w:p>
        </w:tc>
        <w:tc>
          <w:tcPr>
            <w:tcW w:w="306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Operation Authorization</w:t>
            </w:r>
          </w:p>
          <w:p>
            <w:pPr>
              <w:pStyle w:val="Normal"/>
              <w:suppressAutoHyphens w:val="true"/>
              <w:spacing w:lineRule="auto" w:line="214"/>
              <w:jc w:val="start"/>
              <w:rPr>
                <w:b/>
                <w:spacing w:val="-2"/>
                <w:sz w:val="20"/>
              </w:rPr>
            </w:pPr>
            <w:r>
              <w:rPr>
                <w:b/>
                <w:sz w:val="20"/>
              </w:rPr>
              <w:t>Licença de Operação</w:t>
            </w:r>
          </w:p>
        </w:tc>
        <w:tc>
          <w:tcPr>
            <w:tcW w:w="171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ANP</w:t>
            </w:r>
          </w:p>
        </w:tc>
        <w:tc>
          <w:tcPr>
            <w:tcW w:w="2133"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Pending.  To be obtained by January 15, 2000.</w:t>
            </w:r>
          </w:p>
        </w:tc>
        <w:tc>
          <w:tcPr>
            <w:tcW w:w="1800"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Gas Ocidente</w:t>
            </w:r>
          </w:p>
        </w:tc>
        <w:tc>
          <w:tcPr>
            <w:tcW w:w="990" w:type="dxa"/>
            <w:tcBorders>
              <w:top w:val="single" w:sz="6" w:space="0" w:color="000000"/>
              <w:start w:val="single" w:sz="6" w:space="0" w:color="000000"/>
              <w:bottom w:val="single" w:sz="6" w:space="0" w:color="000000"/>
            </w:tcBorders>
          </w:tcPr>
          <w:p>
            <w:pPr>
              <w:pStyle w:val="Normal"/>
              <w:suppressAutoHyphens w:val="true"/>
              <w:snapToGrid w:val="false"/>
              <w:spacing w:lineRule="auto" w:line="214"/>
              <w:jc w:val="start"/>
              <w:rPr>
                <w:spacing w:val="-2"/>
                <w:sz w:val="20"/>
              </w:rPr>
            </w:pPr>
            <w:r>
              <w:rPr>
                <w:spacing w:val="-2"/>
                <w:sz w:val="20"/>
              </w:rPr>
            </w:r>
          </w:p>
        </w:tc>
        <w:tc>
          <w:tcPr>
            <w:tcW w:w="2919" w:type="dxa"/>
            <w:tcBorders>
              <w:top w:val="single" w:sz="6" w:space="0" w:color="000000"/>
              <w:start w:val="single" w:sz="6" w:space="0" w:color="000000"/>
              <w:bottom w:val="single" w:sz="6" w:space="0" w:color="000000"/>
            </w:tcBorders>
          </w:tcPr>
          <w:p>
            <w:pPr>
              <w:pStyle w:val="Normal"/>
              <w:suppressAutoHyphens w:val="true"/>
              <w:spacing w:lineRule="auto" w:line="214"/>
              <w:jc w:val="start"/>
              <w:rPr>
                <w:spacing w:val="-2"/>
                <w:sz w:val="20"/>
              </w:rPr>
            </w:pPr>
            <w:r>
              <w:rPr>
                <w:spacing w:val="-2"/>
                <w:sz w:val="20"/>
              </w:rPr>
              <w:t>ANP needs operation license from IBAMA, commissioning certificate from independent company, preferably Brazilian (Parsons/</w:t>
            </w:r>
          </w:p>
          <w:p>
            <w:pPr>
              <w:pStyle w:val="Normal"/>
              <w:suppressAutoHyphens w:val="true"/>
              <w:spacing w:lineRule="auto" w:line="214"/>
              <w:jc w:val="start"/>
              <w:rPr>
                <w:spacing w:val="-2"/>
                <w:sz w:val="20"/>
              </w:rPr>
            </w:pPr>
            <w:r>
              <w:rPr>
                <w:spacing w:val="-2"/>
                <w:sz w:val="20"/>
              </w:rPr>
              <w:t>Main suggested), summary of maintenance program, summary of QA plan for operation of pipeline. Anson and Valeria attending.</w:t>
            </w:r>
          </w:p>
        </w:tc>
        <w:tc>
          <w:tcPr>
            <w:tcW w:w="1170" w:type="dxa"/>
            <w:tcBorders>
              <w:top w:val="single" w:sz="6" w:space="0" w:color="000000"/>
              <w:start w:val="single" w:sz="6" w:space="0" w:color="000000"/>
              <w:bottom w:val="single" w:sz="6" w:space="0" w:color="000000"/>
              <w:end w:val="single" w:sz="6" w:space="0" w:color="000000"/>
            </w:tcBorders>
          </w:tcPr>
          <w:p>
            <w:pPr>
              <w:pStyle w:val="TOAHeading"/>
              <w:tabs>
                <w:tab w:val="clear" w:pos="9000"/>
                <w:tab w:val="clear" w:pos="9360"/>
              </w:tabs>
              <w:snapToGrid w:val="false"/>
              <w:spacing w:lineRule="auto" w:line="214"/>
              <w:rPr>
                <w:rFonts w:ascii="Times New Roman" w:hAnsi="Times New Roman" w:cs="Times New Roman"/>
                <w:spacing w:val="-2"/>
                <w:sz w:val="20"/>
              </w:rPr>
            </w:pPr>
            <w:r>
              <w:rPr>
                <w:rFonts w:cs="Times New Roman" w:ascii="Times New Roman" w:hAnsi="Times New Roman"/>
                <w:spacing w:val="-2"/>
                <w:sz w:val="20"/>
              </w:rPr>
            </w:r>
          </w:p>
        </w:tc>
      </w:tr>
    </w:tbl>
    <w:p>
      <w:pPr>
        <w:pStyle w:val="Normal"/>
        <w:suppressAutoHyphens w:val="true"/>
        <w:spacing w:lineRule="auto" w:line="214"/>
        <w:rPr>
          <w:spacing w:val="-2"/>
        </w:rPr>
      </w:pPr>
      <w:r>
        <w:rPr>
          <w:spacing w:val="-2"/>
        </w:rPr>
      </w:r>
    </w:p>
    <w:p>
      <w:pPr>
        <w:pStyle w:val="Normal"/>
        <w:rPr>
          <w:b/>
          <w:spacing w:val="-2"/>
        </w:rPr>
      </w:pPr>
      <w:r>
        <w:rPr>
          <w:b/>
          <w:spacing w:val="-2"/>
        </w:rPr>
      </w:r>
    </w:p>
    <w:p>
      <w:pPr>
        <w:pStyle w:val="Normal"/>
        <w:rPr>
          <w:b/>
        </w:rPr>
      </w:pPr>
      <w:r>
        <w:rPr>
          <w:b/>
        </w:rPr>
      </w:r>
    </w:p>
    <w:p>
      <w:pPr>
        <w:sectPr>
          <w:headerReference w:type="default" r:id="rId10"/>
          <w:headerReference w:type="first" r:id="rId11"/>
          <w:footerReference w:type="default" r:id="rId12"/>
          <w:footerReference w:type="first" r:id="rId13"/>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rPr>
          <w:u w:val="single"/>
        </w:rPr>
      </w:pPr>
      <w:r>
        <w:rPr>
          <w:u w:val="single"/>
        </w:rPr>
      </w:r>
    </w:p>
    <w:p>
      <w:pPr>
        <w:pStyle w:val="Normal"/>
        <w:numPr>
          <w:ilvl w:val="0"/>
          <w:numId w:val="0"/>
        </w:numPr>
        <w:jc w:val="center"/>
        <w:outlineLvl w:val="0"/>
        <w:rPr>
          <w:b/>
        </w:rPr>
      </w:pPr>
      <w:r>
        <w:rPr>
          <w:b/>
        </w:rPr>
        <w:t>SCHEDULE 5.06(b)</w:t>
      </w:r>
    </w:p>
    <w:p>
      <w:pPr>
        <w:pStyle w:val="Normal"/>
        <w:jc w:val="center"/>
        <w:rPr>
          <w:b/>
        </w:rPr>
      </w:pPr>
      <w:r>
        <w:rPr>
          <w:b/>
        </w:rPr>
      </w:r>
    </w:p>
    <w:p>
      <w:pPr>
        <w:pStyle w:val="Normal"/>
        <w:ind w:hanging="720" w:start="1440" w:end="0"/>
        <w:jc w:val="center"/>
        <w:rPr>
          <w:b/>
        </w:rPr>
      </w:pPr>
      <w:r>
        <w:rPr>
          <w:b/>
        </w:rPr>
        <w:t>AUTHORIZATIONS FOR BUSINESSES UNDER DEVELOPMENT</w:t>
      </w:r>
    </w:p>
    <w:p>
      <w:pPr>
        <w:pStyle w:val="Normal"/>
        <w:ind w:hanging="720" w:start="1440" w:end="0"/>
        <w:rPr/>
      </w:pPr>
      <w:r>
        <w:rPr/>
      </w:r>
    </w:p>
    <w:p>
      <w:pPr>
        <w:pStyle w:val="Normal"/>
        <w:ind w:hanging="720" w:start="1440" w:end="0"/>
        <w:rPr/>
      </w:pPr>
      <w:r>
        <w:rPr/>
        <w:t>II.</w:t>
        <w:tab/>
        <w:t>Written notifications from a Governmental Authority that Authorizations (i) are not in full force and effect, (ii) have been violated, or (iii) are subject to suspension, revocation or cancellation:</w:t>
      </w:r>
    </w:p>
    <w:p>
      <w:pPr>
        <w:pStyle w:val="Normal"/>
        <w:rPr/>
      </w:pPr>
      <w:r>
        <w:rPr/>
      </w:r>
    </w:p>
    <w:p>
      <w:pPr>
        <w:pStyle w:val="Normal"/>
        <w:ind w:start="720" w:end="0"/>
        <w:rPr/>
      </w:pPr>
      <w:r>
        <w:rPr/>
        <w:tab/>
        <w:t xml:space="preserve">None.  </w:t>
      </w:r>
    </w:p>
    <w:p>
      <w:pPr>
        <w:pStyle w:val="Normal"/>
        <w:rPr/>
      </w:pPr>
      <w:r>
        <w:rPr/>
      </w:r>
    </w:p>
    <w:p>
      <w:pPr>
        <w:pStyle w:val="Normal"/>
        <w:ind w:firstLine="720" w:end="0"/>
        <w:rPr/>
      </w:pPr>
      <w:r>
        <w:rPr/>
        <w:t>III.</w:t>
        <w:tab/>
        <w:t>Actions, proceeding or investigations regarding Authorizations:</w:t>
      </w:r>
    </w:p>
    <w:p>
      <w:pPr>
        <w:pStyle w:val="Normal"/>
        <w:rPr/>
      </w:pPr>
      <w:r>
        <w:rPr/>
      </w:r>
    </w:p>
    <w:p>
      <w:pPr>
        <w:pStyle w:val="Normal"/>
        <w:ind w:start="720" w:end="0"/>
        <w:rPr>
          <w:u w:val="single"/>
        </w:rPr>
      </w:pPr>
      <w:r>
        <w:rPr>
          <w:u w:val="single"/>
        </w:rPr>
        <w:t>Summary of the Inquiry initiated by the Brazilian federal attorney general for the State of Mato Grosso due to environmental impact of pipeline construction in the Cáceres ridges region:</w:t>
      </w:r>
    </w:p>
    <w:p>
      <w:pPr>
        <w:pStyle w:val="Normal"/>
        <w:rPr>
          <w:u w:val="single"/>
        </w:rPr>
      </w:pPr>
      <w:r>
        <w:rPr>
          <w:u w:val="single"/>
        </w:rPr>
      </w:r>
    </w:p>
    <w:p>
      <w:pPr>
        <w:pStyle w:val="Normal"/>
        <w:ind w:hanging="720" w:start="2160" w:end="0"/>
        <w:rPr/>
      </w:pPr>
      <w:r>
        <w:rPr/>
        <w:t>1.</w:t>
        <w:tab/>
        <w:t>August 30, 1999 - Federal Attorney for State of Mato Grosso recommended suspension of works in ridges region pending studies on environmental impact particularly regarding carst.</w:t>
      </w:r>
    </w:p>
    <w:p>
      <w:pPr>
        <w:pStyle w:val="Normal"/>
        <w:ind w:start="720" w:end="0"/>
        <w:rPr/>
      </w:pPr>
      <w:r>
        <w:rPr/>
      </w:r>
    </w:p>
    <w:p>
      <w:pPr>
        <w:pStyle w:val="Normal"/>
        <w:ind w:start="720" w:end="0"/>
        <w:rPr/>
      </w:pPr>
      <w:r>
        <w:rPr/>
        <w:tab/>
        <w:t>2.</w:t>
        <w:tab/>
        <w:t>September 30, 1999 - Studies by State Expert concluded.</w:t>
      </w:r>
    </w:p>
    <w:p>
      <w:pPr>
        <w:pStyle w:val="Normal"/>
        <w:ind w:start="720" w:end="0"/>
        <w:rPr/>
      </w:pPr>
      <w:r>
        <w:rPr/>
      </w:r>
    </w:p>
    <w:p>
      <w:pPr>
        <w:pStyle w:val="Normal"/>
        <w:ind w:start="720" w:end="0"/>
        <w:rPr/>
      </w:pPr>
      <w:r>
        <w:rPr/>
        <w:tab/>
        <w:t>3.</w:t>
        <w:tab/>
        <w:t>October 11, 1999 - 30 km reroute recommended by State.</w:t>
      </w:r>
    </w:p>
    <w:p>
      <w:pPr>
        <w:pStyle w:val="Normal"/>
        <w:ind w:start="720" w:end="0"/>
        <w:rPr/>
      </w:pPr>
      <w:r>
        <w:rPr/>
      </w:r>
    </w:p>
    <w:p>
      <w:pPr>
        <w:pStyle w:val="Normal"/>
        <w:ind w:start="720" w:end="0"/>
        <w:rPr/>
      </w:pPr>
      <w:r>
        <w:rPr/>
        <w:tab/>
        <w:t>4.</w:t>
        <w:tab/>
        <w:t>November 5, 1999 - new route accepted.</w:t>
      </w:r>
    </w:p>
    <w:p>
      <w:pPr>
        <w:pStyle w:val="Normal"/>
        <w:ind w:start="720" w:end="0"/>
        <w:rPr/>
      </w:pPr>
      <w:r>
        <w:rPr/>
      </w:r>
    </w:p>
    <w:p>
      <w:pPr>
        <w:pStyle w:val="Normal"/>
        <w:ind w:start="720" w:end="0"/>
        <w:rPr/>
      </w:pPr>
      <w:r>
        <w:rPr/>
        <w:tab/>
        <w:t>5.</w:t>
        <w:tab/>
        <w:t>December 6, 1999 - FEMA approves new route.</w:t>
      </w:r>
    </w:p>
    <w:p>
      <w:pPr>
        <w:pStyle w:val="Normal"/>
        <w:ind w:start="720" w:end="0"/>
        <w:rPr/>
      </w:pPr>
      <w:r>
        <w:rPr/>
      </w:r>
    </w:p>
    <w:p>
      <w:pPr>
        <w:pStyle w:val="Normal"/>
        <w:ind w:start="720" w:end="0"/>
        <w:rPr/>
      </w:pPr>
      <w:r>
        <w:rPr/>
        <w:tab/>
        <w:t>6.</w:t>
        <w:tab/>
        <w:t>February 2, 2000 - IBAMA approves new route.</w:t>
      </w:r>
    </w:p>
    <w:p>
      <w:pPr>
        <w:pStyle w:val="Normal"/>
        <w:ind w:start="720" w:end="0"/>
        <w:rPr/>
      </w:pPr>
      <w:r>
        <w:rPr/>
      </w:r>
    </w:p>
    <w:p>
      <w:pPr>
        <w:pStyle w:val="Normal"/>
        <w:ind w:hanging="720" w:start="2160" w:end="0"/>
        <w:rPr/>
      </w:pPr>
      <w:r>
        <w:rPr/>
        <w:t>7.</w:t>
        <w:tab/>
        <w:t>April 10, 2000 - State presents Terms of Conduct proposal with economic and construction conditions.</w:t>
      </w:r>
    </w:p>
    <w:p>
      <w:pPr>
        <w:pStyle w:val="Normal"/>
        <w:ind w:start="720" w:end="0"/>
        <w:rPr/>
      </w:pPr>
      <w:r>
        <w:rPr/>
      </w:r>
    </w:p>
    <w:p>
      <w:pPr>
        <w:pStyle w:val="Normal"/>
        <w:ind w:start="720" w:end="0"/>
        <w:rPr/>
      </w:pPr>
      <w:r>
        <w:rPr/>
        <w:tab/>
        <w:t>8.</w:t>
        <w:tab/>
        <w:t>April 26, 2000 - GasMat present counterproposal.</w:t>
      </w:r>
    </w:p>
    <w:p>
      <w:pPr>
        <w:pStyle w:val="Normal"/>
        <w:ind w:start="720" w:end="0"/>
        <w:rPr/>
      </w:pPr>
      <w:r>
        <w:rPr/>
      </w:r>
    </w:p>
    <w:p>
      <w:pPr>
        <w:pStyle w:val="Normal"/>
        <w:ind w:hanging="720" w:start="2160" w:end="0"/>
        <w:rPr/>
      </w:pPr>
      <w:r>
        <w:rPr/>
        <w:t>9.</w:t>
        <w:tab/>
        <w:t>May 15, 2000 - GasMat informs State that if recommendation is not lifted will begin work under present licenses.</w:t>
      </w:r>
    </w:p>
    <w:p>
      <w:pPr>
        <w:pStyle w:val="Normal"/>
        <w:ind w:hanging="720" w:start="2160" w:end="0"/>
        <w:rPr/>
      </w:pPr>
      <w:r>
        <w:rPr/>
      </w:r>
    </w:p>
    <w:p>
      <w:pPr>
        <w:pStyle w:val="Normal"/>
        <w:ind w:hanging="720" w:start="2160" w:end="0"/>
        <w:rPr/>
      </w:pPr>
      <w:r>
        <w:rPr/>
        <w:t>10.</w:t>
        <w:tab/>
        <w:t>May 25, 2000 - State lifts suspension recommendation with specific construction and monitoring conditions.</w:t>
      </w:r>
    </w:p>
    <w:p>
      <w:pPr>
        <w:pStyle w:val="Normal"/>
        <w:ind w:hanging="720" w:start="1440" w:end="0"/>
        <w:rPr/>
      </w:pPr>
      <w:r>
        <w:rPr/>
      </w:r>
    </w:p>
    <w:p>
      <w:pPr>
        <w:pStyle w:val="Normal"/>
        <w:ind w:start="1440" w:end="0"/>
        <w:rPr/>
      </w:pPr>
      <w:r>
        <w:rPr/>
        <w:t>GasMat is still awaiting the State’s response to counterproposal of Terms of Conduct.  This delay is normal, as the terms are only economic and not construction related, and these terms can be finally determined and accepted even after the construction is finished because they refer to compensation for environmental impact.</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776"/>
          <w:pgNumType w:fmt="decimal"/>
          <w:formProt w:val="false"/>
          <w:textDirection w:val="lrTb"/>
          <w:docGrid w:type="default" w:linePitch="360" w:charSpace="0"/>
        </w:sectPr>
        <w:pStyle w:val="Normal"/>
        <w:rPr>
          <w:u w:val="single"/>
        </w:rPr>
      </w:pPr>
      <w:r>
        <w:rPr>
          <w:u w:val="single"/>
        </w:rPr>
      </w:r>
    </w:p>
    <w:p>
      <w:pPr>
        <w:pStyle w:val="Normal"/>
        <w:numPr>
          <w:ilvl w:val="0"/>
          <w:numId w:val="0"/>
        </w:numPr>
        <w:jc w:val="center"/>
        <w:outlineLvl w:val="0"/>
        <w:rPr>
          <w:b/>
        </w:rPr>
      </w:pPr>
      <w:r>
        <w:rPr>
          <w:b/>
        </w:rPr>
        <w:t>SCHEDULE 5.08</w:t>
      </w:r>
    </w:p>
    <w:p>
      <w:pPr>
        <w:pStyle w:val="Normal"/>
        <w:jc w:val="center"/>
        <w:rPr>
          <w:b/>
        </w:rPr>
      </w:pPr>
      <w:r>
        <w:rPr>
          <w:b/>
        </w:rPr>
      </w:r>
    </w:p>
    <w:p>
      <w:pPr>
        <w:pStyle w:val="Normal"/>
        <w:numPr>
          <w:ilvl w:val="0"/>
          <w:numId w:val="0"/>
        </w:numPr>
        <w:jc w:val="center"/>
        <w:outlineLvl w:val="0"/>
        <w:rPr>
          <w:b/>
        </w:rPr>
      </w:pPr>
      <w:r>
        <w:rPr>
          <w:b/>
        </w:rPr>
        <w:t>INSURANCE</w:t>
      </w:r>
    </w:p>
    <w:p>
      <w:pPr>
        <w:pStyle w:val="Normal"/>
        <w:rPr>
          <w:u w:val="single"/>
        </w:rPr>
      </w:pPr>
      <w:r>
        <w:rPr>
          <w:u w:val="single"/>
        </w:rPr>
      </w:r>
    </w:p>
    <w:p>
      <w:pPr>
        <w:pStyle w:val="Normal"/>
        <w:rPr/>
      </w:pPr>
      <w:r>
        <w:rPr/>
        <w:tab/>
        <w:t>This Schedule sets forth a list, including the name of the underwriter, the risks insured, coverage and related limits and deductibles, expiration dates and significant riders, of the principal insurance policies currently maintained by the Transfer Company or by the Parent Company Group:</w:t>
      </w:r>
    </w:p>
    <w:p>
      <w:pPr>
        <w:pStyle w:val="Normal"/>
        <w:rPr>
          <w:u w:val="single"/>
        </w:rPr>
      </w:pPr>
      <w:r>
        <w:rPr>
          <w:u w:val="single"/>
        </w:rPr>
      </w:r>
    </w:p>
    <w:tbl>
      <w:tblPr>
        <w:tblW w:w="13380" w:type="dxa"/>
        <w:jc w:val="center"/>
        <w:tblInd w:w="0" w:type="dxa"/>
        <w:tblLayout w:type="fixed"/>
        <w:tblCellMar>
          <w:top w:w="0" w:type="dxa"/>
          <w:start w:w="100" w:type="dxa"/>
          <w:bottom w:w="0" w:type="dxa"/>
          <w:end w:w="100" w:type="dxa"/>
        </w:tblCellMar>
      </w:tblPr>
      <w:tblGrid>
        <w:gridCol w:w="3478"/>
        <w:gridCol w:w="1560"/>
        <w:gridCol w:w="1560"/>
        <w:gridCol w:w="1560"/>
        <w:gridCol w:w="1110"/>
        <w:gridCol w:w="1772"/>
        <w:gridCol w:w="990"/>
        <w:gridCol w:w="1350"/>
      </w:tblGrid>
      <w:tr>
        <w:trPr>
          <w:tblHeader w:val="true"/>
          <w:trHeight w:val="403" w:hRule="atLeast"/>
        </w:trPr>
        <w:tc>
          <w:tcPr>
            <w:tcW w:w="13380" w:type="dxa"/>
            <w:gridSpan w:val="8"/>
            <w:tcBorders>
              <w:top w:val="single" w:sz="6" w:space="0" w:color="000000"/>
              <w:start w:val="single" w:sz="6" w:space="0" w:color="000000"/>
              <w:end w:val="single" w:sz="6" w:space="0" w:color="000000"/>
            </w:tcBorders>
          </w:tcPr>
          <w:p>
            <w:pPr>
              <w:pStyle w:val="Normal"/>
              <w:jc w:val="center"/>
              <w:rPr>
                <w:b/>
                <w:sz w:val="16"/>
              </w:rPr>
            </w:pPr>
            <w:r>
              <w:rPr>
                <w:b/>
                <w:sz w:val="16"/>
              </w:rPr>
              <w:t>CUIABA PIPELINE PROJECT</w:t>
            </w:r>
          </w:p>
          <w:p>
            <w:pPr>
              <w:pStyle w:val="Normal"/>
              <w:jc w:val="center"/>
              <w:rPr>
                <w:b/>
                <w:sz w:val="16"/>
              </w:rPr>
            </w:pPr>
            <w:r>
              <w:rPr>
                <w:b/>
                <w:sz w:val="16"/>
              </w:rPr>
              <w:t>Gasocidente Do Mato Grosso Ltda. - Brazilian Section</w:t>
            </w:r>
          </w:p>
          <w:p>
            <w:pPr>
              <w:pStyle w:val="Normal"/>
              <w:jc w:val="center"/>
              <w:rPr>
                <w:b/>
                <w:sz w:val="16"/>
              </w:rPr>
            </w:pPr>
            <w:r>
              <w:rPr>
                <w:b/>
                <w:sz w:val="16"/>
              </w:rPr>
              <w:t>Construction Phase Insurances</w:t>
            </w:r>
          </w:p>
          <w:p>
            <w:pPr>
              <w:pStyle w:val="Normal"/>
              <w:jc w:val="center"/>
              <w:rPr>
                <w:b/>
                <w:sz w:val="16"/>
                <w:u w:val="single"/>
              </w:rPr>
            </w:pPr>
            <w:r>
              <w:rPr>
                <w:b/>
                <w:sz w:val="16"/>
              </w:rPr>
              <w:t>Policy Summary</w:t>
            </w:r>
          </w:p>
        </w:tc>
      </w:tr>
      <w:tr>
        <w:trPr>
          <w:tblHeader w:val="true"/>
          <w:trHeight w:val="403" w:hRule="atLeast"/>
        </w:trPr>
        <w:tc>
          <w:tcPr>
            <w:tcW w:w="3478"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Underwriter</w:t>
            </w:r>
          </w:p>
        </w:tc>
        <w:tc>
          <w:tcPr>
            <w:tcW w:w="156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Risks</w:t>
            </w:r>
          </w:p>
        </w:tc>
        <w:tc>
          <w:tcPr>
            <w:tcW w:w="1560" w:type="dxa"/>
            <w:tcBorders>
              <w:top w:val="single" w:sz="6" w:space="0" w:color="000000"/>
              <w:start w:val="single" w:sz="6" w:space="0" w:color="000000"/>
            </w:tcBorders>
          </w:tcPr>
          <w:p>
            <w:pPr>
              <w:pStyle w:val="Normal"/>
              <w:jc w:val="center"/>
              <w:rPr>
                <w:b/>
                <w:sz w:val="16"/>
                <w:u w:val="single"/>
              </w:rPr>
            </w:pPr>
            <w:r>
              <w:rPr>
                <w:b/>
                <w:sz w:val="16"/>
                <w:u w:val="single"/>
              </w:rPr>
              <w:t>Insured</w:t>
            </w:r>
          </w:p>
          <w:p>
            <w:pPr>
              <w:pStyle w:val="Normal"/>
              <w:jc w:val="center"/>
              <w:rPr>
                <w:b/>
                <w:sz w:val="16"/>
                <w:u w:val="single"/>
              </w:rPr>
            </w:pPr>
            <w:r>
              <w:rPr>
                <w:b/>
                <w:sz w:val="16"/>
                <w:u w:val="single"/>
              </w:rPr>
              <w:t>Parties</w:t>
            </w:r>
          </w:p>
        </w:tc>
        <w:tc>
          <w:tcPr>
            <w:tcW w:w="156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Coverage</w:t>
            </w:r>
          </w:p>
        </w:tc>
        <w:tc>
          <w:tcPr>
            <w:tcW w:w="111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 xml:space="preserve">Limits </w:t>
            </w:r>
          </w:p>
        </w:tc>
        <w:tc>
          <w:tcPr>
            <w:tcW w:w="1772"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b/>
                <w:sz w:val="16"/>
                <w:u w:val="single"/>
              </w:rPr>
            </w:pPr>
            <w:r>
              <w:rPr>
                <w:b/>
                <w:sz w:val="16"/>
                <w:u w:val="single"/>
              </w:rPr>
              <w:t>Deductibles</w:t>
            </w:r>
          </w:p>
        </w:tc>
        <w:tc>
          <w:tcPr>
            <w:tcW w:w="990" w:type="dxa"/>
            <w:tcBorders>
              <w:top w:val="single" w:sz="6" w:space="0" w:color="000000"/>
              <w:start w:val="single" w:sz="6" w:space="0" w:color="000000"/>
            </w:tcBorders>
          </w:tcPr>
          <w:p>
            <w:pPr>
              <w:pStyle w:val="Normal"/>
              <w:jc w:val="center"/>
              <w:rPr>
                <w:sz w:val="16"/>
              </w:rPr>
            </w:pPr>
            <w:r>
              <w:rPr>
                <w:b/>
                <w:sz w:val="16"/>
                <w:u w:val="single"/>
              </w:rPr>
              <w:t>Expiration Dates</w:t>
            </w:r>
          </w:p>
        </w:tc>
        <w:tc>
          <w:tcPr>
            <w:tcW w:w="1350" w:type="dxa"/>
            <w:tcBorders>
              <w:top w:val="single" w:sz="6" w:space="0" w:color="000000"/>
              <w:start w:val="single" w:sz="6" w:space="0" w:color="000000"/>
              <w:end w:val="single" w:sz="6" w:space="0" w:color="000000"/>
            </w:tcBorders>
          </w:tcPr>
          <w:p>
            <w:pPr>
              <w:pStyle w:val="Normal"/>
              <w:jc w:val="center"/>
              <w:rPr>
                <w:sz w:val="16"/>
              </w:rPr>
            </w:pPr>
            <w:r>
              <w:rPr>
                <w:b/>
                <w:sz w:val="16"/>
                <w:u w:val="single"/>
              </w:rPr>
              <w:t>Significant Riders</w:t>
            </w:r>
          </w:p>
        </w:tc>
      </w:tr>
      <w:tr>
        <w:trPr>
          <w:trHeight w:val="403" w:hRule="atLeast"/>
        </w:trPr>
        <w:tc>
          <w:tcPr>
            <w:tcW w:w="3478" w:type="dxa"/>
            <w:tcBorders>
              <w:top w:val="single" w:sz="6" w:space="0" w:color="000000"/>
              <w:start w:val="single" w:sz="6" w:space="0" w:color="000000"/>
            </w:tcBorders>
          </w:tcPr>
          <w:p>
            <w:pPr>
              <w:pStyle w:val="Normal"/>
              <w:jc w:val="start"/>
              <w:rPr>
                <w:sz w:val="16"/>
              </w:rPr>
            </w:pPr>
            <w:r>
              <w:rPr>
                <w:sz w:val="16"/>
              </w:rPr>
              <w:t>Local:  La Boliviana Ciacruz 100%; Reinsurers:  19.5578% ERC Frankona Reinsurance Ltd.; 15.6463% Sampo Industrial Ins. N.V.; 11.7347% Royal &amp; Sun Alliance; 7.8231% QBE Intl Insur. Ltd.; 15.6463% Chubb Insur. Co. of Europe; 11.7347% Gerling-Konzem Alleg.Versich.; 17.8571% Factory Mutual Ins. Co.</w:t>
            </w:r>
          </w:p>
        </w:tc>
        <w:tc>
          <w:tcPr>
            <w:tcW w:w="1560" w:type="dxa"/>
            <w:tcBorders>
              <w:top w:val="single" w:sz="6" w:space="0" w:color="000000"/>
              <w:start w:val="single" w:sz="6" w:space="0" w:color="000000"/>
            </w:tcBorders>
          </w:tcPr>
          <w:p>
            <w:pPr>
              <w:pStyle w:val="Normal"/>
              <w:jc w:val="start"/>
              <w:rPr>
                <w:sz w:val="16"/>
              </w:rPr>
            </w:pPr>
            <w:r>
              <w:rPr>
                <w:sz w:val="16"/>
              </w:rPr>
              <w:t>Builder’s All Risk MS-S 838R</w:t>
            </w:r>
          </w:p>
        </w:tc>
        <w:tc>
          <w:tcPr>
            <w:tcW w:w="1560" w:type="dxa"/>
            <w:tcBorders>
              <w:top w:val="single" w:sz="6" w:space="0" w:color="000000"/>
              <w:start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tcBorders>
          </w:tcPr>
          <w:p>
            <w:pPr>
              <w:pStyle w:val="Normal"/>
              <w:jc w:val="start"/>
              <w:rPr>
                <w:sz w:val="16"/>
              </w:rPr>
            </w:pPr>
            <w:r>
              <w:rPr>
                <w:sz w:val="16"/>
              </w:rPr>
              <w:t>All risks on a replacement cost basis</w:t>
            </w:r>
          </w:p>
        </w:tc>
        <w:tc>
          <w:tcPr>
            <w:tcW w:w="1110" w:type="dxa"/>
            <w:tcBorders>
              <w:top w:val="single" w:sz="6" w:space="0" w:color="000000"/>
              <w:start w:val="single" w:sz="6" w:space="0" w:color="000000"/>
            </w:tcBorders>
          </w:tcPr>
          <w:p>
            <w:pPr>
              <w:pStyle w:val="Normal"/>
              <w:jc w:val="start"/>
              <w:rPr>
                <w:sz w:val="16"/>
              </w:rPr>
            </w:pPr>
            <w:r>
              <w:rPr>
                <w:sz w:val="16"/>
              </w:rPr>
              <w:t>$66,412,000</w:t>
            </w:r>
          </w:p>
        </w:tc>
        <w:tc>
          <w:tcPr>
            <w:tcW w:w="1772" w:type="dxa"/>
            <w:tcBorders>
              <w:top w:val="single" w:sz="6" w:space="0" w:color="000000"/>
              <w:start w:val="single" w:sz="6" w:space="0" w:color="000000"/>
            </w:tcBorders>
          </w:tcPr>
          <w:p>
            <w:pPr>
              <w:pStyle w:val="Normal"/>
              <w:jc w:val="start"/>
              <w:rPr>
                <w:sz w:val="16"/>
              </w:rPr>
            </w:pPr>
            <w:r>
              <w:rPr>
                <w:sz w:val="16"/>
              </w:rPr>
              <w:t>$150,000 major perils, testing &amp; commission, startup, design $100,000 river crossings/</w:t>
            </w:r>
          </w:p>
          <w:p>
            <w:pPr>
              <w:pStyle w:val="Normal"/>
              <w:jc w:val="start"/>
              <w:rPr>
                <w:sz w:val="16"/>
              </w:rPr>
            </w:pPr>
            <w:r>
              <w:rPr>
                <w:sz w:val="16"/>
              </w:rPr>
              <w:t xml:space="preserve">flood areas </w:t>
            </w:r>
          </w:p>
          <w:p>
            <w:pPr>
              <w:pStyle w:val="Normal"/>
              <w:jc w:val="start"/>
              <w:rPr>
                <w:sz w:val="16"/>
              </w:rPr>
            </w:pPr>
            <w:r>
              <w:rPr>
                <w:sz w:val="16"/>
              </w:rPr>
              <w:t>$25,000 all others</w:t>
            </w:r>
          </w:p>
        </w:tc>
        <w:tc>
          <w:tcPr>
            <w:tcW w:w="990" w:type="dxa"/>
            <w:tcBorders>
              <w:top w:val="single" w:sz="6" w:space="0" w:color="000000"/>
              <w:start w:val="single" w:sz="6" w:space="0" w:color="000000"/>
            </w:tcBorders>
          </w:tcPr>
          <w:p>
            <w:pPr>
              <w:pStyle w:val="Normal"/>
              <w:jc w:val="start"/>
              <w:rPr>
                <w:sz w:val="16"/>
              </w:rPr>
            </w:pPr>
            <w:r>
              <w:rPr>
                <w:sz w:val="16"/>
              </w:rPr>
              <w:t>From  07/15/99 to 03/15/00</w:t>
            </w:r>
          </w:p>
        </w:tc>
        <w:tc>
          <w:tcPr>
            <w:tcW w:w="135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3478" w:type="dxa"/>
            <w:tcBorders>
              <w:top w:val="single" w:sz="6" w:space="0" w:color="000000"/>
              <w:start w:val="single" w:sz="6" w:space="0" w:color="000000"/>
            </w:tcBorders>
          </w:tcPr>
          <w:p>
            <w:pPr>
              <w:pStyle w:val="Normal"/>
              <w:jc w:val="start"/>
              <w:rPr>
                <w:sz w:val="16"/>
              </w:rPr>
            </w:pPr>
            <w:r>
              <w:rPr>
                <w:sz w:val="16"/>
              </w:rPr>
              <w:t>As above</w:t>
            </w:r>
          </w:p>
        </w:tc>
        <w:tc>
          <w:tcPr>
            <w:tcW w:w="1560" w:type="dxa"/>
            <w:tcBorders>
              <w:top w:val="single" w:sz="6" w:space="0" w:color="000000"/>
              <w:start w:val="single" w:sz="6" w:space="0" w:color="000000"/>
            </w:tcBorders>
          </w:tcPr>
          <w:p>
            <w:pPr>
              <w:pStyle w:val="Normal"/>
              <w:jc w:val="start"/>
              <w:rPr>
                <w:sz w:val="16"/>
              </w:rPr>
            </w:pPr>
            <w:r>
              <w:rPr>
                <w:sz w:val="16"/>
              </w:rPr>
              <w:t xml:space="preserve">Delay in Start-Up (Builder’s All Risk) </w:t>
            </w:r>
          </w:p>
          <w:p>
            <w:pPr>
              <w:pStyle w:val="Normal"/>
              <w:jc w:val="start"/>
              <w:rPr>
                <w:sz w:val="16"/>
              </w:rPr>
            </w:pPr>
            <w:r>
              <w:rPr>
                <w:sz w:val="16"/>
              </w:rPr>
              <w:t>MS-S 838R</w:t>
            </w:r>
          </w:p>
        </w:tc>
        <w:tc>
          <w:tcPr>
            <w:tcW w:w="1560" w:type="dxa"/>
            <w:tcBorders>
              <w:top w:val="single" w:sz="6" w:space="0" w:color="000000"/>
              <w:start w:val="single" w:sz="6" w:space="0" w:color="000000"/>
            </w:tcBorders>
          </w:tcPr>
          <w:p>
            <w:pPr>
              <w:pStyle w:val="Normal"/>
              <w:jc w:val="start"/>
              <w:rPr>
                <w:sz w:val="16"/>
              </w:rPr>
            </w:pPr>
            <w:r>
              <w:rPr>
                <w:sz w:val="16"/>
              </w:rPr>
              <w:t>Owner, Lenders</w:t>
            </w:r>
          </w:p>
        </w:tc>
        <w:tc>
          <w:tcPr>
            <w:tcW w:w="1560" w:type="dxa"/>
            <w:tcBorders>
              <w:top w:val="single" w:sz="6" w:space="0" w:color="000000"/>
              <w:start w:val="single" w:sz="6" w:space="0" w:color="000000"/>
            </w:tcBorders>
          </w:tcPr>
          <w:p>
            <w:pPr>
              <w:pStyle w:val="Normal"/>
              <w:jc w:val="start"/>
              <w:rPr>
                <w:sz w:val="16"/>
              </w:rPr>
            </w:pPr>
            <w:r>
              <w:rPr>
                <w:sz w:val="16"/>
              </w:rPr>
              <w:t>6 months of continuing expense/</w:t>
            </w:r>
          </w:p>
          <w:p>
            <w:pPr>
              <w:pStyle w:val="Normal"/>
              <w:jc w:val="start"/>
              <w:rPr>
                <w:sz w:val="16"/>
              </w:rPr>
            </w:pPr>
            <w:r>
              <w:rPr>
                <w:sz w:val="16"/>
              </w:rPr>
              <w:t>standby costs</w:t>
            </w:r>
          </w:p>
        </w:tc>
        <w:tc>
          <w:tcPr>
            <w:tcW w:w="1110" w:type="dxa"/>
            <w:tcBorders>
              <w:top w:val="single" w:sz="6" w:space="0" w:color="000000"/>
              <w:start w:val="single" w:sz="6" w:space="0" w:color="000000"/>
            </w:tcBorders>
          </w:tcPr>
          <w:p>
            <w:pPr>
              <w:pStyle w:val="Normal"/>
              <w:jc w:val="start"/>
              <w:rPr>
                <w:sz w:val="16"/>
              </w:rPr>
            </w:pPr>
            <w:r>
              <w:rPr>
                <w:sz w:val="16"/>
              </w:rPr>
              <w:t>$3,528,000</w:t>
            </w:r>
          </w:p>
        </w:tc>
        <w:tc>
          <w:tcPr>
            <w:tcW w:w="1772" w:type="dxa"/>
            <w:tcBorders>
              <w:top w:val="single" w:sz="6" w:space="0" w:color="000000"/>
              <w:start w:val="single" w:sz="6" w:space="0" w:color="000000"/>
            </w:tcBorders>
          </w:tcPr>
          <w:p>
            <w:pPr>
              <w:pStyle w:val="Normal"/>
              <w:jc w:val="start"/>
              <w:rPr>
                <w:sz w:val="16"/>
              </w:rPr>
            </w:pPr>
            <w:r>
              <w:rPr>
                <w:sz w:val="16"/>
              </w:rPr>
              <w:t>30 days</w:t>
            </w:r>
          </w:p>
        </w:tc>
        <w:tc>
          <w:tcPr>
            <w:tcW w:w="990" w:type="dxa"/>
            <w:tcBorders>
              <w:top w:val="single" w:sz="6" w:space="0" w:color="000000"/>
              <w:start w:val="single" w:sz="6" w:space="0" w:color="000000"/>
            </w:tcBorders>
          </w:tcPr>
          <w:p>
            <w:pPr>
              <w:pStyle w:val="Normal"/>
              <w:jc w:val="start"/>
              <w:rPr>
                <w:sz w:val="16"/>
              </w:rPr>
            </w:pPr>
            <w:r>
              <w:rPr>
                <w:sz w:val="16"/>
              </w:rPr>
              <w:t>From 07/15/99 to 03/15/00</w:t>
            </w:r>
          </w:p>
        </w:tc>
        <w:tc>
          <w:tcPr>
            <w:tcW w:w="135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3478" w:type="dxa"/>
            <w:tcBorders>
              <w:top w:val="single" w:sz="6" w:space="0" w:color="000000"/>
              <w:start w:val="single" w:sz="6" w:space="0" w:color="000000"/>
            </w:tcBorders>
          </w:tcPr>
          <w:p>
            <w:pPr>
              <w:pStyle w:val="Normal"/>
              <w:jc w:val="start"/>
              <w:rPr>
                <w:sz w:val="16"/>
              </w:rPr>
            </w:pPr>
            <w:r>
              <w:rPr>
                <w:sz w:val="16"/>
              </w:rPr>
              <w:t>Local:  INA Seguradora S.A. 100%;Reinsurer: CIGNA Intl/ACE USA - 100% of 50% order</w:t>
            </w:r>
          </w:p>
        </w:tc>
        <w:tc>
          <w:tcPr>
            <w:tcW w:w="1560" w:type="dxa"/>
            <w:tcBorders>
              <w:top w:val="single" w:sz="6" w:space="0" w:color="000000"/>
              <w:start w:val="single" w:sz="6" w:space="0" w:color="000000"/>
            </w:tcBorders>
          </w:tcPr>
          <w:p>
            <w:pPr>
              <w:pStyle w:val="Normal"/>
              <w:jc w:val="start"/>
              <w:rPr>
                <w:sz w:val="16"/>
              </w:rPr>
            </w:pPr>
            <w:r>
              <w:rPr>
                <w:sz w:val="16"/>
              </w:rPr>
              <w:t>Admitted Gen. Liab. incl. Empl. Liab. &amp; Hired/Non-Owned Auto</w:t>
            </w:r>
          </w:p>
          <w:p>
            <w:pPr>
              <w:pStyle w:val="Normal"/>
              <w:jc w:val="start"/>
              <w:rPr>
                <w:sz w:val="16"/>
              </w:rPr>
            </w:pPr>
            <w:r>
              <w:rPr>
                <w:sz w:val="16"/>
              </w:rPr>
              <w:t>MS-S 835R</w:t>
            </w:r>
          </w:p>
        </w:tc>
        <w:tc>
          <w:tcPr>
            <w:tcW w:w="1560" w:type="dxa"/>
            <w:tcBorders>
              <w:top w:val="single" w:sz="6" w:space="0" w:color="000000"/>
              <w:start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tcBorders>
          </w:tcPr>
          <w:p>
            <w:pPr>
              <w:pStyle w:val="Normal"/>
              <w:jc w:val="start"/>
              <w:rPr>
                <w:sz w:val="16"/>
              </w:rPr>
            </w:pPr>
            <w:r>
              <w:rPr>
                <w:sz w:val="16"/>
              </w:rPr>
              <w:t xml:space="preserve">Protection against liability to third parties during construction </w:t>
            </w:r>
          </w:p>
        </w:tc>
        <w:tc>
          <w:tcPr>
            <w:tcW w:w="1110" w:type="dxa"/>
            <w:tcBorders>
              <w:top w:val="single" w:sz="6" w:space="0" w:color="000000"/>
              <w:start w:val="single" w:sz="6" w:space="0" w:color="000000"/>
            </w:tcBorders>
          </w:tcPr>
          <w:p>
            <w:pPr>
              <w:pStyle w:val="Normal"/>
              <w:jc w:val="start"/>
              <w:rPr>
                <w:sz w:val="16"/>
              </w:rPr>
            </w:pPr>
            <w:r>
              <w:rPr>
                <w:sz w:val="16"/>
              </w:rPr>
              <w:t>$25,000,000 each and every loss and in the aggregate</w:t>
            </w:r>
          </w:p>
        </w:tc>
        <w:tc>
          <w:tcPr>
            <w:tcW w:w="1772" w:type="dxa"/>
            <w:tcBorders>
              <w:top w:val="single" w:sz="6" w:space="0" w:color="000000"/>
              <w:start w:val="single" w:sz="6" w:space="0" w:color="000000"/>
            </w:tcBorders>
          </w:tcPr>
          <w:p>
            <w:pPr>
              <w:pStyle w:val="Normal"/>
              <w:jc w:val="start"/>
              <w:rPr>
                <w:sz w:val="16"/>
              </w:rPr>
            </w:pPr>
            <w:r>
              <w:rPr>
                <w:sz w:val="16"/>
              </w:rPr>
              <w:t>$1,000 per occurrence</w:t>
            </w:r>
          </w:p>
        </w:tc>
        <w:tc>
          <w:tcPr>
            <w:tcW w:w="990" w:type="dxa"/>
            <w:tcBorders>
              <w:top w:val="single" w:sz="6" w:space="0" w:color="000000"/>
              <w:start w:val="single" w:sz="6" w:space="0" w:color="000000"/>
            </w:tcBorders>
          </w:tcPr>
          <w:p>
            <w:pPr>
              <w:pStyle w:val="Normal"/>
              <w:jc w:val="start"/>
              <w:rPr>
                <w:sz w:val="16"/>
              </w:rPr>
            </w:pPr>
            <w:r>
              <w:rPr>
                <w:sz w:val="16"/>
              </w:rPr>
              <w:t>From 10/16/99 to 03/15/00</w:t>
            </w:r>
          </w:p>
        </w:tc>
        <w:tc>
          <w:tcPr>
            <w:tcW w:w="135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3478" w:type="dxa"/>
            <w:tcBorders>
              <w:top w:val="single" w:sz="4" w:space="0" w:color="000000"/>
              <w:start w:val="single" w:sz="6" w:space="0" w:color="000000"/>
            </w:tcBorders>
          </w:tcPr>
          <w:p>
            <w:pPr>
              <w:pStyle w:val="Normal"/>
              <w:jc w:val="start"/>
              <w:rPr>
                <w:sz w:val="16"/>
              </w:rPr>
            </w:pPr>
            <w:r>
              <w:rPr>
                <w:sz w:val="16"/>
              </w:rPr>
              <w:t>Local:  AGF Brasil Seguros - 100%; Reinsurer:  AEGIS - 100%</w:t>
            </w:r>
          </w:p>
        </w:tc>
        <w:tc>
          <w:tcPr>
            <w:tcW w:w="1560" w:type="dxa"/>
            <w:tcBorders>
              <w:top w:val="single" w:sz="4" w:space="0" w:color="000000"/>
              <w:start w:val="single" w:sz="6" w:space="0" w:color="000000"/>
            </w:tcBorders>
          </w:tcPr>
          <w:p>
            <w:pPr>
              <w:pStyle w:val="Normal"/>
              <w:jc w:val="start"/>
              <w:rPr>
                <w:sz w:val="16"/>
              </w:rPr>
            </w:pPr>
            <w:r>
              <w:rPr>
                <w:sz w:val="16"/>
              </w:rPr>
              <w:t>Excess Admitted General Liability</w:t>
            </w:r>
          </w:p>
          <w:p>
            <w:pPr>
              <w:pStyle w:val="Normal"/>
              <w:jc w:val="start"/>
              <w:rPr>
                <w:sz w:val="16"/>
              </w:rPr>
            </w:pPr>
            <w:r>
              <w:rPr>
                <w:sz w:val="16"/>
              </w:rPr>
              <w:t>MS-S 871R</w:t>
            </w:r>
          </w:p>
        </w:tc>
        <w:tc>
          <w:tcPr>
            <w:tcW w:w="1560" w:type="dxa"/>
            <w:tcBorders>
              <w:top w:val="single" w:sz="4" w:space="0" w:color="000000"/>
              <w:start w:val="single" w:sz="6" w:space="0" w:color="000000"/>
            </w:tcBorders>
          </w:tcPr>
          <w:p>
            <w:pPr>
              <w:pStyle w:val="Normal"/>
              <w:jc w:val="start"/>
              <w:rPr>
                <w:sz w:val="16"/>
              </w:rPr>
            </w:pPr>
            <w:r>
              <w:rPr>
                <w:sz w:val="16"/>
              </w:rPr>
              <w:t>Owner, Contractor, Lenders</w:t>
            </w:r>
          </w:p>
        </w:tc>
        <w:tc>
          <w:tcPr>
            <w:tcW w:w="1560" w:type="dxa"/>
            <w:tcBorders>
              <w:top w:val="single" w:sz="4" w:space="0" w:color="000000"/>
              <w:start w:val="single" w:sz="6" w:space="0" w:color="000000"/>
            </w:tcBorders>
          </w:tcPr>
          <w:p>
            <w:pPr>
              <w:pStyle w:val="Normal"/>
              <w:jc w:val="start"/>
              <w:rPr>
                <w:sz w:val="16"/>
              </w:rPr>
            </w:pPr>
            <w:r>
              <w:rPr>
                <w:sz w:val="16"/>
              </w:rPr>
              <w:t>Protection against liability to third parties during construction</w:t>
            </w:r>
          </w:p>
        </w:tc>
        <w:tc>
          <w:tcPr>
            <w:tcW w:w="1110" w:type="dxa"/>
            <w:tcBorders>
              <w:top w:val="single" w:sz="4" w:space="0" w:color="000000"/>
              <w:start w:val="single" w:sz="6" w:space="0" w:color="000000"/>
            </w:tcBorders>
          </w:tcPr>
          <w:p>
            <w:pPr>
              <w:pStyle w:val="Normal"/>
              <w:jc w:val="start"/>
              <w:rPr>
                <w:sz w:val="16"/>
              </w:rPr>
            </w:pPr>
            <w:r>
              <w:rPr>
                <w:sz w:val="16"/>
              </w:rPr>
              <w:t>$25,000,000 excess of $25,000,000</w:t>
            </w:r>
          </w:p>
        </w:tc>
        <w:tc>
          <w:tcPr>
            <w:tcW w:w="1772" w:type="dxa"/>
            <w:tcBorders>
              <w:top w:val="single" w:sz="4" w:space="0" w:color="000000"/>
              <w:start w:val="single" w:sz="6" w:space="0" w:color="000000"/>
            </w:tcBorders>
          </w:tcPr>
          <w:p>
            <w:pPr>
              <w:pStyle w:val="Normal"/>
              <w:jc w:val="start"/>
              <w:rPr>
                <w:sz w:val="16"/>
              </w:rPr>
            </w:pPr>
            <w:r>
              <w:rPr>
                <w:sz w:val="16"/>
              </w:rPr>
              <w:t>N/A</w:t>
            </w:r>
          </w:p>
        </w:tc>
        <w:tc>
          <w:tcPr>
            <w:tcW w:w="990" w:type="dxa"/>
            <w:tcBorders>
              <w:top w:val="single" w:sz="4" w:space="0" w:color="000000"/>
              <w:start w:val="single" w:sz="6" w:space="0" w:color="000000"/>
            </w:tcBorders>
          </w:tcPr>
          <w:p>
            <w:pPr>
              <w:pStyle w:val="Normal"/>
              <w:jc w:val="start"/>
              <w:rPr>
                <w:sz w:val="16"/>
              </w:rPr>
            </w:pPr>
            <w:r>
              <w:rPr>
                <w:sz w:val="16"/>
              </w:rPr>
              <w:t>From 09/07/99 to 03/15/00</w:t>
            </w:r>
          </w:p>
        </w:tc>
        <w:tc>
          <w:tcPr>
            <w:tcW w:w="1350" w:type="dxa"/>
            <w:tcBorders>
              <w:top w:val="single" w:sz="4"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3478" w:type="dxa"/>
            <w:tcBorders>
              <w:top w:val="single" w:sz="4" w:space="0" w:color="000000"/>
              <w:start w:val="single" w:sz="6" w:space="0" w:color="000000"/>
              <w:bottom w:val="single" w:sz="4" w:space="0" w:color="000000"/>
            </w:tcBorders>
          </w:tcPr>
          <w:p>
            <w:pPr>
              <w:pStyle w:val="Normal"/>
              <w:jc w:val="start"/>
              <w:rPr>
                <w:sz w:val="16"/>
              </w:rPr>
            </w:pPr>
            <w:r>
              <w:rPr>
                <w:sz w:val="16"/>
              </w:rPr>
              <w:t>Insurer:  CIGNA Intl/ACE USA - 100%</w:t>
            </w:r>
          </w:p>
        </w:tc>
        <w:tc>
          <w:tcPr>
            <w:tcW w:w="1560" w:type="dxa"/>
            <w:tcBorders>
              <w:top w:val="single" w:sz="4" w:space="0" w:color="000000"/>
              <w:start w:val="single" w:sz="6" w:space="0" w:color="000000"/>
              <w:bottom w:val="single" w:sz="4" w:space="0" w:color="000000"/>
            </w:tcBorders>
          </w:tcPr>
          <w:p>
            <w:pPr>
              <w:pStyle w:val="Normal"/>
              <w:jc w:val="start"/>
              <w:rPr>
                <w:sz w:val="16"/>
              </w:rPr>
            </w:pPr>
            <w:r>
              <w:rPr>
                <w:sz w:val="16"/>
              </w:rPr>
              <w:t>Non-Admitted DIC GL/AL/EL</w:t>
            </w:r>
          </w:p>
          <w:p>
            <w:pPr>
              <w:pStyle w:val="Normal"/>
              <w:jc w:val="start"/>
              <w:rPr>
                <w:sz w:val="16"/>
              </w:rPr>
            </w:pPr>
            <w:r>
              <w:rPr>
                <w:sz w:val="16"/>
              </w:rPr>
              <w:t>CXC043157</w:t>
            </w:r>
          </w:p>
        </w:tc>
        <w:tc>
          <w:tcPr>
            <w:tcW w:w="1560" w:type="dxa"/>
            <w:tcBorders>
              <w:top w:val="single" w:sz="4" w:space="0" w:color="000000"/>
              <w:start w:val="single" w:sz="6" w:space="0" w:color="000000"/>
              <w:bottom w:val="single" w:sz="4" w:space="0" w:color="000000"/>
            </w:tcBorders>
          </w:tcPr>
          <w:p>
            <w:pPr>
              <w:pStyle w:val="Normal"/>
              <w:jc w:val="start"/>
              <w:rPr>
                <w:sz w:val="16"/>
              </w:rPr>
            </w:pPr>
            <w:r>
              <w:rPr>
                <w:sz w:val="16"/>
              </w:rPr>
              <w:t>Owner, Contractor, Lenders</w:t>
            </w:r>
          </w:p>
        </w:tc>
        <w:tc>
          <w:tcPr>
            <w:tcW w:w="1560" w:type="dxa"/>
            <w:tcBorders>
              <w:top w:val="single" w:sz="4" w:space="0" w:color="000000"/>
              <w:start w:val="single" w:sz="6" w:space="0" w:color="000000"/>
              <w:bottom w:val="single" w:sz="4" w:space="0" w:color="000000"/>
            </w:tcBorders>
          </w:tcPr>
          <w:p>
            <w:pPr>
              <w:pStyle w:val="Normal"/>
              <w:jc w:val="start"/>
              <w:rPr>
                <w:sz w:val="16"/>
              </w:rPr>
            </w:pPr>
            <w:r>
              <w:rPr>
                <w:sz w:val="16"/>
              </w:rPr>
              <w:t>Protection against liability to third parties during construction/DIC</w:t>
            </w:r>
          </w:p>
        </w:tc>
        <w:tc>
          <w:tcPr>
            <w:tcW w:w="1110" w:type="dxa"/>
            <w:tcBorders>
              <w:top w:val="single" w:sz="4" w:space="0" w:color="000000"/>
              <w:start w:val="single" w:sz="6" w:space="0" w:color="000000"/>
              <w:bottom w:val="single" w:sz="4" w:space="0" w:color="000000"/>
            </w:tcBorders>
          </w:tcPr>
          <w:p>
            <w:pPr>
              <w:pStyle w:val="Normal"/>
              <w:jc w:val="start"/>
              <w:rPr>
                <w:sz w:val="16"/>
              </w:rPr>
            </w:pPr>
            <w:r>
              <w:rPr>
                <w:sz w:val="16"/>
              </w:rPr>
              <w:t>$25,000,000</w:t>
            </w:r>
          </w:p>
        </w:tc>
        <w:tc>
          <w:tcPr>
            <w:tcW w:w="1772" w:type="dxa"/>
            <w:tcBorders>
              <w:top w:val="single" w:sz="4" w:space="0" w:color="000000"/>
              <w:start w:val="single" w:sz="6" w:space="0" w:color="000000"/>
              <w:bottom w:val="single" w:sz="4" w:space="0" w:color="000000"/>
            </w:tcBorders>
          </w:tcPr>
          <w:p>
            <w:pPr>
              <w:pStyle w:val="Normal"/>
              <w:jc w:val="start"/>
              <w:rPr>
                <w:sz w:val="16"/>
              </w:rPr>
            </w:pPr>
            <w:r>
              <w:rPr>
                <w:sz w:val="16"/>
              </w:rPr>
              <w:t>N/A</w:t>
            </w:r>
          </w:p>
        </w:tc>
        <w:tc>
          <w:tcPr>
            <w:tcW w:w="990" w:type="dxa"/>
            <w:tcBorders>
              <w:top w:val="single" w:sz="4" w:space="0" w:color="000000"/>
              <w:start w:val="single" w:sz="6" w:space="0" w:color="000000"/>
              <w:bottom w:val="single" w:sz="4" w:space="0" w:color="000000"/>
            </w:tcBorders>
          </w:tcPr>
          <w:p>
            <w:pPr>
              <w:pStyle w:val="Normal"/>
              <w:jc w:val="start"/>
              <w:rPr>
                <w:sz w:val="16"/>
              </w:rPr>
            </w:pPr>
            <w:r>
              <w:rPr>
                <w:sz w:val="16"/>
              </w:rPr>
              <w:t>From 10/16/98 to 03/15/00</w:t>
            </w:r>
          </w:p>
        </w:tc>
        <w:tc>
          <w:tcPr>
            <w:tcW w:w="1350" w:type="dxa"/>
            <w:tcBorders>
              <w:top w:val="single" w:sz="4" w:space="0" w:color="000000"/>
              <w:start w:val="single" w:sz="6" w:space="0" w:color="000000"/>
              <w:bottom w:val="single" w:sz="4" w:space="0" w:color="000000"/>
              <w:end w:val="single" w:sz="6" w:space="0" w:color="000000"/>
            </w:tcBorders>
          </w:tcPr>
          <w:p>
            <w:pPr>
              <w:pStyle w:val="Normal"/>
              <w:snapToGrid w:val="false"/>
              <w:jc w:val="start"/>
              <w:rPr>
                <w:sz w:val="16"/>
              </w:rPr>
            </w:pPr>
            <w:r>
              <w:rPr>
                <w:sz w:val="16"/>
              </w:rPr>
            </w:r>
          </w:p>
        </w:tc>
      </w:tr>
      <w:tr>
        <w:trPr>
          <w:trHeight w:val="403" w:hRule="atLeast"/>
        </w:trPr>
        <w:tc>
          <w:tcPr>
            <w:tcW w:w="3478" w:type="dxa"/>
            <w:tcBorders>
              <w:start w:val="single" w:sz="6" w:space="0" w:color="000000"/>
              <w:bottom w:val="single" w:sz="6" w:space="0" w:color="000000"/>
            </w:tcBorders>
          </w:tcPr>
          <w:p>
            <w:pPr>
              <w:pStyle w:val="Normal"/>
              <w:jc w:val="start"/>
              <w:rPr>
                <w:sz w:val="16"/>
              </w:rPr>
            </w:pPr>
            <w:r>
              <w:rPr>
                <w:sz w:val="16"/>
              </w:rPr>
              <w:t>N/A</w:t>
            </w:r>
          </w:p>
        </w:tc>
        <w:tc>
          <w:tcPr>
            <w:tcW w:w="1560" w:type="dxa"/>
            <w:tcBorders>
              <w:start w:val="single" w:sz="6" w:space="0" w:color="000000"/>
              <w:bottom w:val="single" w:sz="6" w:space="0" w:color="000000"/>
            </w:tcBorders>
          </w:tcPr>
          <w:p>
            <w:pPr>
              <w:pStyle w:val="Normal"/>
              <w:jc w:val="start"/>
              <w:rPr>
                <w:sz w:val="16"/>
              </w:rPr>
            </w:pPr>
            <w:r>
              <w:rPr>
                <w:sz w:val="16"/>
              </w:rPr>
              <w:t xml:space="preserve">Primary Admitted Auto Liability </w:t>
            </w:r>
          </w:p>
          <w:p>
            <w:pPr>
              <w:pStyle w:val="Normal"/>
              <w:jc w:val="start"/>
              <w:rPr>
                <w:sz w:val="16"/>
              </w:rPr>
            </w:pPr>
            <w:r>
              <w:rPr>
                <w:sz w:val="16"/>
              </w:rPr>
              <w:t>AGF Policy No. 13-31-0037647</w:t>
            </w:r>
          </w:p>
        </w:tc>
        <w:tc>
          <w:tcPr>
            <w:tcW w:w="1560" w:type="dxa"/>
            <w:tcBorders>
              <w:start w:val="single" w:sz="6" w:space="0" w:color="000000"/>
              <w:bottom w:val="single" w:sz="6" w:space="0" w:color="000000"/>
            </w:tcBorders>
          </w:tcPr>
          <w:p>
            <w:pPr>
              <w:pStyle w:val="Normal"/>
              <w:jc w:val="start"/>
              <w:rPr>
                <w:sz w:val="16"/>
              </w:rPr>
            </w:pPr>
            <w:r>
              <w:rPr>
                <w:sz w:val="16"/>
              </w:rPr>
              <w:t>Owner</w:t>
            </w:r>
          </w:p>
        </w:tc>
        <w:tc>
          <w:tcPr>
            <w:tcW w:w="1560" w:type="dxa"/>
            <w:tcBorders>
              <w:start w:val="single" w:sz="6" w:space="0" w:color="000000"/>
              <w:bottom w:val="single" w:sz="6" w:space="0" w:color="000000"/>
            </w:tcBorders>
          </w:tcPr>
          <w:p>
            <w:pPr>
              <w:pStyle w:val="Normal"/>
              <w:jc w:val="start"/>
              <w:rPr>
                <w:sz w:val="16"/>
              </w:rPr>
            </w:pPr>
            <w:r>
              <w:rPr>
                <w:sz w:val="16"/>
              </w:rPr>
              <w:t>Protection against auto-related liability to third parties</w:t>
            </w:r>
          </w:p>
        </w:tc>
        <w:tc>
          <w:tcPr>
            <w:tcW w:w="1110" w:type="dxa"/>
            <w:tcBorders>
              <w:start w:val="single" w:sz="6" w:space="0" w:color="000000"/>
              <w:bottom w:val="single" w:sz="6" w:space="0" w:color="000000"/>
            </w:tcBorders>
          </w:tcPr>
          <w:p>
            <w:pPr>
              <w:pStyle w:val="Normal"/>
              <w:jc w:val="start"/>
              <w:rPr>
                <w:sz w:val="16"/>
              </w:rPr>
            </w:pPr>
            <w:r>
              <w:rPr>
                <w:sz w:val="16"/>
              </w:rPr>
              <w:t>R$500,000</w:t>
            </w:r>
          </w:p>
        </w:tc>
        <w:tc>
          <w:tcPr>
            <w:tcW w:w="1772" w:type="dxa"/>
            <w:tcBorders>
              <w:start w:val="single" w:sz="6" w:space="0" w:color="000000"/>
              <w:bottom w:val="single" w:sz="6" w:space="0" w:color="000000"/>
            </w:tcBorders>
          </w:tcPr>
          <w:p>
            <w:pPr>
              <w:pStyle w:val="Normal"/>
              <w:jc w:val="start"/>
              <w:rPr>
                <w:sz w:val="16"/>
              </w:rPr>
            </w:pPr>
            <w:r>
              <w:rPr>
                <w:sz w:val="16"/>
              </w:rPr>
              <w:t>N/A</w:t>
            </w:r>
          </w:p>
        </w:tc>
        <w:tc>
          <w:tcPr>
            <w:tcW w:w="990" w:type="dxa"/>
            <w:tcBorders>
              <w:start w:val="single" w:sz="6" w:space="0" w:color="000000"/>
              <w:bottom w:val="single" w:sz="6" w:space="0" w:color="000000"/>
            </w:tcBorders>
          </w:tcPr>
          <w:p>
            <w:pPr>
              <w:pStyle w:val="Normal"/>
              <w:jc w:val="start"/>
              <w:rPr>
                <w:sz w:val="16"/>
              </w:rPr>
            </w:pPr>
            <w:r>
              <w:rPr>
                <w:sz w:val="16"/>
              </w:rPr>
              <w:t>From 08/20/99 to 08/20/00</w:t>
            </w:r>
          </w:p>
        </w:tc>
        <w:tc>
          <w:tcPr>
            <w:tcW w:w="1350" w:type="dxa"/>
            <w:tcBorders>
              <w:start w:val="single" w:sz="6" w:space="0" w:color="000000"/>
              <w:bottom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3478" w:type="dxa"/>
            <w:tcBorders>
              <w:start w:val="single" w:sz="6" w:space="0" w:color="000000"/>
              <w:bottom w:val="single" w:sz="4" w:space="0" w:color="000000"/>
            </w:tcBorders>
          </w:tcPr>
          <w:p>
            <w:pPr>
              <w:pStyle w:val="Normal"/>
              <w:jc w:val="start"/>
              <w:rPr>
                <w:sz w:val="16"/>
              </w:rPr>
            </w:pPr>
            <w:r>
              <w:rPr>
                <w:sz w:val="16"/>
              </w:rPr>
              <w:t>N/A</w:t>
            </w:r>
          </w:p>
        </w:tc>
        <w:tc>
          <w:tcPr>
            <w:tcW w:w="1560" w:type="dxa"/>
            <w:tcBorders>
              <w:start w:val="single" w:sz="6" w:space="0" w:color="000000"/>
              <w:bottom w:val="single" w:sz="4" w:space="0" w:color="000000"/>
            </w:tcBorders>
          </w:tcPr>
          <w:p>
            <w:pPr>
              <w:pStyle w:val="Normal"/>
              <w:jc w:val="start"/>
              <w:rPr>
                <w:sz w:val="16"/>
              </w:rPr>
            </w:pPr>
            <w:r>
              <w:rPr>
                <w:sz w:val="16"/>
              </w:rPr>
              <w:t xml:space="preserve">Excess Admitted Auto Liability </w:t>
            </w:r>
          </w:p>
          <w:p>
            <w:pPr>
              <w:pStyle w:val="Normal"/>
              <w:jc w:val="start"/>
              <w:rPr>
                <w:sz w:val="16"/>
              </w:rPr>
            </w:pPr>
            <w:r>
              <w:rPr>
                <w:sz w:val="16"/>
              </w:rPr>
              <w:t>AGF Policy No. 13-53-0000158</w:t>
            </w:r>
          </w:p>
        </w:tc>
        <w:tc>
          <w:tcPr>
            <w:tcW w:w="1560" w:type="dxa"/>
            <w:tcBorders>
              <w:start w:val="single" w:sz="6" w:space="0" w:color="000000"/>
              <w:bottom w:val="single" w:sz="4" w:space="0" w:color="000000"/>
            </w:tcBorders>
          </w:tcPr>
          <w:p>
            <w:pPr>
              <w:pStyle w:val="Normal"/>
              <w:jc w:val="start"/>
              <w:rPr>
                <w:sz w:val="16"/>
              </w:rPr>
            </w:pPr>
            <w:r>
              <w:rPr>
                <w:sz w:val="16"/>
              </w:rPr>
              <w:t>Owner</w:t>
            </w:r>
          </w:p>
        </w:tc>
        <w:tc>
          <w:tcPr>
            <w:tcW w:w="1560" w:type="dxa"/>
            <w:tcBorders>
              <w:start w:val="single" w:sz="6" w:space="0" w:color="000000"/>
              <w:bottom w:val="single" w:sz="4" w:space="0" w:color="000000"/>
            </w:tcBorders>
          </w:tcPr>
          <w:p>
            <w:pPr>
              <w:pStyle w:val="Normal"/>
              <w:jc w:val="start"/>
              <w:rPr>
                <w:sz w:val="16"/>
              </w:rPr>
            </w:pPr>
            <w:r>
              <w:rPr>
                <w:sz w:val="16"/>
              </w:rPr>
              <w:t xml:space="preserve">Protection against auto-related liability to third parties </w:t>
            </w:r>
          </w:p>
        </w:tc>
        <w:tc>
          <w:tcPr>
            <w:tcW w:w="1110" w:type="dxa"/>
            <w:tcBorders>
              <w:start w:val="single" w:sz="6" w:space="0" w:color="000000"/>
              <w:bottom w:val="single" w:sz="4" w:space="0" w:color="000000"/>
            </w:tcBorders>
          </w:tcPr>
          <w:p>
            <w:pPr>
              <w:pStyle w:val="Normal"/>
              <w:jc w:val="start"/>
              <w:rPr>
                <w:sz w:val="16"/>
              </w:rPr>
            </w:pPr>
            <w:r>
              <w:rPr>
                <w:sz w:val="16"/>
              </w:rPr>
              <w:t>RS 3,500,000 excess of R$500,000</w:t>
            </w:r>
          </w:p>
        </w:tc>
        <w:tc>
          <w:tcPr>
            <w:tcW w:w="1772" w:type="dxa"/>
            <w:tcBorders>
              <w:start w:val="single" w:sz="6" w:space="0" w:color="000000"/>
              <w:bottom w:val="single" w:sz="4" w:space="0" w:color="000000"/>
            </w:tcBorders>
          </w:tcPr>
          <w:p>
            <w:pPr>
              <w:pStyle w:val="Normal"/>
              <w:jc w:val="start"/>
              <w:rPr>
                <w:sz w:val="16"/>
              </w:rPr>
            </w:pPr>
            <w:r>
              <w:rPr>
                <w:sz w:val="16"/>
              </w:rPr>
              <w:t>N/A</w:t>
            </w:r>
          </w:p>
        </w:tc>
        <w:tc>
          <w:tcPr>
            <w:tcW w:w="990" w:type="dxa"/>
            <w:tcBorders>
              <w:start w:val="single" w:sz="6" w:space="0" w:color="000000"/>
              <w:bottom w:val="single" w:sz="4" w:space="0" w:color="000000"/>
            </w:tcBorders>
          </w:tcPr>
          <w:p>
            <w:pPr>
              <w:pStyle w:val="Normal"/>
              <w:jc w:val="start"/>
              <w:rPr>
                <w:sz w:val="16"/>
              </w:rPr>
            </w:pPr>
            <w:r>
              <w:rPr>
                <w:sz w:val="16"/>
              </w:rPr>
              <w:t>From 09/23/99 to 08/20/00</w:t>
            </w:r>
          </w:p>
        </w:tc>
        <w:tc>
          <w:tcPr>
            <w:tcW w:w="1350" w:type="dxa"/>
            <w:tcBorders>
              <w:start w:val="single" w:sz="6" w:space="0" w:color="000000"/>
              <w:bottom w:val="single" w:sz="4" w:space="0" w:color="000000"/>
              <w:end w:val="single" w:sz="6" w:space="0" w:color="000000"/>
            </w:tcBorders>
          </w:tcPr>
          <w:p>
            <w:pPr>
              <w:pStyle w:val="Normal"/>
              <w:snapToGrid w:val="false"/>
              <w:jc w:val="start"/>
              <w:rPr>
                <w:sz w:val="16"/>
              </w:rPr>
            </w:pPr>
            <w:r>
              <w:rPr>
                <w:sz w:val="16"/>
              </w:rPr>
            </w:r>
          </w:p>
        </w:tc>
      </w:tr>
    </w:tbl>
    <w:p>
      <w:pPr>
        <w:sectPr>
          <w:headerReference w:type="default" r:id="rId18"/>
          <w:headerReference w:type="first" r:id="rId19"/>
          <w:footerReference w:type="default" r:id="rId20"/>
          <w:footerReference w:type="first" r:id="rId21"/>
          <w:type w:val="nextPage"/>
          <w:pgSz w:orient="landscape" w:w="15840" w:h="12240"/>
          <w:pgMar w:left="720" w:right="1440" w:gutter="0" w:header="720" w:top="1440" w:footer="720" w:bottom="1440"/>
          <w:pgNumType w:fmt="decimal"/>
          <w:formProt w:val="false"/>
          <w:textDirection w:val="lrTb"/>
          <w:docGrid w:type="default" w:linePitch="360" w:charSpace="0"/>
        </w:sectPr>
      </w:pPr>
    </w:p>
    <w:p>
      <w:pPr>
        <w:pStyle w:val="Normal"/>
        <w:numPr>
          <w:ilvl w:val="0"/>
          <w:numId w:val="0"/>
        </w:numPr>
        <w:jc w:val="center"/>
        <w:outlineLvl w:val="0"/>
        <w:rPr>
          <w:b/>
        </w:rPr>
      </w:pPr>
      <w:r>
        <w:rPr>
          <w:b/>
        </w:rPr>
        <w:t>SCHEDULE 5.10(a)</w:t>
      </w:r>
    </w:p>
    <w:p>
      <w:pPr>
        <w:pStyle w:val="Normal"/>
        <w:jc w:val="center"/>
        <w:rPr>
          <w:b/>
        </w:rPr>
      </w:pPr>
      <w:r>
        <w:rPr>
          <w:b/>
        </w:rPr>
      </w:r>
    </w:p>
    <w:p>
      <w:pPr>
        <w:pStyle w:val="Normal"/>
        <w:numPr>
          <w:ilvl w:val="0"/>
          <w:numId w:val="0"/>
        </w:numPr>
        <w:jc w:val="center"/>
        <w:outlineLvl w:val="0"/>
        <w:rPr>
          <w:b/>
        </w:rPr>
      </w:pPr>
      <w:r>
        <w:rPr>
          <w:b/>
        </w:rPr>
        <w:t>PRINCIPAL CONTRACTS</w:t>
      </w:r>
    </w:p>
    <w:p>
      <w:pPr>
        <w:pStyle w:val="Normal"/>
        <w:rPr>
          <w:b/>
          <w:u w:val="single"/>
        </w:rPr>
      </w:pPr>
      <w:r>
        <w:rPr>
          <w:b/>
          <w:u w:val="single"/>
        </w:rPr>
      </w:r>
    </w:p>
    <w:p>
      <w:pPr>
        <w:pStyle w:val="Normal"/>
        <w:ind w:hanging="720" w:start="720" w:end="0"/>
        <w:rPr/>
      </w:pPr>
      <w:r>
        <w:rPr/>
        <w:t>I.</w:t>
        <w:tab/>
        <w:t xml:space="preserve">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in Schedule 7.05 and Schedule 5.10(b) to this Parent Disclosure Letter) are hereby incorporated in this Schedule by this reference. </w:t>
      </w:r>
    </w:p>
    <w:p>
      <w:pPr>
        <w:pStyle w:val="Normal"/>
        <w:ind w:hanging="720" w:start="720" w:end="0"/>
        <w:rPr/>
      </w:pPr>
      <w:r>
        <w:rPr/>
      </w:r>
    </w:p>
    <w:p>
      <w:pPr>
        <w:pStyle w:val="Normal"/>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BodyText"/>
        <w:widowControl/>
        <w:jc w:val="center"/>
        <w:rPr/>
      </w:pPr>
      <w:r>
        <w:rPr/>
        <w:t>[A.</w:t>
      </w:r>
      <w:r>
        <w:rPr>
          <w:rFonts w:cs="Times New Roman" w:ascii="Times New Roman" w:hAnsi="Times New Roman"/>
          <w:b/>
          <w:sz w:val="24"/>
        </w:rPr>
        <w:tab/>
      </w:r>
      <w:r>
        <w:rPr>
          <w:rFonts w:cs="Times New Roman" w:ascii="Times New Roman" w:hAnsi="Times New Roman"/>
          <w:sz w:val="24"/>
        </w:rPr>
        <w:t>Existing Defaults Under Common Terms Agreement w/ OPIC and KfW:</w:t>
      </w:r>
    </w:p>
    <w:p>
      <w:pPr>
        <w:pStyle w:val="Normal"/>
        <w:numPr>
          <w:ilvl w:val="0"/>
          <w:numId w:val="2"/>
        </w:numPr>
        <w:tabs>
          <w:tab w:val="clear" w:pos="720"/>
          <w:tab w:val="left" w:pos="2160" w:leader="none"/>
        </w:tabs>
        <w:spacing w:before="0" w:after="240"/>
        <w:ind w:hanging="720" w:start="2160" w:end="0"/>
        <w:rPr/>
      </w:pPr>
      <w:r>
        <w:rPr/>
        <w:t>Section 9.1(q) -- Substantial Completion of the Second Commercial Phase did not occur on or before the date set forth in the existing Project Schedule.</w:t>
      </w:r>
    </w:p>
    <w:p>
      <w:pPr>
        <w:pStyle w:val="Normal"/>
        <w:ind w:hanging="720" w:start="2160" w:end="0"/>
        <w:rPr>
          <w:b/>
        </w:rPr>
      </w:pPr>
      <w:r>
        <w:rPr/>
        <w:t>2.</w:t>
        <w:tab/>
        <w:t>EPE executed a Letter of Intent with HDI with a value in excess of $500,000 without first obtaining the lenders’ consent as required under the Common Terms Agreement.]</w:t>
      </w:r>
    </w:p>
    <w:p>
      <w:pPr>
        <w:pStyle w:val="Normal"/>
        <w:tabs>
          <w:tab w:val="clear" w:pos="720"/>
          <w:tab w:val="left" w:pos="-1440" w:leader="none"/>
          <w:tab w:val="left" w:pos="-720" w:leader="none"/>
          <w:tab w:val="left" w:pos="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b/>
        </w:rPr>
      </w:pPr>
      <w:r>
        <w:rPr>
          <w:b/>
        </w:rPr>
      </w:r>
    </w:p>
    <w:p>
      <w:pPr>
        <w:pStyle w:val="Normal"/>
        <w:tabs>
          <w:tab w:val="clear" w:pos="720"/>
          <w:tab w:val="left" w:pos="-1440" w:leader="none"/>
          <w:tab w:val="left" w:pos="-720" w:leader="none"/>
          <w:tab w:val="left" w:pos="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[B.</w:t>
        <w:tab/>
        <w:t>A default may exist under the PPA among EPE, Furnas and Eletrobras for failure of EPE to achieve Second Commercial Phase/Changeover to Gas by the date specified in the PPA.  EPE has submitted claims for force majeure that have not yet been accepted by Furnas.]</w:t>
      </w:r>
    </w:p>
    <w:p>
      <w:pPr>
        <w:pStyle w:val="Normal"/>
        <w:ind w:hanging="720" w:start="1440" w:end="0"/>
        <w:rPr/>
      </w:pPr>
      <w:r>
        <w:rPr/>
      </w:r>
    </w:p>
    <w:p>
      <w:pPr>
        <w:pStyle w:val="Normal"/>
        <w:ind w:hanging="720" w:start="1440" w:end="0"/>
        <w:rPr/>
      </w:pPr>
      <w:r>
        <w:rPr/>
      </w:r>
      <w:r>
        <w:br w:type="page"/>
      </w:r>
    </w:p>
    <w:p>
      <w:pPr>
        <w:pStyle w:val="Normal"/>
        <w:jc w:val="center"/>
        <w:rPr>
          <w:b/>
        </w:rPr>
      </w:pPr>
      <w:r>
        <w:rPr>
          <w:b/>
        </w:rPr>
        <w:t>SCHEDULE 5.10(b)</w:t>
      </w:r>
    </w:p>
    <w:p>
      <w:pPr>
        <w:pStyle w:val="Normal"/>
        <w:jc w:val="center"/>
        <w:rPr>
          <w:b/>
        </w:rPr>
      </w:pPr>
      <w:r>
        <w:rPr>
          <w:b/>
        </w:rPr>
      </w:r>
    </w:p>
    <w:p>
      <w:pPr>
        <w:pStyle w:val="Normal"/>
        <w:numPr>
          <w:ilvl w:val="0"/>
          <w:numId w:val="0"/>
        </w:numPr>
        <w:jc w:val="center"/>
        <w:outlineLvl w:val="0"/>
        <w:rPr>
          <w:b/>
        </w:rPr>
      </w:pPr>
      <w:r>
        <w:rPr>
          <w:b/>
        </w:rPr>
        <w:t>SURETYSHIP ARRANGEMENTS</w:t>
      </w:r>
    </w:p>
    <w:p>
      <w:pPr>
        <w:pStyle w:val="Normal"/>
        <w:rPr>
          <w:u w:val="single"/>
        </w:rPr>
      </w:pPr>
      <w:r>
        <w:rPr>
          <w:u w:val="single"/>
        </w:rPr>
      </w:r>
    </w:p>
    <w:p>
      <w:pPr>
        <w:pStyle w:val="Normal"/>
        <w:rPr/>
      </w:pPr>
      <w:r>
        <w:rPr/>
        <w:tab/>
        <w:t>This Schedule sets forth a list of all Suretyship Arrangements and identifies the surety in such arrangement, whether that be the Parent or a Retained Subsidiary:</w:t>
      </w:r>
    </w:p>
    <w:p>
      <w:pPr>
        <w:pStyle w:val="Normal"/>
        <w:rPr/>
      </w:pPr>
      <w:r>
        <w:rPr/>
      </w:r>
    </w:p>
    <w:p>
      <w:pPr>
        <w:pStyle w:val="Normal"/>
        <w:ind w:start="720" w:end="0"/>
        <w:rPr/>
      </w:pPr>
      <w:r>
        <w:rPr/>
        <w:t>None</w:t>
      </w:r>
    </w:p>
    <w:p>
      <w:pPr>
        <w:pStyle w:val="Normal"/>
        <w:rPr/>
      </w:pPr>
      <w:r>
        <w:rPr/>
      </w:r>
    </w:p>
    <w:p>
      <w:pPr>
        <w:pStyle w:val="Normal"/>
        <w:rPr>
          <w:u w:val="single"/>
        </w:rPr>
      </w:pPr>
      <w:r>
        <w:rPr>
          <w:u w:val="single"/>
        </w:rPr>
      </w:r>
    </w:p>
    <w:p>
      <w:pPr>
        <w:pStyle w:val="Normal"/>
        <w:rPr>
          <w:u w:val="single"/>
        </w:rPr>
      </w:pPr>
      <w:r>
        <w:rPr>
          <w:u w:val="single"/>
        </w:rPr>
      </w:r>
      <w:r>
        <w:br w:type="page"/>
      </w:r>
    </w:p>
    <w:p>
      <w:pPr>
        <w:pStyle w:val="Normal"/>
        <w:numPr>
          <w:ilvl w:val="0"/>
          <w:numId w:val="0"/>
        </w:numPr>
        <w:jc w:val="center"/>
        <w:outlineLvl w:val="0"/>
        <w:rPr>
          <w:b/>
        </w:rPr>
      </w:pPr>
      <w:r>
        <w:rPr>
          <w:b/>
        </w:rPr>
        <w:t>SCHEDULE 5.11</w:t>
      </w:r>
    </w:p>
    <w:p>
      <w:pPr>
        <w:pStyle w:val="Normal"/>
        <w:jc w:val="center"/>
        <w:rPr>
          <w:b/>
        </w:rPr>
      </w:pPr>
      <w:r>
        <w:rPr>
          <w:b/>
        </w:rPr>
      </w:r>
    </w:p>
    <w:p>
      <w:pPr>
        <w:pStyle w:val="Normal"/>
        <w:numPr>
          <w:ilvl w:val="0"/>
          <w:numId w:val="0"/>
        </w:numPr>
        <w:jc w:val="center"/>
        <w:outlineLvl w:val="0"/>
        <w:rPr>
          <w:b/>
        </w:rPr>
      </w:pPr>
      <w:r>
        <w:rPr>
          <w:b/>
        </w:rPr>
        <w:t>EMPLOYEE BENEFIT MATTERS</w:t>
      </w:r>
    </w:p>
    <w:p>
      <w:pPr>
        <w:pStyle w:val="Normal"/>
        <w:rPr>
          <w:u w:val="single"/>
        </w:rPr>
      </w:pPr>
      <w:r>
        <w:rPr>
          <w:u w:val="single"/>
        </w:rPr>
      </w:r>
    </w:p>
    <w:p>
      <w:pPr>
        <w:pStyle w:val="Normal"/>
        <w:rPr>
          <w:u w:val="single"/>
        </w:rPr>
      </w:pPr>
      <w:r>
        <w:rPr>
          <w:u w:val="single"/>
        </w:rPr>
      </w:r>
    </w:p>
    <w:p>
      <w:pPr>
        <w:pStyle w:val="Normal"/>
        <w:ind w:firstLine="720" w:end="0"/>
        <w:rPr/>
      </w:pPr>
      <w:r>
        <w:rPr/>
        <w:t>[TO COME]</w:t>
      </w:r>
    </w:p>
    <w:p>
      <w:pPr>
        <w:pStyle w:val="Normal"/>
        <w:rPr/>
      </w:pPr>
      <w:r>
        <w:rPr/>
      </w:r>
    </w:p>
    <w:p>
      <w:pPr>
        <w:pStyle w:val="Normal"/>
        <w:rPr/>
      </w:pPr>
      <w:r>
        <w:rPr/>
      </w:r>
      <w:r>
        <w:br w:type="page"/>
      </w:r>
    </w:p>
    <w:p>
      <w:pPr>
        <w:pStyle w:val="Normal"/>
        <w:numPr>
          <w:ilvl w:val="0"/>
          <w:numId w:val="0"/>
        </w:numPr>
        <w:jc w:val="center"/>
        <w:outlineLvl w:val="0"/>
        <w:rPr>
          <w:b/>
        </w:rPr>
      </w:pPr>
      <w:r>
        <w:rPr>
          <w:b/>
        </w:rPr>
        <w:t>SCHEDULE 5.12</w:t>
      </w:r>
    </w:p>
    <w:p>
      <w:pPr>
        <w:pStyle w:val="Normal"/>
        <w:jc w:val="center"/>
        <w:rPr>
          <w:b/>
        </w:rPr>
      </w:pPr>
      <w:r>
        <w:rPr>
          <w:b/>
        </w:rPr>
      </w:r>
    </w:p>
    <w:p>
      <w:pPr>
        <w:pStyle w:val="Normal"/>
        <w:numPr>
          <w:ilvl w:val="0"/>
          <w:numId w:val="0"/>
        </w:numPr>
        <w:jc w:val="center"/>
        <w:outlineLvl w:val="0"/>
        <w:rPr>
          <w:b/>
        </w:rPr>
      </w:pPr>
      <w:r>
        <w:rPr>
          <w:b/>
        </w:rPr>
        <w:t>LITIGATION</w:t>
      </w:r>
    </w:p>
    <w:p>
      <w:pPr>
        <w:pStyle w:val="Normal"/>
        <w:rPr/>
      </w:pPr>
      <w:r>
        <w:rPr/>
      </w:r>
    </w:p>
    <w:p>
      <w:pPr>
        <w:pStyle w:val="Normal"/>
        <w:rPr/>
      </w:pPr>
      <w:r>
        <w:rPr/>
        <w:tab/>
        <w:t>This Schedule sets forth qualifications of the representation and warranty contained in Section 5.15 of the Agreement relating to litigation:</w:t>
      </w:r>
    </w:p>
    <w:p>
      <w:pPr>
        <w:pStyle w:val="Normal"/>
        <w:rPr/>
      </w:pPr>
      <w:r>
        <w:rPr/>
      </w:r>
    </w:p>
    <w:p>
      <w:pPr>
        <w:pStyle w:val="Normal"/>
        <w:rPr>
          <w:u w:val="single"/>
        </w:rPr>
      </w:pPr>
      <w:r>
        <w:rPr/>
        <w:tab/>
        <w:t>None.</w:t>
      </w:r>
      <w:r>
        <w:br w:type="page"/>
      </w:r>
    </w:p>
    <w:p>
      <w:pPr>
        <w:pStyle w:val="Normal"/>
        <w:numPr>
          <w:ilvl w:val="0"/>
          <w:numId w:val="0"/>
        </w:numPr>
        <w:jc w:val="center"/>
        <w:outlineLvl w:val="0"/>
        <w:rPr>
          <w:b/>
        </w:rPr>
      </w:pPr>
      <w:r>
        <w:rPr>
          <w:b/>
        </w:rPr>
        <w:t>SCHEDULE 5.12(a)</w:t>
      </w:r>
    </w:p>
    <w:p>
      <w:pPr>
        <w:pStyle w:val="Normal"/>
        <w:jc w:val="center"/>
        <w:rPr>
          <w:b/>
        </w:rPr>
      </w:pPr>
      <w:r>
        <w:rPr>
          <w:b/>
        </w:rPr>
      </w:r>
    </w:p>
    <w:p>
      <w:pPr>
        <w:pStyle w:val="Normal"/>
        <w:numPr>
          <w:ilvl w:val="0"/>
          <w:numId w:val="0"/>
        </w:numPr>
        <w:jc w:val="center"/>
        <w:outlineLvl w:val="0"/>
        <w:rPr>
          <w:b/>
        </w:rPr>
      </w:pPr>
      <w:r>
        <w:rPr>
          <w:b/>
        </w:rPr>
        <w:t>ENVIRONMENTAL MATTERS</w:t>
      </w:r>
    </w:p>
    <w:p>
      <w:pPr>
        <w:pStyle w:val="Normal"/>
        <w:rPr/>
      </w:pPr>
      <w:r>
        <w:rPr/>
      </w:r>
    </w:p>
    <w:p>
      <w:pPr>
        <w:pStyle w:val="Normal"/>
        <w:rPr/>
      </w:pPr>
      <w:r>
        <w:rPr/>
        <w:tab/>
        <w:t>This Schedule sets forth qualifications of the representation and warranty contained in subsection 5.12(a) of the Agreement relating to environmental matters:</w:t>
      </w:r>
    </w:p>
    <w:p>
      <w:pPr>
        <w:pStyle w:val="Normal"/>
        <w:rPr/>
      </w:pPr>
      <w:r>
        <w:rPr/>
      </w:r>
    </w:p>
    <w:p>
      <w:pPr>
        <w:pStyle w:val="Normal"/>
        <w:rPr/>
      </w:pPr>
      <w:r>
        <w:rPr/>
        <w:t>I.</w:t>
        <w:tab/>
      </w:r>
      <w:r>
        <w:rPr>
          <w:u w:val="single"/>
        </w:rPr>
        <w:t>Summary of the Inquiry initiated by the Brazilian federal attorney general for the State of Mato Grosso due to environmental impact of pipeline construction in the Cáceres ridges region:</w:t>
      </w:r>
    </w:p>
    <w:p>
      <w:pPr>
        <w:pStyle w:val="Normal"/>
        <w:rPr>
          <w:u w:val="single"/>
        </w:rPr>
      </w:pPr>
      <w:r>
        <w:rPr>
          <w:u w:val="single"/>
        </w:rPr>
      </w:r>
    </w:p>
    <w:p>
      <w:pPr>
        <w:pStyle w:val="Normal"/>
        <w:ind w:hanging="720" w:start="1440" w:end="0"/>
        <w:rPr/>
      </w:pPr>
      <w:r>
        <w:rPr/>
        <w:t>1.</w:t>
        <w:tab/>
        <w:t>August 30, 1999 - Federal Attorney for State of Mato Grosso recommended suspension of works in ridges region pending studies on environmental impact particularly regarding carst.</w:t>
      </w:r>
    </w:p>
    <w:p>
      <w:pPr>
        <w:pStyle w:val="Normal"/>
        <w:rPr/>
      </w:pPr>
      <w:r>
        <w:rPr/>
      </w:r>
    </w:p>
    <w:p>
      <w:pPr>
        <w:pStyle w:val="Normal"/>
        <w:rPr/>
      </w:pPr>
      <w:r>
        <w:rPr/>
        <w:tab/>
        <w:t>2.</w:t>
        <w:tab/>
        <w:t>September 30, 1999 - Studies by State Expert concluded.</w:t>
      </w:r>
    </w:p>
    <w:p>
      <w:pPr>
        <w:pStyle w:val="Normal"/>
        <w:rPr/>
      </w:pPr>
      <w:r>
        <w:rPr/>
      </w:r>
    </w:p>
    <w:p>
      <w:pPr>
        <w:pStyle w:val="Normal"/>
        <w:rPr/>
      </w:pPr>
      <w:r>
        <w:rPr/>
        <w:tab/>
        <w:t>3.</w:t>
        <w:tab/>
        <w:t>October 11, 1999 - 30 km reroute recommended by State.</w:t>
      </w:r>
    </w:p>
    <w:p>
      <w:pPr>
        <w:pStyle w:val="Normal"/>
        <w:rPr/>
      </w:pPr>
      <w:r>
        <w:rPr/>
      </w:r>
    </w:p>
    <w:p>
      <w:pPr>
        <w:pStyle w:val="Normal"/>
        <w:rPr/>
      </w:pPr>
      <w:r>
        <w:rPr/>
        <w:tab/>
        <w:t>4.</w:t>
        <w:tab/>
        <w:t>November 5, 1999 - new route accepted.</w:t>
      </w:r>
    </w:p>
    <w:p>
      <w:pPr>
        <w:pStyle w:val="Normal"/>
        <w:rPr/>
      </w:pPr>
      <w:r>
        <w:rPr/>
      </w:r>
    </w:p>
    <w:p>
      <w:pPr>
        <w:pStyle w:val="Normal"/>
        <w:rPr/>
      </w:pPr>
      <w:r>
        <w:rPr/>
        <w:tab/>
        <w:t>5.</w:t>
        <w:tab/>
        <w:t>December 6, 1999 - FEMA approves new route.</w:t>
      </w:r>
    </w:p>
    <w:p>
      <w:pPr>
        <w:pStyle w:val="Normal"/>
        <w:rPr/>
      </w:pPr>
      <w:r>
        <w:rPr/>
      </w:r>
    </w:p>
    <w:p>
      <w:pPr>
        <w:pStyle w:val="Normal"/>
        <w:rPr/>
      </w:pPr>
      <w:r>
        <w:rPr/>
        <w:tab/>
        <w:t>6.</w:t>
        <w:tab/>
        <w:t>February 2, 1000 - IBAMA approves new route.</w:t>
      </w:r>
    </w:p>
    <w:p>
      <w:pPr>
        <w:pStyle w:val="Normal"/>
        <w:rPr/>
      </w:pPr>
      <w:r>
        <w:rPr/>
      </w:r>
    </w:p>
    <w:p>
      <w:pPr>
        <w:pStyle w:val="Normal"/>
        <w:ind w:hanging="720" w:start="1440" w:end="0"/>
        <w:rPr/>
      </w:pPr>
      <w:r>
        <w:rPr/>
        <w:t>7.</w:t>
        <w:tab/>
        <w:t>April 10, 2000 - State presents Terms of Conduct proposal with economic and construction conditions.</w:t>
      </w:r>
    </w:p>
    <w:p>
      <w:pPr>
        <w:pStyle w:val="Normal"/>
        <w:rPr/>
      </w:pPr>
      <w:r>
        <w:rPr/>
        <w:tab/>
      </w:r>
    </w:p>
    <w:p>
      <w:pPr>
        <w:pStyle w:val="Normal"/>
        <w:rPr/>
      </w:pPr>
      <w:r>
        <w:rPr/>
        <w:tab/>
        <w:t>8.</w:t>
        <w:tab/>
        <w:t>April 26, 2000 - GasMat present counterproposal.</w:t>
      </w:r>
    </w:p>
    <w:p>
      <w:pPr>
        <w:pStyle w:val="Normal"/>
        <w:rPr/>
      </w:pPr>
      <w:r>
        <w:rPr/>
      </w:r>
    </w:p>
    <w:p>
      <w:pPr>
        <w:pStyle w:val="Normal"/>
        <w:ind w:hanging="720" w:start="1440" w:end="0"/>
        <w:rPr/>
      </w:pPr>
      <w:r>
        <w:rPr/>
        <w:t>9.</w:t>
        <w:tab/>
        <w:t>May 15, 2000 - GasMat informs State that if recommendation is not lifted will begin work under present licenses.</w:t>
      </w:r>
    </w:p>
    <w:p>
      <w:pPr>
        <w:pStyle w:val="Normal"/>
        <w:ind w:hanging="720" w:start="1440" w:end="0"/>
        <w:rPr/>
      </w:pPr>
      <w:r>
        <w:rPr/>
      </w:r>
    </w:p>
    <w:p>
      <w:pPr>
        <w:pStyle w:val="Normal"/>
        <w:ind w:hanging="720" w:start="1440" w:end="0"/>
        <w:rPr/>
      </w:pPr>
      <w:r>
        <w:rPr/>
        <w:t>10.</w:t>
        <w:tab/>
        <w:t>May 25, 2000 - State lifts suspension recommendation with specific construction and monitoring conditions.</w:t>
      </w:r>
    </w:p>
    <w:p>
      <w:pPr>
        <w:pStyle w:val="Normal"/>
        <w:ind w:hanging="720" w:start="1440" w:end="0"/>
        <w:rPr/>
      </w:pPr>
      <w:r>
        <w:rPr/>
      </w:r>
    </w:p>
    <w:p>
      <w:pPr>
        <w:pStyle w:val="Normal"/>
        <w:ind w:start="720" w:end="0"/>
        <w:rPr/>
      </w:pPr>
      <w:r>
        <w:rPr/>
        <w:t>GasMat is still awaiting the State’s response to counterproposal of Terms of Conduct.  This delay is normal, as the terms are only economic and not construction related, and these terms can be finally determined and accepted even after the construction is finished because they refer to compensation for environmental impact.</w:t>
      </w:r>
    </w:p>
    <w:p>
      <w:pPr>
        <w:pStyle w:val="Normal"/>
        <w:ind w:hanging="720" w:start="720" w:end="0"/>
        <w:rPr/>
      </w:pPr>
      <w:r>
        <w:rPr/>
        <w:tab/>
      </w:r>
    </w:p>
    <w:p>
      <w:pPr>
        <w:pStyle w:val="Normal"/>
        <w:ind w:hanging="720" w:start="1440" w:end="0"/>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r>
    </w:p>
    <w:p>
      <w:pPr>
        <w:pStyle w:val="Normal"/>
        <w:rPr>
          <w:u w:val="single"/>
        </w:rPr>
      </w:pPr>
      <w:r>
        <w:rPr>
          <w:u w:val="single"/>
        </w:rPr>
      </w:r>
      <w:r>
        <w:br w:type="page"/>
      </w:r>
    </w:p>
    <w:p>
      <w:pPr>
        <w:pStyle w:val="Normal"/>
        <w:numPr>
          <w:ilvl w:val="0"/>
          <w:numId w:val="0"/>
        </w:numPr>
        <w:jc w:val="center"/>
        <w:outlineLvl w:val="0"/>
        <w:rPr>
          <w:b/>
        </w:rPr>
      </w:pPr>
      <w:r>
        <w:rPr>
          <w:b/>
        </w:rPr>
        <w:t>SCHEDULE 5.14</w:t>
      </w:r>
    </w:p>
    <w:p>
      <w:pPr>
        <w:pStyle w:val="Normal"/>
        <w:jc w:val="center"/>
        <w:rPr>
          <w:b/>
        </w:rPr>
      </w:pPr>
      <w:r>
        <w:rPr>
          <w:b/>
        </w:rPr>
      </w:r>
    </w:p>
    <w:p>
      <w:pPr>
        <w:pStyle w:val="Normal"/>
        <w:numPr>
          <w:ilvl w:val="0"/>
          <w:numId w:val="0"/>
        </w:numPr>
        <w:jc w:val="center"/>
        <w:outlineLvl w:val="0"/>
        <w:rPr>
          <w:b/>
        </w:rPr>
      </w:pPr>
      <w:r>
        <w:rPr>
          <w:b/>
        </w:rPr>
        <w:t>MATERIAL ADVERSE CHANGES</w:t>
      </w:r>
    </w:p>
    <w:p>
      <w:pPr>
        <w:pStyle w:val="Normal"/>
        <w:numPr>
          <w:ilvl w:val="0"/>
          <w:numId w:val="0"/>
        </w:numPr>
        <w:jc w:val="center"/>
        <w:outlineLvl w:val="0"/>
        <w:rPr>
          <w:b/>
        </w:rPr>
      </w:pPr>
      <w:r>
        <w:rPr>
          <w:b/>
        </w:rPr>
      </w:r>
    </w:p>
    <w:p>
      <w:pPr>
        <w:pStyle w:val="Normal"/>
        <w:numPr>
          <w:ilvl w:val="0"/>
          <w:numId w:val="0"/>
        </w:numPr>
        <w:jc w:val="start"/>
        <w:outlineLvl w:val="0"/>
        <w:rPr/>
      </w:pPr>
      <w:r>
        <w:rPr/>
        <w:tab/>
        <w:t>Since December 31, 1999, the following events have occurred and may constitute or have a Material Adverse Effect on the Businesses:</w:t>
      </w:r>
    </w:p>
    <w:p>
      <w:pPr>
        <w:pStyle w:val="Normal"/>
        <w:numPr>
          <w:ilvl w:val="0"/>
          <w:numId w:val="0"/>
        </w:numPr>
        <w:jc w:val="start"/>
        <w:outlineLvl w:val="0"/>
        <w:rPr/>
      </w:pPr>
      <w:r>
        <w:rPr/>
      </w:r>
    </w:p>
    <w:p>
      <w:pPr>
        <w:pStyle w:val="Normal"/>
        <w:numPr>
          <w:ilvl w:val="0"/>
          <w:numId w:val="0"/>
        </w:numPr>
        <w:jc w:val="start"/>
        <w:outlineLvl w:val="0"/>
        <w:rPr/>
      </w:pPr>
      <w:r>
        <w:rPr/>
        <w:t>[I. See Schedule 5.14 to EPE for Change Orders that may affect GasMat.]</w:t>
      </w:r>
    </w:p>
    <w:p>
      <w:pPr>
        <w:pStyle w:val="Normal"/>
        <w:numPr>
          <w:ilvl w:val="0"/>
          <w:numId w:val="0"/>
        </w:numPr>
        <w:jc w:val="start"/>
        <w:outlineLvl w:val="0"/>
        <w:rPr/>
      </w:pPr>
      <w:r>
        <w:rPr/>
      </w:r>
    </w:p>
    <w:p>
      <w:pPr>
        <w:pStyle w:val="Normal"/>
        <w:rPr>
          <w:u w:val="single"/>
        </w:rPr>
      </w:pPr>
      <w:r>
        <w:rPr/>
        <w:t>II.</w:t>
        <w:tab/>
        <w:t>Delay of pipeline construction due to rerouting to prevent potential environmental harm.  The following summary of the Inquiry initiated by the Brazilian federal attorney general for the State of Mato Grosso due to environmental impact of pipeline construction in the Cáceres ridges region:</w:t>
      </w:r>
    </w:p>
    <w:p>
      <w:pPr>
        <w:pStyle w:val="Normal"/>
        <w:rPr>
          <w:u w:val="single"/>
        </w:rPr>
      </w:pPr>
      <w:r>
        <w:rPr>
          <w:u w:val="single"/>
        </w:rPr>
      </w:r>
    </w:p>
    <w:p>
      <w:pPr>
        <w:pStyle w:val="Normal"/>
        <w:ind w:hanging="720" w:start="1440" w:end="0"/>
        <w:rPr/>
      </w:pPr>
      <w:r>
        <w:rPr/>
        <w:t>1.</w:t>
        <w:tab/>
        <w:t>August 30, 1999 - Federal Attorney for State of Mato Grosso recommended suspension of works in ridges region pending studies on environmental impact particularly regarding carst.</w:t>
      </w:r>
    </w:p>
    <w:p>
      <w:pPr>
        <w:pStyle w:val="Normal"/>
        <w:rPr/>
      </w:pPr>
      <w:r>
        <w:rPr/>
      </w:r>
    </w:p>
    <w:p>
      <w:pPr>
        <w:pStyle w:val="Normal"/>
        <w:rPr/>
      </w:pPr>
      <w:r>
        <w:rPr/>
        <w:tab/>
        <w:t>2.</w:t>
        <w:tab/>
        <w:t>September 30, 1999 - Studies by State Expert concluded.</w:t>
      </w:r>
    </w:p>
    <w:p>
      <w:pPr>
        <w:pStyle w:val="Normal"/>
        <w:rPr/>
      </w:pPr>
      <w:r>
        <w:rPr/>
      </w:r>
    </w:p>
    <w:p>
      <w:pPr>
        <w:pStyle w:val="Normal"/>
        <w:rPr/>
      </w:pPr>
      <w:r>
        <w:rPr/>
        <w:tab/>
        <w:t>3.</w:t>
        <w:tab/>
        <w:t>October 11, 1999 - 30 km reroute recommended by State.</w:t>
      </w:r>
    </w:p>
    <w:p>
      <w:pPr>
        <w:pStyle w:val="Normal"/>
        <w:rPr/>
      </w:pPr>
      <w:r>
        <w:rPr/>
      </w:r>
    </w:p>
    <w:p>
      <w:pPr>
        <w:pStyle w:val="Normal"/>
        <w:rPr/>
      </w:pPr>
      <w:r>
        <w:rPr/>
        <w:tab/>
        <w:t>4.</w:t>
        <w:tab/>
        <w:t>November 5, 1999 - new route accepted.</w:t>
      </w:r>
    </w:p>
    <w:p>
      <w:pPr>
        <w:pStyle w:val="Normal"/>
        <w:rPr/>
      </w:pPr>
      <w:r>
        <w:rPr/>
      </w:r>
    </w:p>
    <w:p>
      <w:pPr>
        <w:pStyle w:val="Normal"/>
        <w:rPr/>
      </w:pPr>
      <w:r>
        <w:rPr/>
        <w:tab/>
        <w:t>5.</w:t>
        <w:tab/>
        <w:t>December 6, 1999 - FEMA approves new route.</w:t>
      </w:r>
    </w:p>
    <w:p>
      <w:pPr>
        <w:pStyle w:val="Normal"/>
        <w:rPr/>
      </w:pPr>
      <w:r>
        <w:rPr/>
      </w:r>
    </w:p>
    <w:p>
      <w:pPr>
        <w:pStyle w:val="Normal"/>
        <w:rPr/>
      </w:pPr>
      <w:r>
        <w:rPr/>
        <w:tab/>
        <w:t>6.</w:t>
        <w:tab/>
        <w:t>February 2, 1000 - IBAMA approves new route.</w:t>
      </w:r>
    </w:p>
    <w:p>
      <w:pPr>
        <w:pStyle w:val="Normal"/>
        <w:rPr/>
      </w:pPr>
      <w:r>
        <w:rPr/>
      </w:r>
    </w:p>
    <w:p>
      <w:pPr>
        <w:pStyle w:val="Normal"/>
        <w:ind w:hanging="720" w:start="1440" w:end="0"/>
        <w:rPr/>
      </w:pPr>
      <w:r>
        <w:rPr/>
        <w:t>7.</w:t>
        <w:tab/>
        <w:t>April 10, 2000 - State presents Terms of Conduct proposal with economic and construction conditions.</w:t>
      </w:r>
    </w:p>
    <w:p>
      <w:pPr>
        <w:pStyle w:val="Normal"/>
        <w:rPr/>
      </w:pPr>
      <w:r>
        <w:rPr/>
        <w:tab/>
      </w:r>
    </w:p>
    <w:p>
      <w:pPr>
        <w:pStyle w:val="Normal"/>
        <w:rPr/>
      </w:pPr>
      <w:r>
        <w:rPr/>
        <w:tab/>
        <w:t>8.</w:t>
        <w:tab/>
        <w:t>April 26, 2000 - GasMat present counterproposal.</w:t>
      </w:r>
    </w:p>
    <w:p>
      <w:pPr>
        <w:pStyle w:val="Normal"/>
        <w:rPr/>
      </w:pPr>
      <w:r>
        <w:rPr/>
      </w:r>
    </w:p>
    <w:p>
      <w:pPr>
        <w:pStyle w:val="Normal"/>
        <w:ind w:hanging="720" w:start="1440" w:end="0"/>
        <w:rPr/>
      </w:pPr>
      <w:r>
        <w:rPr/>
        <w:t>9.</w:t>
        <w:tab/>
        <w:t>May 15, 2000 - GasMat informs State that if recommendation is not lifted will begin work under present licenses.</w:t>
      </w:r>
    </w:p>
    <w:p>
      <w:pPr>
        <w:pStyle w:val="Normal"/>
        <w:ind w:hanging="720" w:start="1440" w:end="0"/>
        <w:rPr/>
      </w:pPr>
      <w:r>
        <w:rPr/>
      </w:r>
    </w:p>
    <w:p>
      <w:pPr>
        <w:pStyle w:val="Normal"/>
        <w:ind w:hanging="720" w:start="1440" w:end="0"/>
        <w:rPr/>
      </w:pPr>
      <w:r>
        <w:rPr/>
        <w:t>10.</w:t>
        <w:tab/>
        <w:t>May 25, 2000 - State lifts suspension recommendation with specific construction and monitoring conditions.</w:t>
      </w:r>
    </w:p>
    <w:p>
      <w:pPr>
        <w:pStyle w:val="Normal"/>
        <w:ind w:hanging="720" w:start="1440" w:end="0"/>
        <w:rPr/>
      </w:pPr>
      <w:r>
        <w:rPr/>
      </w:r>
    </w:p>
    <w:p>
      <w:pPr>
        <w:pStyle w:val="Normal"/>
        <w:ind w:start="720" w:end="0"/>
        <w:rPr/>
      </w:pPr>
      <w:r>
        <w:rPr/>
        <w:t>GasMat is still awaiting the State’s response to counterproposal of Terms of Conduct.  This delay is normal, as the terms are only economic and not construction related, and these terms can be finally determined and accepted even after the construction is finished because they refer to compensation for environmental impact.</w:t>
      </w:r>
    </w:p>
    <w:p>
      <w:pPr>
        <w:pStyle w:val="Normal"/>
        <w:ind w:hanging="720" w:start="720" w:end="0"/>
        <w:rPr/>
      </w:pPr>
      <w:r>
        <w:rPr/>
        <w:tab/>
      </w:r>
    </w:p>
    <w:p>
      <w:pPr>
        <w:pStyle w:val="Normal"/>
        <w:numPr>
          <w:ilvl w:val="0"/>
          <w:numId w:val="0"/>
        </w:numPr>
        <w:jc w:val="start"/>
        <w:outlineLvl w:val="0"/>
        <w:rPr/>
      </w:pPr>
      <w:r>
        <w:rPr/>
        <w:t>III.</w:t>
        <w:tab/>
        <w:t xml:space="preserve">See Schedule 7.02(b) for actions taken since December 31, 1999. </w:t>
      </w:r>
      <w:r>
        <w:br w:type="page"/>
      </w:r>
    </w:p>
    <w:p>
      <w:pPr>
        <w:pStyle w:val="Normal"/>
        <w:numPr>
          <w:ilvl w:val="0"/>
          <w:numId w:val="0"/>
        </w:numPr>
        <w:jc w:val="start"/>
        <w:outlineLvl w:val="0"/>
        <w:rPr>
          <w:b/>
        </w:rPr>
      </w:pPr>
      <w:r>
        <w:rPr>
          <w:b/>
        </w:rPr>
        <w:t>SCHEDULE 7.02(b)</w:t>
      </w:r>
    </w:p>
    <w:p>
      <w:pPr>
        <w:pStyle w:val="Normal"/>
        <w:numPr>
          <w:ilvl w:val="0"/>
          <w:numId w:val="0"/>
        </w:numPr>
        <w:jc w:val="start"/>
        <w:outlineLvl w:val="0"/>
        <w:rPr>
          <w:b/>
        </w:rPr>
      </w:pPr>
      <w:r>
        <w:rPr>
          <w:b/>
        </w:rPr>
      </w:r>
    </w:p>
    <w:p>
      <w:pPr>
        <w:pStyle w:val="Normal"/>
        <w:numPr>
          <w:ilvl w:val="0"/>
          <w:numId w:val="0"/>
        </w:numPr>
        <w:jc w:val="start"/>
        <w:outlineLvl w:val="0"/>
        <w:rPr/>
      </w:pPr>
      <w:r>
        <w:rPr>
          <w:b/>
        </w:rPr>
        <w:tab/>
      </w:r>
      <w:r>
        <w:rPr/>
        <w:t>During the period from December 31, 1999 to the date of this Agreement, the following actions have been taken:</w:t>
      </w:r>
    </w:p>
    <w:p>
      <w:pPr>
        <w:pStyle w:val="Normal"/>
        <w:numPr>
          <w:ilvl w:val="0"/>
          <w:numId w:val="0"/>
        </w:numPr>
        <w:jc w:val="start"/>
        <w:outlineLvl w:val="0"/>
        <w:rPr/>
      </w:pPr>
      <w:r>
        <w:rPr/>
      </w:r>
    </w:p>
    <w:p>
      <w:pPr>
        <w:pStyle w:val="Normal"/>
        <w:numPr>
          <w:ilvl w:val="0"/>
          <w:numId w:val="0"/>
        </w:numPr>
        <w:ind w:hanging="720" w:start="1440" w:end="0"/>
        <w:jc w:val="start"/>
        <w:outlineLvl w:val="0"/>
        <w:rPr/>
      </w:pPr>
      <w:r>
        <w:rPr/>
        <w:t>1.</w:t>
        <w:tab/>
        <w:t xml:space="preserve">Capital increases of GasMat have been effected in connection with making cash calls to fund construction of the pipeline and power plant. </w:t>
      </w:r>
    </w:p>
    <w:p>
      <w:pPr>
        <w:pStyle w:val="Normal"/>
        <w:numPr>
          <w:ilvl w:val="0"/>
          <w:numId w:val="0"/>
        </w:numPr>
        <w:jc w:val="start"/>
        <w:outlineLvl w:val="0"/>
        <w:rPr/>
      </w:pPr>
      <w:r>
        <w:rPr/>
      </w:r>
    </w:p>
    <w:p>
      <w:pPr>
        <w:pStyle w:val="Normal"/>
        <w:numPr>
          <w:ilvl w:val="0"/>
          <w:numId w:val="0"/>
        </w:numPr>
        <w:ind w:hanging="720" w:start="1440" w:end="0"/>
        <w:jc w:val="start"/>
        <w:outlineLvl w:val="0"/>
        <w:rPr/>
      </w:pPr>
      <w:r>
        <w:rPr/>
        <w:t>2.</w:t>
        <w:tab/>
        <w:t xml:space="preserve">Liens on the stock of GasMat, GasMat Holdings, GasMat Investments and all the assets of such companies have been granted to the lenders in connection with the financing pursuant to the Common Terms Agreement and associated financing documents. </w:t>
      </w:r>
    </w:p>
    <w:p>
      <w:pPr>
        <w:pStyle w:val="Normal"/>
        <w:numPr>
          <w:ilvl w:val="0"/>
          <w:numId w:val="0"/>
        </w:numPr>
        <w:jc w:val="start"/>
        <w:outlineLvl w:val="0"/>
        <w:rPr/>
      </w:pPr>
      <w:r>
        <w:rPr/>
      </w:r>
    </w:p>
    <w:p>
      <w:pPr>
        <w:pStyle w:val="Normal"/>
        <w:numPr>
          <w:ilvl w:val="0"/>
          <w:numId w:val="0"/>
        </w:numPr>
        <w:ind w:hanging="720" w:start="1440" w:end="0"/>
        <w:jc w:val="start"/>
        <w:outlineLvl w:val="0"/>
        <w:rPr/>
      </w:pPr>
      <w:r>
        <w:rPr/>
        <w:t>3.</w:t>
        <w:tab/>
        <w:t xml:space="preserve">Construction of the Cuiaba power plant and pipeline pursuant to the EPC Contract. </w:t>
      </w:r>
    </w:p>
    <w:p>
      <w:pPr>
        <w:pStyle w:val="Normal"/>
        <w:numPr>
          <w:ilvl w:val="0"/>
          <w:numId w:val="0"/>
        </w:numPr>
        <w:jc w:val="start"/>
        <w:outlineLvl w:val="0"/>
        <w:rPr/>
      </w:pPr>
      <w:r>
        <w:rPr/>
      </w:r>
    </w:p>
    <w:p>
      <w:pPr>
        <w:pStyle w:val="Normal"/>
        <w:numPr>
          <w:ilvl w:val="0"/>
          <w:numId w:val="0"/>
        </w:numPr>
        <w:ind w:hanging="720" w:start="1440" w:end="0"/>
        <w:jc w:val="start"/>
        <w:outlineLvl w:val="0"/>
        <w:rPr/>
      </w:pPr>
      <w:r>
        <w:rPr/>
        <w:t>4.</w:t>
        <w:tab/>
        <w:t xml:space="preserve">All assets are pledged to the lenders in accordance with the Common Terms Agreement. </w:t>
      </w:r>
    </w:p>
    <w:p>
      <w:pPr>
        <w:pStyle w:val="Normal"/>
        <w:numPr>
          <w:ilvl w:val="0"/>
          <w:numId w:val="0"/>
        </w:numPr>
        <w:jc w:val="start"/>
        <w:outlineLvl w:val="0"/>
        <w:rPr/>
      </w:pPr>
      <w:r>
        <w:rPr/>
      </w:r>
    </w:p>
    <w:p>
      <w:pPr>
        <w:pStyle w:val="Normal"/>
        <w:numPr>
          <w:ilvl w:val="0"/>
          <w:numId w:val="0"/>
        </w:numPr>
        <w:ind w:hanging="720" w:start="1440" w:end="0"/>
        <w:jc w:val="start"/>
        <w:outlineLvl w:val="0"/>
        <w:rPr/>
      </w:pPr>
      <w:r>
        <w:rPr/>
        <w:t>5.</w:t>
        <w:tab/>
        <w:t>[Confirm--GasMat has incurred obligations for borrowed money or purchase money indebtedness, whether or not evidenced by a note, bond or debenture, as contemplated by the Common Terms Agreement.]</w:t>
      </w:r>
    </w:p>
    <w:p>
      <w:pPr>
        <w:pStyle w:val="Normal"/>
        <w:numPr>
          <w:ilvl w:val="0"/>
          <w:numId w:val="0"/>
        </w:numPr>
        <w:jc w:val="start"/>
        <w:outlineLvl w:val="0"/>
        <w:rPr/>
      </w:pPr>
      <w:r>
        <w:rPr/>
      </w:r>
    </w:p>
    <w:p>
      <w:pPr>
        <w:pStyle w:val="Normal"/>
        <w:numPr>
          <w:ilvl w:val="0"/>
          <w:numId w:val="0"/>
        </w:numPr>
        <w:ind w:hanging="720" w:start="1440" w:end="0"/>
        <w:jc w:val="start"/>
        <w:outlineLvl w:val="0"/>
        <w:rPr/>
      </w:pPr>
      <w:r>
        <w:rPr/>
        <w:t>6.</w:t>
        <w:tab/>
        <w:t>Certain subordinated debt of GasMat held by the sponsors will be prepaid with a portion of the proceeds of the senior debt financing in accordance with the Common Terms Agreement.</w:t>
      </w:r>
    </w:p>
    <w:p>
      <w:pPr>
        <w:pStyle w:val="Normal"/>
        <w:numPr>
          <w:ilvl w:val="0"/>
          <w:numId w:val="0"/>
        </w:numPr>
        <w:ind w:hanging="720" w:start="1440" w:end="0"/>
        <w:jc w:val="start"/>
        <w:outlineLvl w:val="0"/>
        <w:rPr/>
      </w:pPr>
      <w:r>
        <w:rPr/>
      </w:r>
    </w:p>
    <w:p>
      <w:pPr>
        <w:pStyle w:val="Normal"/>
        <w:numPr>
          <w:ilvl w:val="0"/>
          <w:numId w:val="0"/>
        </w:numPr>
        <w:ind w:hanging="720" w:start="1440" w:end="0"/>
        <w:jc w:val="start"/>
        <w:outlineLvl w:val="0"/>
        <w:rPr/>
      </w:pPr>
      <w:r>
        <w:rPr/>
        <w:t>7.</w:t>
        <w:tab/>
        <w:t>GasMat is in the process of amending article 21 and 22 of its articles of association.</w:t>
      </w:r>
    </w:p>
    <w:p>
      <w:pPr>
        <w:pStyle w:val="Normal"/>
        <w:numPr>
          <w:ilvl w:val="0"/>
          <w:numId w:val="0"/>
        </w:numPr>
        <w:ind w:hanging="720" w:start="1440" w:end="0"/>
        <w:jc w:val="start"/>
        <w:outlineLvl w:val="0"/>
        <w:rPr/>
      </w:pPr>
      <w:r>
        <w:rPr/>
      </w:r>
    </w:p>
    <w:p>
      <w:pPr>
        <w:pStyle w:val="Normal"/>
        <w:numPr>
          <w:ilvl w:val="0"/>
          <w:numId w:val="0"/>
        </w:numPr>
        <w:ind w:hanging="720" w:start="1440" w:end="0"/>
        <w:jc w:val="start"/>
        <w:outlineLvl w:val="0"/>
        <w:rPr/>
      </w:pPr>
      <w:r>
        <w:rPr/>
        <w:t>8.</w:t>
        <w:tab/>
        <w:t xml:space="preserve">GasMat Holdings Ltd. has amended its articles of association. </w:t>
      </w:r>
    </w:p>
    <w:p>
      <w:pPr>
        <w:pStyle w:val="Normal"/>
        <w:numPr>
          <w:ilvl w:val="0"/>
          <w:numId w:val="0"/>
        </w:numPr>
        <w:jc w:val="start"/>
        <w:outlineLvl w:val="0"/>
        <w:rPr/>
      </w:pPr>
      <w:r>
        <w:rPr/>
      </w:r>
    </w:p>
    <w:p>
      <w:pPr>
        <w:pStyle w:val="Normal"/>
        <w:numPr>
          <w:ilvl w:val="0"/>
          <w:numId w:val="0"/>
        </w:numPr>
        <w:jc w:val="start"/>
        <w:outlineLvl w:val="0"/>
        <w:rPr/>
      </w:pPr>
      <w:r>
        <w:rPr/>
      </w:r>
    </w:p>
    <w:p>
      <w:pPr>
        <w:pStyle w:val="Normal"/>
        <w:numPr>
          <w:ilvl w:val="0"/>
          <w:numId w:val="0"/>
        </w:numPr>
        <w:jc w:val="start"/>
        <w:outlineLvl w:val="0"/>
        <w:rPr>
          <w:b/>
        </w:rPr>
      </w:pPr>
      <w:r>
        <w:rPr>
          <w:b/>
        </w:rPr>
      </w:r>
    </w:p>
    <w:p>
      <w:pPr>
        <w:pStyle w:val="Normal"/>
        <w:numPr>
          <w:ilvl w:val="0"/>
          <w:numId w:val="0"/>
        </w:numPr>
        <w:jc w:val="start"/>
        <w:outlineLvl w:val="0"/>
        <w:rPr>
          <w:b/>
        </w:rPr>
      </w:pPr>
      <w:r>
        <w:rPr>
          <w:b/>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776"/>
          <w:pgNumType w:fmt="decimal"/>
          <w:formProt w:val="false"/>
          <w:titlePg/>
          <w:textDirection w:val="lrTb"/>
          <w:docGrid w:type="default" w:linePitch="360" w:charSpace="0"/>
        </w:sectPr>
        <w:pStyle w:val="Normal"/>
        <w:rPr>
          <w:b/>
        </w:rPr>
      </w:pPr>
      <w:r>
        <w:rPr>
          <w:b/>
        </w:rPr>
      </w:r>
    </w:p>
    <w:p>
      <w:pPr>
        <w:pStyle w:val="Normal"/>
        <w:numPr>
          <w:ilvl w:val="0"/>
          <w:numId w:val="0"/>
        </w:numPr>
        <w:jc w:val="center"/>
        <w:outlineLvl w:val="0"/>
        <w:rPr>
          <w:b/>
        </w:rPr>
      </w:pPr>
      <w:r>
        <w:rPr>
          <w:b/>
        </w:rPr>
        <w:t>SCHEDULE 7.02(d)</w:t>
      </w:r>
    </w:p>
    <w:p>
      <w:pPr>
        <w:pStyle w:val="Normal"/>
        <w:jc w:val="center"/>
        <w:rPr>
          <w:b/>
        </w:rPr>
      </w:pPr>
      <w:r>
        <w:rPr>
          <w:b/>
        </w:rPr>
      </w:r>
    </w:p>
    <w:p>
      <w:pPr>
        <w:pStyle w:val="Normal"/>
        <w:numPr>
          <w:ilvl w:val="0"/>
          <w:numId w:val="0"/>
        </w:numPr>
        <w:jc w:val="center"/>
        <w:outlineLvl w:val="0"/>
        <w:rPr>
          <w:b/>
        </w:rPr>
      </w:pPr>
      <w:r>
        <w:rPr>
          <w:b/>
        </w:rPr>
        <w:t>DEVELOPMENT BUDGETS</w:t>
      </w:r>
    </w:p>
    <w:p>
      <w:pPr>
        <w:pStyle w:val="Normal"/>
        <w:numPr>
          <w:ilvl w:val="0"/>
          <w:numId w:val="0"/>
        </w:numPr>
        <w:jc w:val="center"/>
        <w:outlineLvl w:val="0"/>
        <w:rPr>
          <w:b/>
        </w:rPr>
      </w:pPr>
      <w:r>
        <w:rPr>
          <w:b/>
        </w:rPr>
      </w:r>
    </w:p>
    <w:tbl>
      <w:tblPr>
        <w:tblW w:w="14823" w:type="dxa"/>
        <w:jc w:val="start"/>
        <w:tblInd w:w="-33" w:type="dxa"/>
        <w:tblLayout w:type="fixed"/>
        <w:tblCellMar>
          <w:top w:w="0" w:type="dxa"/>
          <w:start w:w="30" w:type="dxa"/>
          <w:bottom w:w="0" w:type="dxa"/>
          <w:end w:w="30" w:type="dxa"/>
        </w:tblCellMar>
      </w:tblPr>
      <w:tblGrid>
        <w:gridCol w:w="33"/>
        <w:gridCol w:w="2438"/>
        <w:gridCol w:w="240"/>
        <w:gridCol w:w="232"/>
        <w:gridCol w:w="8"/>
        <w:gridCol w:w="489"/>
        <w:gridCol w:w="8"/>
        <w:gridCol w:w="448"/>
        <w:gridCol w:w="8"/>
        <w:gridCol w:w="448"/>
        <w:gridCol w:w="8"/>
        <w:gridCol w:w="429"/>
        <w:gridCol w:w="8"/>
        <w:gridCol w:w="455"/>
        <w:gridCol w:w="8"/>
        <w:gridCol w:w="455"/>
        <w:gridCol w:w="8"/>
        <w:gridCol w:w="508"/>
        <w:gridCol w:w="8"/>
        <w:gridCol w:w="456"/>
        <w:gridCol w:w="8"/>
        <w:gridCol w:w="455"/>
        <w:gridCol w:w="8"/>
        <w:gridCol w:w="455"/>
        <w:gridCol w:w="8"/>
        <w:gridCol w:w="455"/>
        <w:gridCol w:w="8"/>
        <w:gridCol w:w="455"/>
        <w:gridCol w:w="8"/>
        <w:gridCol w:w="456"/>
        <w:gridCol w:w="8"/>
        <w:gridCol w:w="455"/>
        <w:gridCol w:w="8"/>
        <w:gridCol w:w="455"/>
        <w:gridCol w:w="8"/>
        <w:gridCol w:w="455"/>
        <w:gridCol w:w="8"/>
        <w:gridCol w:w="357"/>
        <w:gridCol w:w="178"/>
        <w:gridCol w:w="247"/>
        <w:gridCol w:w="178"/>
        <w:gridCol w:w="247"/>
        <w:gridCol w:w="178"/>
        <w:gridCol w:w="386"/>
        <w:gridCol w:w="178"/>
        <w:gridCol w:w="285"/>
        <w:gridCol w:w="178"/>
        <w:gridCol w:w="285"/>
        <w:gridCol w:w="178"/>
        <w:gridCol w:w="460"/>
        <w:gridCol w:w="4"/>
        <w:gridCol w:w="86"/>
        <w:gridCol w:w="14"/>
        <w:gridCol w:w="617"/>
        <w:gridCol w:w="263"/>
        <w:gridCol w:w="6"/>
        <w:gridCol w:w="90"/>
      </w:tblGrid>
      <w:tr>
        <w:trPr>
          <w:trHeight w:val="110" w:hRule="atLeast"/>
        </w:trPr>
        <w:tc>
          <w:tcPr>
            <w:tcW w:w="2943" w:type="dxa"/>
            <w:gridSpan w:val="4"/>
            <w:tcBorders/>
          </w:tcPr>
          <w:p>
            <w:pPr>
              <w:pStyle w:val="Normal"/>
              <w:snapToGrid w:val="false"/>
              <w:ind w:start="60" w:end="0"/>
              <w:jc w:val="end"/>
              <w:rPr>
                <w:rFonts w:ascii="Arial" w:hAnsi="Arial" w:cs="Arial"/>
                <w:color w:val="000000"/>
                <w:sz w:val="16"/>
                <w:lang w:eastAsia="en-US"/>
              </w:rPr>
            </w:pPr>
            <w:r>
              <w:rPr>
                <w:rFonts w:cs="Arial" w:ascii="Arial" w:hAnsi="Arial"/>
                <w:color w:val="000000"/>
                <w:sz w:val="16"/>
                <w:lang w:eastAsia="en-US"/>
              </w:rPr>
            </w:r>
          </w:p>
        </w:tc>
        <w:tc>
          <w:tcPr>
            <w:tcW w:w="953" w:type="dxa"/>
            <w:gridSpan w:val="4"/>
            <w:tcBorders/>
          </w:tcPr>
          <w:p>
            <w:pPr>
              <w:pStyle w:val="Normal"/>
              <w:jc w:val="center"/>
              <w:rPr>
                <w:rFonts w:ascii="Arial" w:hAnsi="Arial" w:cs="Arial"/>
                <w:b/>
                <w:color w:val="000000"/>
                <w:sz w:val="16"/>
                <w:lang w:eastAsia="en-US"/>
              </w:rPr>
            </w:pPr>
            <w:r>
              <w:rPr>
                <w:rFonts w:cs="Arial" w:ascii="Arial" w:hAnsi="Arial"/>
                <w:b/>
                <w:color w:val="000000"/>
                <w:sz w:val="16"/>
                <w:lang w:eastAsia="en-US"/>
              </w:rPr>
              <w:t>Actuals</w:t>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56"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37"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516"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4"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4"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5"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25"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25"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564"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Actuals</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Forecast</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Forecast</w:t>
            </w:r>
          </w:p>
        </w:tc>
        <w:tc>
          <w:tcPr>
            <w:tcW w:w="728" w:type="dxa"/>
            <w:gridSpan w:val="4"/>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w:t>
            </w:r>
          </w:p>
          <w:p>
            <w:pPr>
              <w:pStyle w:val="Normal"/>
              <w:jc w:val="center"/>
              <w:rPr>
                <w:rFonts w:ascii="Arial" w:hAnsi="Arial" w:cs="Arial"/>
                <w:b/>
                <w:color w:val="000000"/>
                <w:sz w:val="16"/>
                <w:lang w:eastAsia="en-US"/>
              </w:rPr>
            </w:pPr>
            <w:r>
              <w:rPr>
                <w:rFonts w:cs="Arial" w:ascii="Arial" w:hAnsi="Arial"/>
                <w:b/>
                <w:color w:val="000000"/>
                <w:sz w:val="16"/>
                <w:lang w:eastAsia="en-US"/>
              </w:rPr>
              <w:t>cast</w:t>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900" w:type="dxa"/>
            <w:gridSpan w:val="4"/>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w:t>
            </w:r>
          </w:p>
          <w:p>
            <w:pPr>
              <w:pStyle w:val="Normal"/>
              <w:jc w:val="center"/>
              <w:rPr>
                <w:rFonts w:ascii="Arial" w:hAnsi="Arial" w:cs="Arial"/>
                <w:b/>
                <w:color w:val="000000"/>
                <w:sz w:val="16"/>
                <w:lang w:eastAsia="en-US"/>
              </w:rPr>
            </w:pPr>
            <w:r>
              <w:rPr>
                <w:rFonts w:cs="Arial" w:ascii="Arial" w:hAnsi="Arial"/>
                <w:b/>
                <w:color w:val="000000"/>
                <w:sz w:val="16"/>
                <w:lang w:eastAsia="en-US"/>
              </w:rPr>
              <w:t>cast</w:t>
            </w:r>
          </w:p>
        </w:tc>
        <w:tc>
          <w:tcPr>
            <w:tcW w:w="0" w:type="dxa"/>
            <w:vMerge w:val="continue"/>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90" w:type="dxa"/>
            <w:tcBorders/>
            <w:tcMar>
              <w:start w:w="0" w:type="dxa"/>
              <w:end w:w="0" w:type="dxa"/>
            </w:tcMar>
          </w:tcPr>
          <w:p>
            <w:pPr>
              <w:pStyle w:val="Normal"/>
              <w:snapToGrid w:val="false"/>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2943" w:type="dxa"/>
            <w:gridSpan w:val="4"/>
            <w:tcBorders/>
          </w:tcPr>
          <w:p>
            <w:pPr>
              <w:pStyle w:val="Normal"/>
              <w:snapToGrid w:val="false"/>
              <w:ind w:start="60" w:end="0"/>
              <w:jc w:val="end"/>
              <w:rPr>
                <w:rFonts w:ascii="Arial" w:hAnsi="Arial" w:cs="Arial"/>
                <w:color w:val="000000"/>
                <w:sz w:val="16"/>
                <w:lang w:eastAsia="en-US"/>
              </w:rPr>
            </w:pPr>
            <w:r>
              <w:rPr>
                <w:rFonts w:cs="Arial" w:ascii="Arial" w:hAnsi="Arial"/>
                <w:color w:val="000000"/>
                <w:sz w:val="16"/>
                <w:lang w:eastAsia="en-US"/>
              </w:rPr>
            </w:r>
          </w:p>
        </w:tc>
        <w:tc>
          <w:tcPr>
            <w:tcW w:w="497"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12/31/98</w:t>
            </w:r>
          </w:p>
        </w:tc>
        <w:tc>
          <w:tcPr>
            <w:tcW w:w="456"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Jan-99</w:t>
            </w:r>
          </w:p>
        </w:tc>
        <w:tc>
          <w:tcPr>
            <w:tcW w:w="456"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Feb-99</w:t>
            </w:r>
          </w:p>
        </w:tc>
        <w:tc>
          <w:tcPr>
            <w:tcW w:w="437"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Mar-99</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Apr-99</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May-99</w:t>
            </w:r>
          </w:p>
        </w:tc>
        <w:tc>
          <w:tcPr>
            <w:tcW w:w="516"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Jun-99</w:t>
            </w:r>
          </w:p>
        </w:tc>
        <w:tc>
          <w:tcPr>
            <w:tcW w:w="464"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Jul-99</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Aug-99</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Sep-99</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Oct-99</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Nov-99</w:t>
            </w:r>
          </w:p>
        </w:tc>
        <w:tc>
          <w:tcPr>
            <w:tcW w:w="464"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Dec-99</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Jan-00</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Feb-00</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Mar-00</w:t>
            </w:r>
          </w:p>
        </w:tc>
        <w:tc>
          <w:tcPr>
            <w:tcW w:w="365"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Apr-00</w:t>
            </w:r>
          </w:p>
        </w:tc>
        <w:tc>
          <w:tcPr>
            <w:tcW w:w="425"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May-00</w:t>
            </w:r>
          </w:p>
        </w:tc>
        <w:tc>
          <w:tcPr>
            <w:tcW w:w="425"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Jun-00</w:t>
            </w:r>
          </w:p>
        </w:tc>
        <w:tc>
          <w:tcPr>
            <w:tcW w:w="564"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Jun-00</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Jul-00</w:t>
            </w:r>
          </w:p>
        </w:tc>
        <w:tc>
          <w:tcPr>
            <w:tcW w:w="46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Aug-00</w:t>
            </w:r>
          </w:p>
        </w:tc>
        <w:tc>
          <w:tcPr>
            <w:tcW w:w="638"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Sep-00</w:t>
            </w:r>
          </w:p>
        </w:tc>
        <w:tc>
          <w:tcPr>
            <w:tcW w:w="90"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94" w:type="dxa"/>
            <w:gridSpan w:val="3"/>
            <w:tcBorders/>
          </w:tcPr>
          <w:p>
            <w:pPr>
              <w:pStyle w:val="Normal"/>
              <w:ind w:end="-30"/>
              <w:jc w:val="center"/>
              <w:rPr>
                <w:rFonts w:ascii="Arial" w:hAnsi="Arial" w:cs="Arial"/>
                <w:b/>
                <w:color w:val="000000"/>
                <w:sz w:val="16"/>
                <w:lang w:eastAsia="en-US"/>
              </w:rPr>
            </w:pPr>
            <w:r>
              <w:rPr>
                <w:rFonts w:cs="Arial" w:ascii="Arial" w:hAnsi="Arial"/>
                <w:b/>
                <w:color w:val="000000"/>
                <w:sz w:val="16"/>
                <w:lang w:eastAsia="en-US"/>
              </w:rPr>
              <w:t>Sep-</w:t>
            </w:r>
          </w:p>
          <w:p>
            <w:pPr>
              <w:pStyle w:val="Normal"/>
              <w:ind w:end="-30"/>
              <w:jc w:val="center"/>
              <w:rPr>
                <w:rFonts w:ascii="Arial" w:hAnsi="Arial" w:cs="Arial"/>
                <w:b/>
                <w:color w:val="000000"/>
                <w:sz w:val="16"/>
                <w:lang w:eastAsia="en-US"/>
              </w:rPr>
            </w:pPr>
            <w:r>
              <w:rPr>
                <w:rFonts w:cs="Arial" w:ascii="Arial" w:hAnsi="Arial"/>
                <w:b/>
                <w:color w:val="000000"/>
                <w:sz w:val="16"/>
                <w:lang w:eastAsia="en-US"/>
              </w:rPr>
              <w:t>00</w:t>
            </w:r>
          </w:p>
        </w:tc>
        <w:tc>
          <w:tcPr>
            <w:tcW w:w="96" w:type="dxa"/>
            <w:gridSpan w:val="2"/>
            <w:tcBorders/>
            <w:tcMar>
              <w:start w:w="0" w:type="dxa"/>
              <w:end w:w="0" w:type="dxa"/>
            </w:tcMar>
          </w:tcPr>
          <w:p>
            <w:pPr>
              <w:pStyle w:val="Normal"/>
              <w:snapToGrid w:val="false"/>
              <w:rPr>
                <w:rFonts w:ascii="Arial" w:hAnsi="Arial" w:cs="Arial"/>
                <w:b/>
                <w:color w:val="000000"/>
                <w:sz w:val="16"/>
                <w:lang w:eastAsia="en-US"/>
              </w:rPr>
            </w:pPr>
            <w:r>
              <w:rPr>
                <w:rFonts w:cs="Arial" w:ascii="Arial" w:hAnsi="Arial"/>
                <w:b/>
                <w:color w:val="000000"/>
                <w:sz w:val="16"/>
                <w:lang w:eastAsia="en-US"/>
              </w:rPr>
            </w:r>
          </w:p>
        </w:tc>
      </w:tr>
      <w:tr>
        <w:trPr>
          <w:trHeight w:val="156" w:hRule="atLeast"/>
        </w:trPr>
        <w:tc>
          <w:tcPr>
            <w:tcW w:w="33" w:type="dxa"/>
            <w:tcBorders/>
            <w:tcMar>
              <w:start w:w="0" w:type="dxa"/>
              <w:end w:w="0" w:type="dxa"/>
            </w:tcMar>
          </w:tcPr>
          <w:p>
            <w:pPr>
              <w:pStyle w:val="TableContents"/>
              <w:rPr>
                <w:rFonts w:ascii="Arial" w:hAnsi="Arial" w:cs="Arial"/>
                <w:color w:val="000000"/>
                <w:sz w:val="16"/>
                <w:lang w:eastAsia="en-US"/>
              </w:rPr>
            </w:pPr>
            <w:r>
              <w:rPr>
                <w:rFonts w:cs="Arial" w:ascii="Arial" w:hAnsi="Arial"/>
                <w:color w:val="000000"/>
                <w:sz w:val="16"/>
                <w:lang w:eastAsia="en-US"/>
              </w:rPr>
            </w:r>
          </w:p>
        </w:tc>
        <w:tc>
          <w:tcPr>
            <w:tcW w:w="2438" w:type="dxa"/>
            <w:tcBorders/>
          </w:tcPr>
          <w:p>
            <w:pPr>
              <w:pStyle w:val="Normal"/>
              <w:rPr>
                <w:rFonts w:ascii="Arial" w:hAnsi="Arial" w:cs="Arial"/>
                <w:b/>
                <w:color w:val="000000"/>
                <w:sz w:val="16"/>
                <w:lang w:eastAsia="en-US"/>
              </w:rPr>
            </w:pPr>
            <w:r>
              <w:rPr>
                <w:rFonts w:cs="Arial" w:ascii="Arial" w:hAnsi="Arial"/>
                <w:b/>
                <w:color w:val="000000"/>
                <w:sz w:val="16"/>
                <w:lang w:eastAsia="en-US"/>
              </w:rPr>
              <w:t>GASMAT</w:t>
            </w:r>
          </w:p>
        </w:tc>
        <w:tc>
          <w:tcPr>
            <w:tcW w:w="24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40"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456" w:type="dxa"/>
            <w:gridSpan w:val="2"/>
            <w:tcBorders/>
          </w:tcPr>
          <w:p>
            <w:pPr>
              <w:pStyle w:val="Normal"/>
              <w:rPr>
                <w:rFonts w:ascii="Arial" w:hAnsi="Arial" w:eastAsia="Arial" w:cs="Arial"/>
                <w:color w:val="000000"/>
                <w:sz w:val="16"/>
                <w:lang w:eastAsia="en-US"/>
              </w:rPr>
            </w:pPr>
            <w:r>
              <w:rPr>
                <w:rFonts w:eastAsia="Arial" w:cs="Arial" w:ascii="Arial" w:hAnsi="Arial"/>
                <w:color w:val="000000"/>
                <w:sz w:val="16"/>
                <w:lang w:eastAsia="en-US"/>
              </w:rPr>
              <w:t xml:space="preserve"> </w:t>
            </w:r>
          </w:p>
        </w:tc>
        <w:tc>
          <w:tcPr>
            <w:tcW w:w="456"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37"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16"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3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2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2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17"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438" w:type="dxa"/>
            <w:tcBorders/>
          </w:tcPr>
          <w:p>
            <w:pPr>
              <w:pStyle w:val="Normal"/>
              <w:rPr>
                <w:rFonts w:ascii="Arial" w:hAnsi="Arial" w:cs="Arial"/>
                <w:color w:val="000000"/>
                <w:sz w:val="16"/>
                <w:lang w:eastAsia="en-US"/>
              </w:rPr>
            </w:pPr>
            <w:r>
              <w:rPr>
                <w:rFonts w:cs="Arial" w:ascii="Arial" w:hAnsi="Arial"/>
                <w:color w:val="000000"/>
                <w:sz w:val="16"/>
                <w:lang w:eastAsia="en-US"/>
              </w:rPr>
              <w:t>Salaries and Wages - (000)</w:t>
            </w:r>
          </w:p>
        </w:tc>
        <w:tc>
          <w:tcPr>
            <w:tcW w:w="24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40"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1,038</w:t>
            </w:r>
          </w:p>
        </w:tc>
        <w:tc>
          <w:tcPr>
            <w:tcW w:w="456"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37</w:t>
            </w:r>
          </w:p>
        </w:tc>
        <w:tc>
          <w:tcPr>
            <w:tcW w:w="456"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29</w:t>
            </w:r>
          </w:p>
        </w:tc>
        <w:tc>
          <w:tcPr>
            <w:tcW w:w="437"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34</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32</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30</w:t>
            </w:r>
          </w:p>
        </w:tc>
        <w:tc>
          <w:tcPr>
            <w:tcW w:w="516"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35</w:t>
            </w:r>
          </w:p>
        </w:tc>
        <w:tc>
          <w:tcPr>
            <w:tcW w:w="464"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42</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30</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35</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29</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17</w:t>
            </w:r>
          </w:p>
        </w:tc>
        <w:tc>
          <w:tcPr>
            <w:tcW w:w="464"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24</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24</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24</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16</w:t>
            </w:r>
          </w:p>
        </w:tc>
        <w:tc>
          <w:tcPr>
            <w:tcW w:w="53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15</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22</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18</w:t>
            </w:r>
          </w:p>
        </w:tc>
        <w:tc>
          <w:tcPr>
            <w:tcW w:w="5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1,533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20</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20</w:t>
            </w:r>
          </w:p>
        </w:tc>
        <w:tc>
          <w:tcPr>
            <w:tcW w:w="10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17" w:type="dxa"/>
            <w:tcBorders/>
          </w:tcPr>
          <w:p>
            <w:pPr>
              <w:pStyle w:val="Normal"/>
              <w:jc w:val="end"/>
              <w:rPr>
                <w:rFonts w:ascii="Arial" w:hAnsi="Arial" w:cs="Arial"/>
                <w:color w:val="000000"/>
                <w:sz w:val="16"/>
                <w:lang w:eastAsia="en-US"/>
              </w:rPr>
            </w:pPr>
            <w:r>
              <w:rPr>
                <w:rFonts w:cs="Arial" w:ascii="Arial" w:hAnsi="Arial"/>
                <w:color w:val="000000"/>
                <w:sz w:val="16"/>
                <w:lang w:eastAsia="en-US"/>
              </w:rPr>
              <w:t>1,593</w:t>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918"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Employee Expenses - Supply and expenses (050-100-150)</w:t>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1,404</w:t>
            </w:r>
          </w:p>
        </w:tc>
        <w:tc>
          <w:tcPr>
            <w:tcW w:w="456"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19</w:t>
            </w:r>
          </w:p>
        </w:tc>
        <w:tc>
          <w:tcPr>
            <w:tcW w:w="456"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7</w:t>
            </w:r>
          </w:p>
        </w:tc>
        <w:tc>
          <w:tcPr>
            <w:tcW w:w="437"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28</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15</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8</w:t>
            </w:r>
          </w:p>
        </w:tc>
        <w:tc>
          <w:tcPr>
            <w:tcW w:w="516"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7</w:t>
            </w:r>
          </w:p>
        </w:tc>
        <w:tc>
          <w:tcPr>
            <w:tcW w:w="464"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7</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8</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9</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20</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13</w:t>
            </w:r>
          </w:p>
        </w:tc>
        <w:tc>
          <w:tcPr>
            <w:tcW w:w="464"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17</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17</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17</w:t>
            </w:r>
          </w:p>
        </w:tc>
        <w:tc>
          <w:tcPr>
            <w:tcW w:w="463" w:type="dxa"/>
            <w:gridSpan w:val="2"/>
            <w:tcBorders/>
          </w:tcPr>
          <w:p>
            <w:pPr>
              <w:pStyle w:val="Normal"/>
              <w:jc w:val="end"/>
              <w:rPr>
                <w:rFonts w:ascii="Arial" w:hAnsi="Arial" w:cs="Arial"/>
                <w:color w:val="0000FF"/>
                <w:sz w:val="16"/>
                <w:lang w:eastAsia="en-US"/>
              </w:rPr>
            </w:pPr>
            <w:r>
              <w:rPr>
                <w:rFonts w:cs="Arial" w:ascii="Arial" w:hAnsi="Arial"/>
                <w:color w:val="0000FF"/>
                <w:sz w:val="16"/>
                <w:lang w:eastAsia="en-US"/>
              </w:rPr>
              <w:t>14</w:t>
            </w:r>
          </w:p>
        </w:tc>
        <w:tc>
          <w:tcPr>
            <w:tcW w:w="53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16</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w:t>
            </w:r>
          </w:p>
        </w:tc>
        <w:tc>
          <w:tcPr>
            <w:tcW w:w="5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1,641</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6</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6</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6</w:t>
            </w:r>
          </w:p>
        </w:tc>
        <w:tc>
          <w:tcPr>
            <w:tcW w:w="10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17" w:type="dxa"/>
            <w:tcBorders/>
          </w:tcPr>
          <w:p>
            <w:pPr>
              <w:pStyle w:val="Normal"/>
              <w:jc w:val="end"/>
              <w:rPr>
                <w:rFonts w:ascii="Arial" w:hAnsi="Arial" w:cs="Arial"/>
                <w:color w:val="000000"/>
                <w:sz w:val="16"/>
                <w:lang w:eastAsia="en-US"/>
              </w:rPr>
            </w:pPr>
            <w:r>
              <w:rPr>
                <w:rFonts w:cs="Arial" w:ascii="Arial" w:hAnsi="Arial"/>
                <w:color w:val="000000"/>
                <w:sz w:val="16"/>
                <w:lang w:eastAsia="en-US"/>
              </w:rPr>
              <w:t>1,660</w:t>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438" w:type="dxa"/>
            <w:tcBorders/>
          </w:tcPr>
          <w:p>
            <w:pPr>
              <w:pStyle w:val="Normal"/>
              <w:rPr>
                <w:rFonts w:ascii="Arial" w:hAnsi="Arial" w:cs="Arial"/>
                <w:color w:val="000000"/>
                <w:sz w:val="16"/>
                <w:lang w:eastAsia="en-US"/>
              </w:rPr>
            </w:pPr>
            <w:r>
              <w:rPr>
                <w:rFonts w:cs="Arial" w:ascii="Arial" w:hAnsi="Arial"/>
                <w:color w:val="000000"/>
                <w:sz w:val="16"/>
                <w:lang w:eastAsia="en-US"/>
              </w:rPr>
              <w:t>Professional Services -(200)</w:t>
            </w:r>
          </w:p>
        </w:tc>
        <w:tc>
          <w:tcPr>
            <w:tcW w:w="24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40"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259</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53</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6</w:t>
            </w:r>
          </w:p>
        </w:tc>
        <w:tc>
          <w:tcPr>
            <w:tcW w:w="43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118</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7</w:t>
            </w:r>
          </w:p>
        </w:tc>
        <w:tc>
          <w:tcPr>
            <w:tcW w:w="51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59</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58</w:t>
            </w:r>
          </w:p>
        </w:tc>
        <w:tc>
          <w:tcPr>
            <w:tcW w:w="4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17</w:t>
            </w:r>
          </w:p>
        </w:tc>
        <w:tc>
          <w:tcPr>
            <w:tcW w:w="53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21</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222</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35</w:t>
            </w:r>
          </w:p>
        </w:tc>
        <w:tc>
          <w:tcPr>
            <w:tcW w:w="5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1,032</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35</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35</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35</w:t>
            </w:r>
          </w:p>
        </w:tc>
        <w:tc>
          <w:tcPr>
            <w:tcW w:w="10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17" w:type="dxa"/>
            <w:tcBorders/>
          </w:tcPr>
          <w:p>
            <w:pPr>
              <w:pStyle w:val="Normal"/>
              <w:jc w:val="end"/>
              <w:rPr>
                <w:rFonts w:ascii="Arial" w:hAnsi="Arial" w:cs="Arial"/>
                <w:color w:val="000000"/>
                <w:sz w:val="16"/>
                <w:lang w:eastAsia="en-US"/>
              </w:rPr>
            </w:pPr>
            <w:r>
              <w:rPr>
                <w:rFonts w:cs="Arial" w:ascii="Arial" w:hAnsi="Arial"/>
                <w:color w:val="000000"/>
                <w:sz w:val="16"/>
                <w:lang w:eastAsia="en-US"/>
              </w:rPr>
              <w:t>1,136</w:t>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918"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Rent and Houston office overheads -(250-600-650-900)</w:t>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3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51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3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2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2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17" w:type="dxa"/>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438" w:type="dxa"/>
            <w:tcBorders/>
          </w:tcPr>
          <w:p>
            <w:pPr>
              <w:pStyle w:val="Normal"/>
              <w:rPr>
                <w:rFonts w:ascii="Arial" w:hAnsi="Arial" w:cs="Arial"/>
                <w:color w:val="0000FF"/>
                <w:sz w:val="16"/>
                <w:lang w:eastAsia="en-US"/>
              </w:rPr>
            </w:pPr>
            <w:r>
              <w:rPr>
                <w:rFonts w:cs="Arial" w:ascii="Arial" w:hAnsi="Arial"/>
                <w:color w:val="0000FF"/>
                <w:sz w:val="16"/>
                <w:lang w:eastAsia="en-US"/>
              </w:rPr>
              <w:t xml:space="preserve">withholding tax 25% </w:t>
            </w:r>
          </w:p>
        </w:tc>
        <w:tc>
          <w:tcPr>
            <w:tcW w:w="24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40"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900</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37</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14</w:t>
            </w:r>
          </w:p>
        </w:tc>
        <w:tc>
          <w:tcPr>
            <w:tcW w:w="43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24</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55</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15</w:t>
            </w:r>
          </w:p>
        </w:tc>
        <w:tc>
          <w:tcPr>
            <w:tcW w:w="51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34</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34</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19</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30</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14</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14</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16</w:t>
            </w:r>
          </w:p>
        </w:tc>
        <w:tc>
          <w:tcPr>
            <w:tcW w:w="53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18</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83</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20</w:t>
            </w:r>
          </w:p>
        </w:tc>
        <w:tc>
          <w:tcPr>
            <w:tcW w:w="564" w:type="dxa"/>
            <w:gridSpan w:val="2"/>
            <w:tcBorders/>
          </w:tcPr>
          <w:p>
            <w:pPr>
              <w:pStyle w:val="Normal"/>
              <w:jc w:val="end"/>
              <w:rPr>
                <w:rFonts w:ascii="Arial" w:hAnsi="Arial" w:cs="Arial"/>
                <w:b/>
                <w:color w:val="0000FF"/>
                <w:sz w:val="16"/>
                <w:lang w:eastAsia="en-US"/>
              </w:rPr>
            </w:pPr>
            <w:r>
              <w:rPr>
                <w:rFonts w:cs="Arial" w:ascii="Arial" w:hAnsi="Arial"/>
                <w:b/>
                <w:color w:val="0000FF"/>
                <w:sz w:val="16"/>
                <w:lang w:eastAsia="en-US"/>
              </w:rPr>
              <w:t>1,402</w:t>
            </w:r>
          </w:p>
        </w:tc>
        <w:tc>
          <w:tcPr>
            <w:tcW w:w="463" w:type="dxa"/>
            <w:gridSpan w:val="2"/>
            <w:tcBorders/>
          </w:tcPr>
          <w:p>
            <w:pPr>
              <w:pStyle w:val="Normal"/>
              <w:jc w:val="end"/>
              <w:rPr>
                <w:rFonts w:ascii="Arial" w:hAnsi="Arial" w:cs="Arial"/>
                <w:b/>
                <w:color w:val="0000FF"/>
                <w:sz w:val="16"/>
                <w:lang w:eastAsia="en-US"/>
              </w:rPr>
            </w:pPr>
            <w:r>
              <w:rPr>
                <w:rFonts w:cs="Arial" w:ascii="Arial" w:hAnsi="Arial"/>
                <w:b/>
                <w:color w:val="0000FF"/>
                <w:sz w:val="16"/>
                <w:lang w:eastAsia="en-US"/>
              </w:rPr>
              <w:t>20</w:t>
            </w:r>
          </w:p>
        </w:tc>
        <w:tc>
          <w:tcPr>
            <w:tcW w:w="463" w:type="dxa"/>
            <w:gridSpan w:val="2"/>
            <w:tcBorders/>
          </w:tcPr>
          <w:p>
            <w:pPr>
              <w:pStyle w:val="Normal"/>
              <w:jc w:val="end"/>
              <w:rPr>
                <w:rFonts w:ascii="Arial" w:hAnsi="Arial" w:cs="Arial"/>
                <w:b/>
                <w:color w:val="0000FF"/>
                <w:sz w:val="16"/>
                <w:lang w:eastAsia="en-US"/>
              </w:rPr>
            </w:pPr>
            <w:r>
              <w:rPr>
                <w:rFonts w:cs="Arial" w:ascii="Arial" w:hAnsi="Arial"/>
                <w:b/>
                <w:color w:val="0000FF"/>
                <w:sz w:val="16"/>
                <w:lang w:eastAsia="en-US"/>
              </w:rPr>
              <w:t>20</w:t>
            </w:r>
          </w:p>
        </w:tc>
        <w:tc>
          <w:tcPr>
            <w:tcW w:w="464" w:type="dxa"/>
            <w:gridSpan w:val="2"/>
            <w:tcBorders/>
          </w:tcPr>
          <w:p>
            <w:pPr>
              <w:pStyle w:val="Normal"/>
              <w:jc w:val="end"/>
              <w:rPr>
                <w:rFonts w:ascii="Arial" w:hAnsi="Arial" w:cs="Arial"/>
                <w:b/>
                <w:color w:val="0000FF"/>
                <w:sz w:val="16"/>
                <w:lang w:eastAsia="en-US"/>
              </w:rPr>
            </w:pPr>
            <w:r>
              <w:rPr>
                <w:rFonts w:cs="Arial" w:ascii="Arial" w:hAnsi="Arial"/>
                <w:b/>
                <w:color w:val="0000FF"/>
                <w:sz w:val="16"/>
                <w:lang w:eastAsia="en-US"/>
              </w:rPr>
              <w:t>20</w:t>
            </w:r>
          </w:p>
        </w:tc>
        <w:tc>
          <w:tcPr>
            <w:tcW w:w="100" w:type="dxa"/>
            <w:gridSpan w:val="2"/>
            <w:tcBorders/>
          </w:tcPr>
          <w:p>
            <w:pPr>
              <w:pStyle w:val="Normal"/>
              <w:snapToGrid w:val="false"/>
              <w:jc w:val="end"/>
              <w:rPr>
                <w:rFonts w:ascii="Arial" w:hAnsi="Arial" w:cs="Arial"/>
                <w:b/>
                <w:color w:val="0000FF"/>
                <w:sz w:val="16"/>
                <w:lang w:eastAsia="en-US"/>
              </w:rPr>
            </w:pPr>
            <w:r>
              <w:rPr>
                <w:rFonts w:cs="Arial" w:ascii="Arial" w:hAnsi="Arial"/>
                <w:b/>
                <w:color w:val="0000FF"/>
                <w:sz w:val="16"/>
                <w:lang w:eastAsia="en-US"/>
              </w:rPr>
            </w:r>
          </w:p>
        </w:tc>
        <w:tc>
          <w:tcPr>
            <w:tcW w:w="617" w:type="dxa"/>
            <w:tcBorders/>
          </w:tcPr>
          <w:p>
            <w:pPr>
              <w:pStyle w:val="Normal"/>
              <w:jc w:val="end"/>
              <w:rPr>
                <w:rFonts w:ascii="Arial" w:hAnsi="Arial" w:cs="Arial"/>
                <w:color w:val="000000"/>
                <w:sz w:val="16"/>
                <w:lang w:eastAsia="en-US"/>
              </w:rPr>
            </w:pPr>
            <w:r>
              <w:rPr>
                <w:rFonts w:cs="Arial" w:ascii="Arial" w:hAnsi="Arial"/>
                <w:color w:val="000000"/>
                <w:sz w:val="16"/>
                <w:lang w:eastAsia="en-US"/>
              </w:rPr>
              <w:t>1,463</w:t>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438" w:type="dxa"/>
            <w:tcBorders/>
          </w:tcPr>
          <w:p>
            <w:pPr>
              <w:pStyle w:val="Normal"/>
              <w:rPr>
                <w:rFonts w:ascii="Arial" w:hAnsi="Arial" w:cs="Arial"/>
                <w:b/>
                <w:color w:val="000000"/>
                <w:sz w:val="16"/>
                <w:lang w:eastAsia="en-US"/>
              </w:rPr>
            </w:pPr>
            <w:r>
              <w:rPr>
                <w:rFonts w:cs="Arial" w:ascii="Arial" w:hAnsi="Arial"/>
                <w:b/>
                <w:color w:val="000000"/>
                <w:sz w:val="16"/>
                <w:lang w:eastAsia="en-US"/>
              </w:rPr>
              <w:t>TOTAL</w:t>
            </w:r>
          </w:p>
        </w:tc>
        <w:tc>
          <w:tcPr>
            <w:tcW w:w="24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40"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3,602</w:t>
            </w:r>
          </w:p>
        </w:tc>
        <w:tc>
          <w:tcPr>
            <w:tcW w:w="456"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146</w:t>
            </w:r>
          </w:p>
        </w:tc>
        <w:tc>
          <w:tcPr>
            <w:tcW w:w="456"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56</w:t>
            </w:r>
          </w:p>
        </w:tc>
        <w:tc>
          <w:tcPr>
            <w:tcW w:w="437"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95</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220</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60</w:t>
            </w:r>
          </w:p>
        </w:tc>
        <w:tc>
          <w:tcPr>
            <w:tcW w:w="516"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135</w:t>
            </w:r>
          </w:p>
        </w:tc>
        <w:tc>
          <w:tcPr>
            <w:tcW w:w="464"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137</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53</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77</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132</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119</w:t>
            </w:r>
          </w:p>
        </w:tc>
        <w:tc>
          <w:tcPr>
            <w:tcW w:w="464"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55</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122</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55</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62</w:t>
            </w:r>
          </w:p>
        </w:tc>
        <w:tc>
          <w:tcPr>
            <w:tcW w:w="535"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70</w:t>
            </w:r>
          </w:p>
        </w:tc>
        <w:tc>
          <w:tcPr>
            <w:tcW w:w="425"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330</w:t>
            </w:r>
          </w:p>
        </w:tc>
        <w:tc>
          <w:tcPr>
            <w:tcW w:w="425"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82</w:t>
            </w:r>
          </w:p>
        </w:tc>
        <w:tc>
          <w:tcPr>
            <w:tcW w:w="564"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5,608</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81</w:t>
            </w:r>
          </w:p>
        </w:tc>
        <w:tc>
          <w:tcPr>
            <w:tcW w:w="463"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81</w:t>
            </w:r>
          </w:p>
        </w:tc>
        <w:tc>
          <w:tcPr>
            <w:tcW w:w="464"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81</w:t>
            </w:r>
          </w:p>
        </w:tc>
        <w:tc>
          <w:tcPr>
            <w:tcW w:w="100"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617" w:type="dxa"/>
            <w:tcBorders/>
          </w:tcPr>
          <w:p>
            <w:pPr>
              <w:pStyle w:val="Normal"/>
              <w:jc w:val="end"/>
              <w:rPr>
                <w:rFonts w:ascii="Arial" w:hAnsi="Arial" w:cs="Arial"/>
                <w:b/>
                <w:color w:val="000000"/>
                <w:sz w:val="16"/>
                <w:lang w:eastAsia="en-US"/>
              </w:rPr>
            </w:pPr>
            <w:r>
              <w:rPr>
                <w:rFonts w:cs="Arial" w:ascii="Arial" w:hAnsi="Arial"/>
                <w:b/>
                <w:color w:val="000000"/>
                <w:sz w:val="16"/>
                <w:lang w:eastAsia="en-US"/>
              </w:rPr>
              <w:t>5,851</w:t>
            </w:r>
          </w:p>
        </w:tc>
        <w:tc>
          <w:tcPr>
            <w:tcW w:w="359" w:type="dxa"/>
            <w:gridSpan w:val="3"/>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b/>
                <w:color w:val="000000"/>
                <w:sz w:val="16"/>
                <w:lang w:eastAsia="en-US"/>
              </w:rPr>
            </w:pPr>
            <w:r>
              <w:rPr>
                <w:rFonts w:cs="Arial" w:ascii="Arial" w:hAnsi="Arial"/>
                <w:b/>
                <w:color w:val="000000"/>
                <w:sz w:val="16"/>
                <w:lang w:eastAsia="en-US"/>
              </w:rPr>
            </w:r>
          </w:p>
        </w:tc>
        <w:tc>
          <w:tcPr>
            <w:tcW w:w="2918" w:type="dxa"/>
            <w:gridSpan w:val="4"/>
            <w:tcBorders/>
          </w:tcPr>
          <w:p>
            <w:pPr>
              <w:pStyle w:val="Normal"/>
              <w:rPr>
                <w:rFonts w:ascii="Arial" w:hAnsi="Arial" w:cs="Arial"/>
                <w:color w:val="000000"/>
                <w:sz w:val="16"/>
                <w:lang w:eastAsia="en-US"/>
              </w:rPr>
            </w:pPr>
            <w:r>
              <w:rPr>
                <w:rFonts w:cs="Arial" w:ascii="Arial" w:hAnsi="Arial"/>
                <w:color w:val="000000"/>
                <w:sz w:val="16"/>
                <w:lang w:eastAsia="en-US"/>
              </w:rPr>
              <w:t>Expenses incurred at the GASMAT level (no WH tax)</w:t>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389</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3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51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4"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3"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3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2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25"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64"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0</w:t>
            </w:r>
          </w:p>
        </w:tc>
        <w:tc>
          <w:tcPr>
            <w:tcW w:w="463"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463"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464"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00"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617" w:type="dxa"/>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678"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SP office overheads (no Wh tax)</w:t>
            </w:r>
          </w:p>
        </w:tc>
        <w:tc>
          <w:tcPr>
            <w:tcW w:w="0" w:type="dxa"/>
            <w:vMerge w:val="continue"/>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40" w:type="dxa"/>
            <w:gridSpan w:val="2"/>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9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174</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5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148</w:t>
            </w:r>
          </w:p>
        </w:tc>
        <w:tc>
          <w:tcPr>
            <w:tcW w:w="437"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120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71</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57</w:t>
            </w:r>
          </w:p>
        </w:tc>
        <w:tc>
          <w:tcPr>
            <w:tcW w:w="516"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49</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37</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57</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7</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96</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89</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27</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38</w:t>
            </w:r>
          </w:p>
        </w:tc>
        <w:tc>
          <w:tcPr>
            <w:tcW w:w="53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16</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93</w:t>
            </w:r>
          </w:p>
        </w:tc>
        <w:tc>
          <w:tcPr>
            <w:tcW w:w="425"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112</w:t>
            </w:r>
          </w:p>
        </w:tc>
        <w:tc>
          <w:tcPr>
            <w:tcW w:w="564" w:type="dxa"/>
            <w:gridSpan w:val="2"/>
            <w:tcBorders/>
          </w:tcPr>
          <w:p>
            <w:pPr>
              <w:pStyle w:val="Normal"/>
              <w:jc w:val="end"/>
              <w:rPr>
                <w:rFonts w:ascii="Arial" w:hAnsi="Arial" w:cs="Arial"/>
                <w:b/>
                <w:color w:val="000000"/>
                <w:sz w:val="16"/>
                <w:lang w:eastAsia="en-US"/>
              </w:rPr>
            </w:pPr>
            <w:r>
              <w:rPr>
                <w:rFonts w:cs="Arial" w:ascii="Arial" w:hAnsi="Arial"/>
                <w:b/>
                <w:color w:val="000000"/>
                <w:sz w:val="16"/>
                <w:lang w:eastAsia="en-US"/>
              </w:rPr>
              <w:t>393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93</w:t>
            </w:r>
          </w:p>
        </w:tc>
        <w:tc>
          <w:tcPr>
            <w:tcW w:w="463"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93</w:t>
            </w:r>
          </w:p>
        </w:tc>
        <w:tc>
          <w:tcPr>
            <w:tcW w:w="464" w:type="dxa"/>
            <w:gridSpan w:val="2"/>
            <w:tcBorders/>
          </w:tcPr>
          <w:p>
            <w:pPr>
              <w:pStyle w:val="Normal"/>
              <w:jc w:val="end"/>
              <w:rPr>
                <w:rFonts w:ascii="Arial" w:hAnsi="Arial" w:cs="Arial"/>
                <w:color w:val="000000"/>
                <w:sz w:val="16"/>
                <w:lang w:eastAsia="en-US"/>
              </w:rPr>
            </w:pPr>
            <w:r>
              <w:rPr>
                <w:rFonts w:cs="Arial" w:ascii="Arial" w:hAnsi="Arial"/>
                <w:color w:val="000000"/>
                <w:sz w:val="16"/>
                <w:lang w:eastAsia="en-US"/>
              </w:rPr>
              <w:t>93</w:t>
            </w:r>
          </w:p>
        </w:tc>
        <w:tc>
          <w:tcPr>
            <w:tcW w:w="100"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617" w:type="dxa"/>
            <w:tcBorders/>
          </w:tcPr>
          <w:p>
            <w:pPr>
              <w:pStyle w:val="Normal"/>
              <w:jc w:val="end"/>
              <w:rPr>
                <w:rFonts w:ascii="Arial" w:hAnsi="Arial" w:cs="Arial"/>
                <w:color w:val="000000"/>
                <w:sz w:val="16"/>
                <w:lang w:eastAsia="en-US"/>
              </w:rPr>
            </w:pPr>
            <w:r>
              <w:rPr>
                <w:rFonts w:cs="Arial" w:ascii="Arial" w:hAnsi="Arial"/>
                <w:color w:val="000000"/>
                <w:sz w:val="16"/>
                <w:lang w:eastAsia="en-US"/>
              </w:rPr>
              <w:t>673</w:t>
            </w:r>
          </w:p>
        </w:tc>
        <w:tc>
          <w:tcPr>
            <w:tcW w:w="359" w:type="dxa"/>
            <w:gridSpan w:val="3"/>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15" w:hRule="atLeast"/>
        </w:trPr>
        <w:tc>
          <w:tcPr>
            <w:tcW w:w="33" w:type="dxa"/>
            <w:tcBorders/>
            <w:tcMar>
              <w:start w:w="0" w:type="dxa"/>
              <w:end w:w="0" w:type="dxa"/>
            </w:tcMar>
          </w:tcPr>
          <w:p>
            <w:pPr>
              <w:pStyle w:val="Normal"/>
              <w:rPr>
                <w:rFonts w:ascii="Arial" w:hAnsi="Arial" w:cs="Arial"/>
                <w:color w:val="000000"/>
                <w:sz w:val="16"/>
                <w:lang w:eastAsia="en-US"/>
              </w:rPr>
            </w:pPr>
            <w:r>
              <w:rPr>
                <w:rFonts w:cs="Arial" w:ascii="Arial" w:hAnsi="Arial"/>
                <w:color w:val="000000"/>
                <w:sz w:val="16"/>
                <w:lang w:eastAsia="en-US"/>
              </w:rPr>
            </w:r>
          </w:p>
        </w:tc>
        <w:tc>
          <w:tcPr>
            <w:tcW w:w="2438" w:type="dxa"/>
            <w:tcBorders/>
          </w:tcPr>
          <w:p>
            <w:pPr>
              <w:pStyle w:val="Normal"/>
              <w:rPr>
                <w:rFonts w:ascii="Arial" w:hAnsi="Arial" w:cs="Arial"/>
                <w:b/>
                <w:color w:val="000000"/>
                <w:sz w:val="16"/>
                <w:lang w:eastAsia="en-US"/>
              </w:rPr>
            </w:pPr>
            <w:r>
              <w:rPr>
                <w:rFonts w:cs="Arial" w:ascii="Arial" w:hAnsi="Arial"/>
                <w:b/>
                <w:color w:val="000000"/>
                <w:sz w:val="16"/>
                <w:lang w:eastAsia="en-US"/>
              </w:rPr>
              <w:t>TOTAL GASMAT</w:t>
            </w:r>
          </w:p>
        </w:tc>
        <w:tc>
          <w:tcPr>
            <w:tcW w:w="24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240" w:type="dxa"/>
            <w:gridSpan w:val="2"/>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97"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4,165</w:t>
            </w:r>
          </w:p>
        </w:tc>
        <w:tc>
          <w:tcPr>
            <w:tcW w:w="456"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146</w:t>
            </w:r>
          </w:p>
        </w:tc>
        <w:tc>
          <w:tcPr>
            <w:tcW w:w="456"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204</w:t>
            </w:r>
          </w:p>
        </w:tc>
        <w:tc>
          <w:tcPr>
            <w:tcW w:w="437"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215</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291</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117</w:t>
            </w:r>
          </w:p>
        </w:tc>
        <w:tc>
          <w:tcPr>
            <w:tcW w:w="516"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185</w:t>
            </w:r>
          </w:p>
        </w:tc>
        <w:tc>
          <w:tcPr>
            <w:tcW w:w="464"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173</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110</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84</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132</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214</w:t>
            </w:r>
          </w:p>
        </w:tc>
        <w:tc>
          <w:tcPr>
            <w:tcW w:w="464"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144</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149</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88</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100</w:t>
            </w:r>
          </w:p>
        </w:tc>
        <w:tc>
          <w:tcPr>
            <w:tcW w:w="535"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87</w:t>
            </w:r>
          </w:p>
        </w:tc>
        <w:tc>
          <w:tcPr>
            <w:tcW w:w="425"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424</w:t>
            </w:r>
          </w:p>
        </w:tc>
        <w:tc>
          <w:tcPr>
            <w:tcW w:w="425"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193</w:t>
            </w:r>
          </w:p>
        </w:tc>
        <w:tc>
          <w:tcPr>
            <w:tcW w:w="564"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6,001</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174</w:t>
            </w:r>
          </w:p>
        </w:tc>
        <w:tc>
          <w:tcPr>
            <w:tcW w:w="463"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174</w:t>
            </w:r>
          </w:p>
        </w:tc>
        <w:tc>
          <w:tcPr>
            <w:tcW w:w="464" w:type="dxa"/>
            <w:gridSpan w:val="2"/>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174</w:t>
            </w:r>
          </w:p>
        </w:tc>
        <w:tc>
          <w:tcPr>
            <w:tcW w:w="100" w:type="dxa"/>
            <w:gridSpan w:val="2"/>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617" w:type="dxa"/>
            <w:tcBorders>
              <w:top w:val="single" w:sz="6" w:space="0" w:color="000000"/>
              <w:bottom w:val="double" w:sz="6" w:space="0" w:color="000000"/>
            </w:tcBorders>
          </w:tcPr>
          <w:p>
            <w:pPr>
              <w:pStyle w:val="Normal"/>
              <w:jc w:val="end"/>
              <w:rPr>
                <w:rFonts w:ascii="Arial" w:hAnsi="Arial" w:cs="Arial"/>
                <w:b/>
                <w:color w:val="000000"/>
                <w:sz w:val="16"/>
                <w:lang w:eastAsia="en-US"/>
              </w:rPr>
            </w:pPr>
            <w:r>
              <w:rPr>
                <w:rFonts w:cs="Arial" w:ascii="Arial" w:hAnsi="Arial"/>
                <w:b/>
                <w:color w:val="000000"/>
                <w:sz w:val="16"/>
                <w:lang w:eastAsia="en-US"/>
              </w:rPr>
              <w:t>6,524</w:t>
            </w:r>
          </w:p>
        </w:tc>
        <w:tc>
          <w:tcPr>
            <w:tcW w:w="359" w:type="dxa"/>
            <w:gridSpan w:val="3"/>
            <w:tcBorders/>
          </w:tcPr>
          <w:p>
            <w:pPr>
              <w:pStyle w:val="Normal"/>
              <w:jc w:val="end"/>
              <w:rPr>
                <w:rFonts w:ascii="Arial" w:hAnsi="Arial" w:cs="Arial"/>
                <w:b/>
                <w:color w:val="000000"/>
                <w:sz w:val="16"/>
                <w:lang w:eastAsia="en-US"/>
              </w:rPr>
            </w:pPr>
            <w:r>
              <w:rPr>
                <w:rFonts w:cs="Arial" w:ascii="Arial" w:hAnsi="Arial"/>
                <w:b/>
                <w:color w:val="000000"/>
                <w:sz w:val="16"/>
                <w:lang w:eastAsia="en-US"/>
              </w:rPr>
              <w:t>523</w:t>
            </w:r>
          </w:p>
        </w:tc>
      </w:tr>
    </w:tbl>
    <w:p>
      <w:pPr>
        <w:pStyle w:val="Normal"/>
        <w:numPr>
          <w:ilvl w:val="0"/>
          <w:numId w:val="0"/>
        </w:numPr>
        <w:jc w:val="center"/>
        <w:outlineLvl w:val="0"/>
        <w:rPr>
          <w:b/>
        </w:rPr>
      </w:pPr>
      <w:r>
        <w:rPr>
          <w:b/>
        </w:rPr>
      </w:r>
    </w:p>
    <w:p>
      <w:pPr>
        <w:pStyle w:val="Normal"/>
        <w:numPr>
          <w:ilvl w:val="0"/>
          <w:numId w:val="0"/>
        </w:numPr>
        <w:jc w:val="start"/>
        <w:outlineLvl w:val="0"/>
        <w:rPr>
          <w:b/>
        </w:rPr>
      </w:pPr>
      <w:r>
        <w:rPr>
          <w:b/>
        </w:rPr>
      </w:r>
    </w:p>
    <w:p>
      <w:pPr>
        <w:pStyle w:val="Normal"/>
        <w:jc w:val="center"/>
        <w:rPr>
          <w:b/>
        </w:rPr>
      </w:pPr>
      <w:r>
        <w:rPr>
          <w:b/>
        </w:rPr>
      </w:r>
    </w:p>
    <w:p>
      <w:pPr>
        <w:sectPr>
          <w:headerReference w:type="default" r:id="rId26"/>
          <w:headerReference w:type="first" r:id="rId27"/>
          <w:footerReference w:type="default" r:id="rId28"/>
          <w:footerReference w:type="first" r:id="rId29"/>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jc w:val="center"/>
        <w:rPr/>
      </w:pPr>
      <w:r>
        <w:rPr/>
        <w:t>]</w:t>
      </w:r>
    </w:p>
    <w:p>
      <w:pPr>
        <w:pStyle w:val="Normal"/>
        <w:jc w:val="center"/>
        <w:rPr>
          <w:b/>
        </w:rPr>
      </w:pPr>
      <w:r>
        <w:rPr>
          <w:b/>
        </w:rPr>
        <w:t>SCHEDULE 7.05</w:t>
      </w:r>
    </w:p>
    <w:p>
      <w:pPr>
        <w:pStyle w:val="Normal"/>
        <w:jc w:val="center"/>
        <w:rPr>
          <w:b/>
        </w:rPr>
      </w:pPr>
      <w:r>
        <w:rPr>
          <w:b/>
        </w:rPr>
      </w:r>
    </w:p>
    <w:p>
      <w:pPr>
        <w:pStyle w:val="Normal"/>
        <w:jc w:val="center"/>
        <w:rPr>
          <w:b/>
        </w:rPr>
      </w:pPr>
      <w:r>
        <w:rPr>
          <w:b/>
        </w:rPr>
        <w:t>PRINCIPAL CONTRACTS THAT ARE RELATED PARTY CONTRACTS</w:t>
      </w:r>
    </w:p>
    <w:p>
      <w:pPr>
        <w:pStyle w:val="Normal"/>
        <w:jc w:val="center"/>
        <w:rPr>
          <w:b/>
        </w:rPr>
      </w:pPr>
      <w:r>
        <w:rPr>
          <w:b/>
        </w:rPr>
      </w:r>
    </w:p>
    <w:sectPr>
      <w:headerReference w:type="default" r:id="rId30"/>
      <w:headerReference w:type="first" r:id="rId31"/>
      <w:footerReference w:type="default" r:id="rId32"/>
      <w:footerReference w:type="first" r:id="rId33"/>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embo">
    <w:altName w:val="Times New Roman"/>
    <w:charset w:val="00" w:characterSet="windows-1252"/>
    <w:family w:val="roman"/>
    <w:pitch w:val="variable"/>
  </w:font>
  <w:font w:name="CG Times">
    <w:charset w:val="00" w:characterSet="windows-1252"/>
    <w:family w:val="roman"/>
    <w:pitch w:val="variable"/>
  </w:font>
  <w:font w:name="CG Times (PCL6)">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  264838v4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GasMat Draft</w:t>
    </w:r>
  </w:p>
  <w:p>
    <w:pPr>
      <w:pStyle w:val="Header"/>
      <w:jc w:val="end"/>
      <w:rPr>
        <w:b/>
      </w:rPr>
    </w:pPr>
    <w:r>
      <w:rPr>
        <w:b/>
      </w:rPr>
      <w:t>July 31,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outlineLvl w:val="0"/>
    </w:pPr>
    <w:rPr>
      <w:b/>
      <w:spacing w:val="-2"/>
      <w:sz w:val="20"/>
    </w:rPr>
  </w:style>
  <w:style w:type="paragraph" w:styleId="Heading3">
    <w:name w:val="heading 3"/>
    <w:basedOn w:val="Normal"/>
    <w:next w:val="Normal"/>
    <w:qFormat/>
    <w:pPr>
      <w:keepNext w:val="true"/>
      <w:numPr>
        <w:ilvl w:val="2"/>
        <w:numId w:val="1"/>
      </w:numPr>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outlineLvl w:val="2"/>
    </w:pPr>
    <w:rPr>
      <w:b/>
      <w:spacing w:val="-2"/>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autoSpaceDE w:val="false"/>
      <w:spacing w:before="0" w:after="240"/>
    </w:pPr>
    <w:rPr>
      <w:rFonts w:ascii="Bembo;Times New Roman" w:hAnsi="Bembo;Times New Roman" w:cs="Bembo;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OAHeading">
    <w:name w:val="TOA Heading"/>
    <w:basedOn w:val="Normal"/>
    <w:next w:val="Normal"/>
    <w:qFormat/>
    <w:pPr>
      <w:tabs>
        <w:tab w:val="clear" w:pos="720"/>
        <w:tab w:val="left" w:pos="9000" w:leader="none"/>
        <w:tab w:val="right" w:pos="9360" w:leader="none"/>
      </w:tabs>
      <w:suppressAutoHyphens w:val="true"/>
      <w:jc w:val="start"/>
    </w:pPr>
    <w:rPr>
      <w:rFonts w:ascii="CG Times" w:hAnsi="CG Times" w:cs="CG Times"/>
      <w:sz w:val="20"/>
    </w:rPr>
  </w:style>
  <w:style w:type="paragraph" w:styleId="BodyText3">
    <w:name w:val="Body Text 3"/>
    <w:basedOn w:val="Normal"/>
    <w:qFormat/>
    <w:pPr>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pPr>
    <w:rPr>
      <w:color w:val="FF0000"/>
      <w:spacing w:val="-2"/>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2000-08-01T02:12:00Z</dcterms:created>
  <dc:creator>Vinson &amp; Elkins L.L.P.</dc:creator>
  <dc:description/>
  <dc:language>en-CA</dc:language>
  <cp:lastModifiedBy>VE</cp:lastModifiedBy>
  <cp:lastPrinted>2000-07-31T22:30:00Z</cp:lastPrinted>
  <dcterms:modified xsi:type="dcterms:W3CDTF">2000-08-01T02:12:00Z</dcterms:modified>
  <cp:revision>2</cp:revision>
  <dc:subject/>
  <dc:title>SCHEDULE 4</dc:title>
</cp:coreProperties>
</file>