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US/CANADA GOVERNMENT AFFAIRS</w:t>
      </w:r>
    </w:p>
    <w:p>
      <w:pPr>
        <w:pStyle w:val="Normal"/>
        <w:jc w:val="center"/>
        <w:rPr>
          <w:b/>
          <w:i/>
          <w:i/>
          <w:sz w:val="24"/>
        </w:rPr>
      </w:pPr>
      <w:r>
        <w:rPr>
          <w:b/>
          <w:i/>
          <w:sz w:val="24"/>
        </w:rPr>
        <w:t>UPDATE:  September 5, 2000</w:t>
      </w:r>
    </w:p>
    <w:p>
      <w:pPr>
        <w:pStyle w:val="Normal"/>
        <w:jc w:val="both"/>
        <w:rPr>
          <w:b/>
          <w:i/>
          <w:i/>
          <w:sz w:val="24"/>
        </w:rPr>
      </w:pPr>
      <w:r>
        <w:rPr>
          <w:b/>
          <w:i/>
          <w:sz w:val="24"/>
        </w:rPr>
      </w:r>
    </w:p>
    <w:p>
      <w:pPr>
        <w:pStyle w:val="Normal"/>
        <w:jc w:val="both"/>
        <w:rPr>
          <w:b/>
          <w:i/>
          <w:i/>
          <w:sz w:val="24"/>
        </w:rPr>
      </w:pPr>
      <w:r>
        <w:rPr>
          <w:b/>
          <w:i/>
          <w:sz w:val="24"/>
        </w:rPr>
      </w:r>
    </w:p>
    <w:p>
      <w:pPr>
        <w:pStyle w:val="Heading1"/>
        <w:ind w:hanging="0" w:start="0"/>
        <w:jc w:val="both"/>
        <w:rPr/>
      </w:pPr>
      <w:r>
        <w:rPr/>
        <w:t>Federal</w:t>
      </w:r>
    </w:p>
    <w:p>
      <w:pPr>
        <w:pStyle w:val="Heading1"/>
        <w:ind w:hanging="0" w:start="0"/>
        <w:jc w:val="both"/>
        <w:rPr/>
      </w:pPr>
      <w:r>
        <w:rPr/>
      </w:r>
    </w:p>
    <w:p>
      <w:pPr>
        <w:pStyle w:val="Heading1"/>
        <w:ind w:hanging="0" w:start="0"/>
        <w:rPr>
          <w:b w:val="false"/>
          <w:i w:val="false"/>
          <w:i w:val="false"/>
        </w:rPr>
      </w:pPr>
      <w:r>
        <w:rPr/>
        <w:t>San Diego Gas &amp; Electric Request for Price Caps</w:t>
      </w:r>
    </w:p>
    <w:p>
      <w:pPr>
        <w:pStyle w:val="Normal"/>
        <w:rPr>
          <w:b/>
          <w:i/>
          <w:i/>
        </w:rPr>
      </w:pPr>
      <w:r>
        <w:rPr>
          <w:b/>
          <w:i/>
        </w:rPr>
      </w:r>
    </w:p>
    <w:p>
      <w:pPr>
        <w:pStyle w:val="Normal"/>
        <w:rPr>
          <w:sz w:val="24"/>
        </w:rPr>
      </w:pPr>
      <w:r>
        <w:rPr>
          <w:sz w:val="24"/>
        </w:rPr>
        <w:t xml:space="preserve">In response to a complaint filed by San Diego Gas &amp; Electric requesting FERC to establish a $250 price cap on all sellers of power in California, on August 23 FERC issued an order rejecting the request for blanket price caps.  However, FERC did order its staff to conduct an investigation of the California market, including the wholesale rates charged for power in California, to determine why anomalous prices occur at certain times and whether these prices are unjust and unreasonable.  FERC also directed its staff to investigate whether the tariffs and rules of the California ISO and the PX are adversely affecting the efficient operation of competitive wholesale power markets in California and thus need to be modified.  FERC stated that it intends to issue a further order after reviewing the findings of its staff. </w:t>
      </w:r>
    </w:p>
    <w:p>
      <w:pPr>
        <w:pStyle w:val="Heading1"/>
        <w:ind w:hanging="0" w:start="0"/>
        <w:rPr>
          <w:sz w:val="24"/>
        </w:rPr>
      </w:pPr>
      <w:r>
        <w:rPr>
          <w:sz w:val="24"/>
        </w:rPr>
      </w:r>
    </w:p>
    <w:p>
      <w:pPr>
        <w:pStyle w:val="Heading1"/>
        <w:ind w:hanging="0" w:start="0"/>
        <w:rPr>
          <w:b w:val="false"/>
          <w:i w:val="false"/>
          <w:i w:val="false"/>
        </w:rPr>
      </w:pPr>
      <w:r>
        <w:rPr/>
        <w:t xml:space="preserve">New York ISO </w:t>
      </w:r>
    </w:p>
    <w:p>
      <w:pPr>
        <w:pStyle w:val="Normal"/>
        <w:rPr>
          <w:b/>
          <w:i/>
          <w:i/>
        </w:rPr>
      </w:pPr>
      <w:r>
        <w:rPr>
          <w:b/>
          <w:i/>
        </w:rPr>
      </w:r>
    </w:p>
    <w:p>
      <w:pPr>
        <w:pStyle w:val="Normal"/>
        <w:spacing w:lineRule="atLeast" w:line="240"/>
        <w:jc w:val="both"/>
        <w:rPr>
          <w:color w:val="000000"/>
          <w:sz w:val="24"/>
        </w:rPr>
      </w:pPr>
      <w:r>
        <w:rPr>
          <w:color w:val="000000"/>
          <w:sz w:val="24"/>
        </w:rPr>
        <w:t xml:space="preserve">On August 30, FERC issued an order clarifying its July 26 order on bid caps in New York.  In the July 26 order, FERC excluded sink price bids from the $1,000 cap because FERC believed that those bids did not set the LBMP.  In its request for clarification, the ISO explained that because the sink price bid can set the LBMP in the day ahead market, FERC should clarify that the bid cap does apply to the sink price bid in the day ahead market, but does not apply in the hourly market.   In its order on clarification, the Commission approves the ISO's request for clarification, stating that it was the intent of the original order to apply the $1,000 bid cap to all bids that could set the LBMP in the day ahead energy market.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color w:val="000000"/>
          <w:sz w:val="24"/>
        </w:rPr>
      </w:pPr>
      <w:r>
        <w:rPr>
          <w:color w:val="000000"/>
          <w:sz w:val="24"/>
        </w:rPr>
      </w:r>
    </w:p>
    <w:p>
      <w:pPr>
        <w:pStyle w:val="Heading1"/>
        <w:ind w:hanging="0" w:start="0"/>
        <w:rPr/>
      </w:pPr>
      <w:r>
        <w:rPr/>
        <w:t>FERC Strategic Plan</w:t>
      </w:r>
    </w:p>
    <w:p>
      <w:pPr>
        <w:pStyle w:val="Normal"/>
        <w:rPr>
          <w:sz w:val="24"/>
        </w:rPr>
      </w:pPr>
      <w:r>
        <w:rPr>
          <w:sz w:val="24"/>
        </w:rPr>
      </w:r>
    </w:p>
    <w:p>
      <w:pPr>
        <w:pStyle w:val="Normal"/>
        <w:rPr>
          <w:sz w:val="24"/>
        </w:rPr>
      </w:pPr>
      <w:r>
        <w:rPr>
          <w:sz w:val="24"/>
        </w:rPr>
        <w:t xml:space="preserve">The FERC published a Draft Strategic Plan for years 2000-2005.  It is available for public comment by September 8, 2000 and will be sent to Congress on September 29.  The plan describes FERC's vision, mission and values, and discusses the plan's relationship with the FERC fiscal year 2001 performance plan.  The Strategic Plan is very general describing a mission to foster competitive markets whenever possible, assure access to reliable service at a reasonable price, and give fair consideration to environmental and community impacts.  In the Energy Markets area of FERC, its objectives are to: (1) increase pricing efficiency, (2) nurture competitive market institutions such as RTOs, (3) constrain market power, and (4) resolve disputes quickly and fairly.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tabs>
        <w:tab w:val="clear" w:pos="720"/>
        <w:tab w:val="left" w:pos="0" w:leader="none"/>
      </w:tabs>
      <w:outlineLvl w:val="2"/>
    </w:pPr>
    <w:rPr>
      <w:rFonts w:ascii="Helv" w:hAnsi="Helv" w:cs="Helv"/>
      <w:b/>
      <w:color w:val="000000"/>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St1z0">
    <w:name w:val="WW8NumSt1z0"/>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i/>
      <w:sz w:val="24"/>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4"/>
    </w:rPr>
  </w:style>
  <w:style w:type="paragraph" w:styleId="PlainText">
    <w:name w:val="Plain Text"/>
    <w:basedOn w:val="Normal"/>
    <w:qFormat/>
    <w:pPr/>
    <w:rPr>
      <w:rFonts w:ascii="Courier New" w:hAnsi="Courier New" w:cs="Courier New"/>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spacing w:lineRule="atLeast" w:line="240"/>
      <w:ind w:hanging="0" w:start="360" w:end="0"/>
    </w:pPr>
    <w:rPr>
      <w:color w:val="000000"/>
      <w:sz w:val="24"/>
    </w:rPr>
  </w:style>
  <w:style w:type="paragraph" w:styleId="BodyText2">
    <w:name w:val="Body Text 2"/>
    <w:basedOn w:val="Normal"/>
    <w:qFormat/>
    <w:pPr>
      <w:tabs>
        <w:tab w:val="clear" w:pos="720"/>
        <w:tab w:val="left" w:pos="0" w:leader="none"/>
      </w:tabs>
      <w:jc w:val="both"/>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2000-09-07T11:26:00Z</dcterms:created>
  <dc:creator>EES</dc:creator>
  <dc:description/>
  <dc:language>en-CA</dc:language>
  <cp:lastModifiedBy>gdernehl</cp:lastModifiedBy>
  <cp:lastPrinted>2000-08-01T14:44:00Z</cp:lastPrinted>
  <dcterms:modified xsi:type="dcterms:W3CDTF">2000-09-07T11:26:00Z</dcterms:modified>
  <cp:revision>2</cp:revision>
  <dc:subject/>
  <dc:title>US/CANADA GOVERNMENT AFFAIRS</dc:title>
</cp:coreProperties>
</file>