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US/CANADA GOVERNMENT AFFAIRS</w:t>
      </w:r>
    </w:p>
    <w:p>
      <w:pPr>
        <w:pStyle w:val="Normal"/>
        <w:jc w:val="center"/>
        <w:rPr>
          <w:b/>
          <w:i/>
          <w:i/>
          <w:sz w:val="24"/>
        </w:rPr>
      </w:pPr>
      <w:r>
        <w:rPr>
          <w:b/>
          <w:i/>
          <w:sz w:val="24"/>
        </w:rPr>
        <w:t xml:space="preserve">UPDATE: June 1-July 7, 2000 </w:t>
      </w:r>
    </w:p>
    <w:p>
      <w:pPr>
        <w:pStyle w:val="Normal"/>
        <w:jc w:val="center"/>
        <w:rPr>
          <w:b/>
          <w:i/>
          <w:i/>
          <w:sz w:val="24"/>
        </w:rPr>
      </w:pPr>
      <w:r>
        <w:rPr>
          <w:b/>
          <w:i/>
          <w:sz w:val="24"/>
        </w:rPr>
      </w:r>
    </w:p>
    <w:p>
      <w:pPr>
        <w:pStyle w:val="Normal"/>
        <w:jc w:val="center"/>
        <w:rPr>
          <w:b/>
          <w:i/>
          <w:i/>
          <w:sz w:val="24"/>
        </w:rPr>
      </w:pPr>
      <w:r>
        <w:rPr>
          <w:b/>
          <w:i/>
          <w:sz w:val="24"/>
        </w:rPr>
      </w:r>
    </w:p>
    <w:p>
      <w:pPr>
        <w:pStyle w:val="Heading1"/>
        <w:ind w:hanging="0" w:start="0"/>
        <w:rPr/>
      </w:pPr>
      <w:r>
        <w:rPr/>
        <w:t>California</w:t>
      </w:r>
    </w:p>
    <w:p>
      <w:pPr>
        <w:pStyle w:val="Heading2"/>
        <w:ind w:hanging="0" w:start="0"/>
        <w:rPr/>
      </w:pPr>
      <w:r>
        <w:rPr/>
        <w:t>ISO Sets Lower Price Caps</w:t>
      </w:r>
    </w:p>
    <w:p>
      <w:pPr>
        <w:pStyle w:val="BodyText3"/>
        <w:rPr/>
      </w:pPr>
      <w:r>
        <w:rPr/>
        <w:t>The Board of the California ISO voted to lower price caps for ancillary services and imbalance energy from $750 to $500.  A vote to further lower the caps to $250 was rejected by a 12 to 12 tie.  The Board also added provisions that reduced the price cap on replacement reserves from $750 to $100 and required suppliers to bid all available generation into the market in California when the California load reaches 38GWh.</w:t>
      </w:r>
    </w:p>
    <w:p>
      <w:pPr>
        <w:pStyle w:val="Normal"/>
        <w:rPr>
          <w:sz w:val="24"/>
        </w:rPr>
      </w:pPr>
      <w:r>
        <w:rPr>
          <w:sz w:val="24"/>
        </w:rPr>
      </w:r>
    </w:p>
    <w:p>
      <w:pPr>
        <w:pStyle w:val="Normal"/>
        <w:rPr>
          <w:sz w:val="24"/>
        </w:rPr>
      </w:pPr>
      <w:r>
        <w:rPr>
          <w:sz w:val="24"/>
        </w:rPr>
        <w:t>At a subsequent meeting on July 6, the Board again rejected a proposal to further reduce the price cap to $250.</w:t>
      </w:r>
    </w:p>
    <w:p>
      <w:pPr>
        <w:pStyle w:val="Normal"/>
        <w:rPr>
          <w:sz w:val="24"/>
        </w:rPr>
      </w:pPr>
      <w:r>
        <w:rPr>
          <w:sz w:val="24"/>
        </w:rPr>
      </w:r>
    </w:p>
    <w:p>
      <w:pPr>
        <w:pStyle w:val="Heading2"/>
        <w:ind w:hanging="0" w:start="0"/>
        <w:rPr/>
      </w:pPr>
      <w:r>
        <w:rPr/>
        <w:t>CPUC Issues Post-Transition Order</w:t>
      </w:r>
    </w:p>
    <w:p>
      <w:pPr>
        <w:pStyle w:val="BodyText3"/>
        <w:rPr/>
      </w:pPr>
      <w:r>
        <w:rPr/>
        <w:t>The California Public Utilities Commission (“CPUC”) issued an order addressing “end of transition” issues.  The major issues include the following:</w:t>
      </w:r>
    </w:p>
    <w:p>
      <w:pPr>
        <w:pStyle w:val="BodyText3"/>
        <w:numPr>
          <w:ilvl w:val="0"/>
          <w:numId w:val="2"/>
        </w:numPr>
        <w:rPr/>
      </w:pPr>
      <w:r>
        <w:rPr/>
        <w:t>Prohibits the utilities from capping monthly PX prices OR offering new alternative pricing products in order that the market will provide these products.</w:t>
      </w:r>
    </w:p>
    <w:p>
      <w:pPr>
        <w:pStyle w:val="BodyText3"/>
        <w:numPr>
          <w:ilvl w:val="0"/>
          <w:numId w:val="2"/>
        </w:numPr>
        <w:rPr/>
      </w:pPr>
      <w:r>
        <w:rPr/>
        <w:t>Rejected SDG&amp;E’s proposal for a procurement PBR as premature.</w:t>
      </w:r>
    </w:p>
    <w:p>
      <w:pPr>
        <w:pStyle w:val="BodyText3"/>
        <w:numPr>
          <w:ilvl w:val="0"/>
          <w:numId w:val="2"/>
        </w:numPr>
        <w:rPr/>
      </w:pPr>
      <w:r>
        <w:rPr/>
        <w:t xml:space="preserve">Maintained a mandatory buy requirement for the three UDCs until all three have recovered their transition costs, but expanded the buy requirement to include other “qualified” exchanges.  This portion of the decision was short-circuited by the legislature which maintained the mandatory buy requirement exclusively for the California PX unless or until the Commission performs a study and submits the results to the legislature.  In any event, the Commission cannot act prior to June 2001 on this issue.  </w:t>
      </w:r>
    </w:p>
    <w:p>
      <w:pPr>
        <w:pStyle w:val="Normal"/>
        <w:numPr>
          <w:ilvl w:val="0"/>
          <w:numId w:val="3"/>
        </w:numPr>
        <w:rPr>
          <w:sz w:val="24"/>
        </w:rPr>
      </w:pPr>
      <w:r>
        <w:rPr>
          <w:sz w:val="24"/>
        </w:rPr>
        <w:t>The CPUC adopted a new allocation method for Competition Transition Charges (“CTCs”) related to QF contracts.  The new allocation method is based on the top 100 hours of demand on the utility system, which will have the effect of shifting some costs from small consumers to large consumers.  This result, while moderately worse than the existing methodology, is significantly better than the initial proposal of an equal-cent-per-kWh allocation in the proposed decision.  Enron, along with the large consumer groups, actively lobbied against the proposed decision on this issue.</w:t>
      </w:r>
    </w:p>
    <w:p>
      <w:pPr>
        <w:pStyle w:val="Normal"/>
        <w:numPr>
          <w:ilvl w:val="0"/>
          <w:numId w:val="3"/>
        </w:numPr>
        <w:rPr>
          <w:sz w:val="24"/>
        </w:rPr>
      </w:pPr>
      <w:r>
        <w:rPr>
          <w:sz w:val="24"/>
        </w:rPr>
        <w:t>The decision provides for a lump-sum refund of San Diego Gas &amp; Electric’s excess bond proceeds rather than amortizing the excess proceeds over time.  From our book perspective, this is positive as the refund will occur during the term of our contracts.   Prospectively, however, this refund mechanism may increase rates for residential and small commercial customers as the repayment of the bonds will continue for several years after the end of the transition period and the  mandated 10% rate reduction will have ceased.</w:t>
      </w:r>
    </w:p>
    <w:p>
      <w:pPr>
        <w:pStyle w:val="Normal"/>
        <w:numPr>
          <w:ilvl w:val="0"/>
          <w:numId w:val="0"/>
        </w:numPr>
        <w:ind w:hanging="0" w:start="0"/>
        <w:rPr>
          <w:sz w:val="24"/>
        </w:rPr>
      </w:pPr>
      <w:r>
        <w:rPr>
          <w:sz w:val="24"/>
        </w:rPr>
      </w:r>
    </w:p>
    <w:p>
      <w:pPr>
        <w:pStyle w:val="Heading2"/>
        <w:numPr>
          <w:ilvl w:val="0"/>
          <w:numId w:val="0"/>
        </w:numPr>
        <w:ind w:hanging="0" w:start="0"/>
        <w:rPr/>
      </w:pPr>
      <w:r>
        <w:rPr/>
        <w:t>CPUC Issues Order on Valuation of Non-Nuclear Generating Assets</w:t>
      </w:r>
    </w:p>
    <w:p>
      <w:pPr>
        <w:pStyle w:val="BodyText3"/>
        <w:numPr>
          <w:ilvl w:val="0"/>
          <w:numId w:val="0"/>
        </w:numPr>
        <w:ind w:hanging="0" w:start="0"/>
        <w:rPr/>
      </w:pPr>
      <w:r>
        <w:rPr/>
        <w:t>The CPUC issued an order clarifying the accounting treatment of estimated market value for non-nuclear generating assets.  Adopting a position advocated by Enron, the CPUC restored language in the final order that provides incentives for utilities to file more aggressive values for the non-nuclear generating assets.</w:t>
      </w:r>
    </w:p>
    <w:p>
      <w:pPr>
        <w:pStyle w:val="BodyText3"/>
        <w:numPr>
          <w:ilvl w:val="0"/>
          <w:numId w:val="0"/>
        </w:numPr>
        <w:ind w:hanging="0" w:start="0"/>
        <w:rPr/>
      </w:pPr>
      <w:r>
        <w:rPr/>
      </w:r>
    </w:p>
    <w:p>
      <w:pPr>
        <w:pStyle w:val="Heading2"/>
        <w:numPr>
          <w:ilvl w:val="0"/>
          <w:numId w:val="0"/>
        </w:numPr>
        <w:ind w:hanging="0" w:start="0"/>
        <w:rPr/>
      </w:pPr>
      <w:r>
        <w:rPr/>
        <w:t>Implementation of AB 811 Yields Bottom Line Benefit</w:t>
      </w:r>
    </w:p>
    <w:p>
      <w:pPr>
        <w:pStyle w:val="Normal"/>
        <w:numPr>
          <w:ilvl w:val="0"/>
          <w:numId w:val="0"/>
        </w:numPr>
        <w:ind w:hanging="0" w:start="0"/>
        <w:rPr>
          <w:sz w:val="24"/>
        </w:rPr>
      </w:pPr>
      <w:r>
        <w:rPr>
          <w:sz w:val="24"/>
        </w:rPr>
        <w:t>California Assembly Bill 811, which was enacted last year, requires that direct access customers of record prior to June 30, 2000 make a one-time election about whether they wish their PX credit calculation to be based on actual usage data or on a class-average load profile.  If a customer does not actively choose, their PX credit will continue to be based upon the class average.  During the drafting of the bill, Enron proposed amendments to ensure that customers had the option to choose to base the calculation on actual usage date in order to protect EES’s existing book of business.  The successful implementation of AB811, through the combined efforts of Government Affairs, EES’s desk and operations, created a benefit of $2 million, conservatively, to the bottom line.</w:t>
      </w:r>
    </w:p>
    <w:p>
      <w:pPr>
        <w:pStyle w:val="Normal"/>
        <w:numPr>
          <w:ilvl w:val="0"/>
          <w:numId w:val="0"/>
        </w:numPr>
        <w:ind w:hanging="0" w:start="0"/>
        <w:rPr>
          <w:sz w:val="24"/>
        </w:rPr>
      </w:pPr>
      <w:r>
        <w:rPr>
          <w:sz w:val="24"/>
        </w:rPr>
      </w:r>
    </w:p>
    <w:p>
      <w:pPr>
        <w:pStyle w:val="BodyText3"/>
        <w:numPr>
          <w:ilvl w:val="0"/>
          <w:numId w:val="0"/>
        </w:numPr>
        <w:ind w:hanging="0" w:start="0"/>
        <w:rPr>
          <w:sz w:val="24"/>
        </w:rPr>
      </w:pPr>
      <w:r>
        <w:rPr>
          <w:sz w:val="24"/>
        </w:rPr>
      </w:r>
    </w:p>
    <w:p>
      <w:pPr>
        <w:pStyle w:val="BodyText3"/>
        <w:numPr>
          <w:ilvl w:val="0"/>
          <w:numId w:val="0"/>
        </w:numPr>
        <w:ind w:hanging="0" w:start="0"/>
        <w:rPr>
          <w:b/>
          <w:i/>
          <w:i/>
        </w:rPr>
      </w:pPr>
      <w:r>
        <w:rPr>
          <w:b/>
          <w:i/>
        </w:rPr>
        <w:t>Michigan</w:t>
      </w:r>
    </w:p>
    <w:p>
      <w:pPr>
        <w:pStyle w:val="BodyText3"/>
        <w:numPr>
          <w:ilvl w:val="0"/>
          <w:numId w:val="0"/>
        </w:numPr>
        <w:ind w:hanging="0" w:start="0"/>
        <w:rPr>
          <w:b/>
        </w:rPr>
      </w:pPr>
      <w:r>
        <w:rPr>
          <w:b/>
        </w:rPr>
        <w:t>Governor Signs Electric Restructuring Bill</w:t>
      </w:r>
    </w:p>
    <w:p>
      <w:pPr>
        <w:pStyle w:val="BodyText3"/>
        <w:numPr>
          <w:ilvl w:val="0"/>
          <w:numId w:val="0"/>
        </w:numPr>
        <w:ind w:hanging="0" w:start="0"/>
        <w:rPr/>
      </w:pPr>
      <w:r>
        <w:rPr/>
        <w:t>Michigan passed electric restructuring legislation that requires the Public Service Commission to issue orders by January 1, 2002 establishing the rates, terms and conditions of service that allow all retail electric customers (with the exception of customers of municipal utilities and some coop customers) to choose an alternative electric supplier.  The bill also calls for commercial and industrial rate unbundling to occur by mid-2001 and residential rate unbundling to be completed by January 1, 2002. The bill includes the following provisions:</w:t>
      </w:r>
    </w:p>
    <w:p>
      <w:pPr>
        <w:pStyle w:val="BodyText3"/>
        <w:numPr>
          <w:ilvl w:val="0"/>
          <w:numId w:val="3"/>
        </w:numPr>
        <w:rPr/>
      </w:pPr>
      <w:r>
        <w:rPr/>
        <w:t>Mandatory 5% rate discount for residential customers.</w:t>
      </w:r>
    </w:p>
    <w:p>
      <w:pPr>
        <w:pStyle w:val="BodyText3"/>
        <w:numPr>
          <w:ilvl w:val="0"/>
          <w:numId w:val="3"/>
        </w:numPr>
        <w:rPr/>
      </w:pPr>
      <w:r>
        <w:rPr/>
        <w:t>Rate freeze for customers less than 15 kW until 1/1/05.</w:t>
      </w:r>
    </w:p>
    <w:p>
      <w:pPr>
        <w:pStyle w:val="BodyText3"/>
        <w:numPr>
          <w:ilvl w:val="0"/>
          <w:numId w:val="3"/>
        </w:numPr>
        <w:rPr/>
      </w:pPr>
      <w:r>
        <w:rPr/>
        <w:t>Stranded costs to be netted against assets with a market value above book value, with an annual true-up to reconcile under- or over-recovery.</w:t>
      </w:r>
    </w:p>
    <w:p>
      <w:pPr>
        <w:pStyle w:val="BodyText3"/>
        <w:numPr>
          <w:ilvl w:val="0"/>
          <w:numId w:val="3"/>
        </w:numPr>
        <w:rPr/>
      </w:pPr>
      <w:r>
        <w:rPr/>
        <w:t>Utilities are allowed to securitize stranded costs.  Securitization proceeds can be used to buy-out or buy-down QF contracts.</w:t>
      </w:r>
    </w:p>
    <w:p>
      <w:pPr>
        <w:pStyle w:val="BodyText3"/>
        <w:numPr>
          <w:ilvl w:val="0"/>
          <w:numId w:val="3"/>
        </w:numPr>
        <w:rPr/>
      </w:pPr>
      <w:r>
        <w:rPr/>
        <w:t>Divestiture of utility generation assets is not required.</w:t>
      </w:r>
    </w:p>
    <w:p>
      <w:pPr>
        <w:pStyle w:val="BodyText3"/>
        <w:numPr>
          <w:ilvl w:val="0"/>
          <w:numId w:val="3"/>
        </w:numPr>
        <w:rPr/>
      </w:pPr>
      <w:r>
        <w:rPr/>
        <w:t>No transition charges (“exit fees”) for self generation.</w:t>
      </w:r>
    </w:p>
    <w:p>
      <w:pPr>
        <w:pStyle w:val="BodyText3"/>
        <w:numPr>
          <w:ilvl w:val="0"/>
          <w:numId w:val="3"/>
        </w:numPr>
        <w:rPr/>
      </w:pPr>
      <w:r>
        <w:rPr/>
        <w:t>Affiliate wheeling (from one self generation site to another site owned by the same company) is permitted and is not subject to transition charges.</w:t>
      </w:r>
    </w:p>
    <w:p>
      <w:pPr>
        <w:pStyle w:val="BodyText3"/>
        <w:numPr>
          <w:ilvl w:val="0"/>
          <w:numId w:val="3"/>
        </w:numPr>
        <w:rPr/>
      </w:pPr>
      <w:r>
        <w:rPr/>
        <w:t>Private non-utility distribution systems are permitted and may cross public rights-of-way.</w:t>
      </w:r>
    </w:p>
    <w:p>
      <w:pPr>
        <w:pStyle w:val="BodyText3"/>
        <w:numPr>
          <w:ilvl w:val="0"/>
          <w:numId w:val="3"/>
        </w:numPr>
        <w:rPr/>
      </w:pPr>
      <w:r>
        <w:rPr/>
        <w:t>Utilities in the lower peninsula must increase available transmission capacity by at least 2000 MW.</w:t>
      </w:r>
    </w:p>
    <w:p>
      <w:pPr>
        <w:pStyle w:val="BodyText3"/>
        <w:numPr>
          <w:ilvl w:val="0"/>
          <w:numId w:val="0"/>
        </w:numPr>
        <w:ind w:hanging="0" w:start="0"/>
        <w:rPr/>
      </w:pPr>
      <w:r>
        <w:rPr/>
      </w:r>
      <w:r>
        <w:br w:type="page"/>
      </w:r>
    </w:p>
    <w:p>
      <w:pPr>
        <w:pStyle w:val="BodyText3"/>
        <w:numPr>
          <w:ilvl w:val="0"/>
          <w:numId w:val="0"/>
        </w:numPr>
        <w:ind w:hanging="0" w:start="0"/>
        <w:rPr>
          <w:b/>
        </w:rPr>
      </w:pPr>
      <w:r>
        <w:rPr>
          <w:b/>
        </w:rPr>
        <w:t>PSC Issues Orders Implementing Electric Restructuring Legislation</w:t>
      </w:r>
    </w:p>
    <w:p>
      <w:pPr>
        <w:pStyle w:val="BodyText3"/>
        <w:numPr>
          <w:ilvl w:val="0"/>
          <w:numId w:val="0"/>
        </w:numPr>
        <w:ind w:hanging="0" w:start="0"/>
        <w:rPr/>
      </w:pPr>
      <w:r>
        <w:rPr/>
        <w:t>The Michigan Public Service Commission (“PSC”) issued a series of orders intended to implement or commence the process to implement electric restructuring legislation.  The orders issued by the PSC include the following:</w:t>
      </w:r>
    </w:p>
    <w:p>
      <w:pPr>
        <w:pStyle w:val="BodyText3"/>
        <w:numPr>
          <w:ilvl w:val="0"/>
          <w:numId w:val="3"/>
        </w:numPr>
        <w:rPr/>
      </w:pPr>
      <w:r>
        <w:rPr/>
        <w:t>Pending rate cases for Consumers Electric, Edison Electric and Detroit Edison were dismissed in light of the legislatively mandated rate freeze.</w:t>
      </w:r>
    </w:p>
    <w:p>
      <w:pPr>
        <w:pStyle w:val="BodyText3"/>
        <w:numPr>
          <w:ilvl w:val="0"/>
          <w:numId w:val="3"/>
        </w:numPr>
        <w:rPr/>
      </w:pPr>
      <w:r>
        <w:rPr/>
        <w:t>A marketer licensing program was established for competitive electricity providers.</w:t>
      </w:r>
    </w:p>
    <w:p>
      <w:pPr>
        <w:pStyle w:val="BodyText3"/>
        <w:numPr>
          <w:ilvl w:val="0"/>
          <w:numId w:val="3"/>
        </w:numPr>
        <w:rPr/>
      </w:pPr>
      <w:r>
        <w:rPr/>
        <w:t>A funding mechanism for customer education has been reopened for further input.</w:t>
      </w:r>
    </w:p>
    <w:p>
      <w:pPr>
        <w:pStyle w:val="BodyText3"/>
        <w:numPr>
          <w:ilvl w:val="0"/>
          <w:numId w:val="3"/>
        </w:numPr>
        <w:rPr/>
      </w:pPr>
      <w:r>
        <w:rPr/>
        <w:t>The pending Code of Conduct proceeding has been reopened to widen its scope to apply to all utilities and to alternate suppliers.</w:t>
      </w:r>
    </w:p>
    <w:p>
      <w:pPr>
        <w:pStyle w:val="BodyText3"/>
        <w:numPr>
          <w:ilvl w:val="0"/>
          <w:numId w:val="3"/>
        </w:numPr>
        <w:rPr/>
      </w:pPr>
      <w:r>
        <w:rPr/>
        <w:t>Cooperatives and small investor-owned utilities must file plans for retail choice by January 1, 2002.</w:t>
      </w:r>
    </w:p>
    <w:p>
      <w:pPr>
        <w:pStyle w:val="BodyText3"/>
        <w:numPr>
          <w:ilvl w:val="0"/>
          <w:numId w:val="3"/>
        </w:numPr>
        <w:rPr/>
      </w:pPr>
      <w:r>
        <w:rPr/>
        <w:t>A proceeding has commenced regarding interconnection standards for merchant plants.</w:t>
      </w:r>
    </w:p>
    <w:p>
      <w:pPr>
        <w:pStyle w:val="BodyText3"/>
        <w:numPr>
          <w:ilvl w:val="0"/>
          <w:numId w:val="3"/>
        </w:numPr>
        <w:rPr/>
      </w:pPr>
      <w:r>
        <w:rPr/>
        <w:t>Proposals will be accepted for implementing consumer and environmental information disclosure provisions of the legislation.</w:t>
      </w:r>
    </w:p>
    <w:p>
      <w:pPr>
        <w:pStyle w:val="BodyText3"/>
        <w:numPr>
          <w:ilvl w:val="0"/>
          <w:numId w:val="3"/>
        </w:numPr>
        <w:rPr/>
      </w:pPr>
      <w:r>
        <w:rPr/>
        <w:t>Consumers Energy and Detroit Edison are required to file tariffs to implement both experimental and comprehensive Retail Open Access programs.</w:t>
      </w:r>
    </w:p>
    <w:p>
      <w:pPr>
        <w:pStyle w:val="BodyText3"/>
        <w:rPr/>
      </w:pPr>
      <w:r>
        <w:rPr/>
      </w:r>
    </w:p>
    <w:p>
      <w:pPr>
        <w:pStyle w:val="BodyText3"/>
        <w:rPr/>
      </w:pPr>
      <w:r>
        <w:rPr/>
      </w:r>
    </w:p>
    <w:p>
      <w:pPr>
        <w:pStyle w:val="BodyText3"/>
        <w:rPr>
          <w:b/>
          <w:i/>
          <w:i/>
        </w:rPr>
      </w:pPr>
      <w:r>
        <w:rPr>
          <w:b/>
          <w:i/>
        </w:rPr>
        <w:t>Maryland</w:t>
      </w:r>
    </w:p>
    <w:p>
      <w:pPr>
        <w:pStyle w:val="BodyText3"/>
        <w:rPr>
          <w:b/>
        </w:rPr>
      </w:pPr>
      <w:r>
        <w:rPr>
          <w:b/>
        </w:rPr>
        <w:t>PSC Approves Genco Code of Conduct</w:t>
      </w:r>
    </w:p>
    <w:p>
      <w:pPr>
        <w:pStyle w:val="BodyText3"/>
        <w:rPr/>
      </w:pPr>
      <w:r>
        <w:rPr/>
        <w:t>The Maryland Public Service Commission (“PSC”) issued an order on July 1 establishing a code of conduct governing the relationships between a utility generating company and its affiliates.  The newly approved code of conduct applies to all utilities in the state and requires a three-way separation of the distribution utility, generating affiliate and marketing affiliate.   In addition, the order prohibits Delmarva from selling to retail customers directly from its generating affiliate; the generating affiliate must sell all power into the wholesale market.</w:t>
      </w:r>
    </w:p>
    <w:p>
      <w:pPr>
        <w:pStyle w:val="BodyText3"/>
        <w:rPr/>
      </w:pPr>
      <w:r>
        <w:rPr/>
      </w:r>
    </w:p>
    <w:p>
      <w:pPr>
        <w:pStyle w:val="BodyText3"/>
        <w:rPr>
          <w:b/>
        </w:rPr>
      </w:pPr>
      <w:r>
        <w:rPr>
          <w:b/>
        </w:rPr>
        <w:t>Court of Appeals Stays BGE Restructuring Settlement</w:t>
      </w:r>
    </w:p>
    <w:p>
      <w:pPr>
        <w:pStyle w:val="BodyText3"/>
        <w:rPr/>
      </w:pPr>
      <w:r>
        <w:rPr/>
        <w:t xml:space="preserve">The Maryland Court of Appeals has stayed the Baltimore Gas &amp; Electric (“BGE”) restructuring settlement in response to an appeal filed by the Mid-Atlantic Power Supply Association (“MAPSA”).  The restructuring settlement would have opened BGE’s service territory to retail customer choice on July 1.  MAPSA challenged the November settlement, arguing that the mandated 6.5% rate reduction is too large for competitors to participate in Maryland’s deregulated market.  </w:t>
      </w:r>
    </w:p>
    <w:p>
      <w:pPr>
        <w:pStyle w:val="BodyText3"/>
        <w:rPr/>
      </w:pPr>
      <w:r>
        <w:rPr/>
      </w:r>
    </w:p>
    <w:p>
      <w:pPr>
        <w:pStyle w:val="BodyText3"/>
        <w:rPr/>
      </w:pPr>
      <w:r>
        <w:rPr/>
        <w:t>The Court of Appeals did not address the merits of MAPSA’s appeal, instead focusing on whether MAPSA, a trade association of power suppliers, has standing to appeal the settlement.  The Court has scheduled a hearing for July 20</w:t>
      </w:r>
      <w:r>
        <w:rPr>
          <w:vertAlign w:val="superscript"/>
        </w:rPr>
        <w:t>th</w:t>
      </w:r>
      <w:r>
        <w:rPr/>
        <w:t xml:space="preserve"> to hear arguments on the standing issue, which means that the stay will be in effect at least through July 20</w:t>
      </w:r>
      <w:r>
        <w:rPr>
          <w:vertAlign w:val="superscript"/>
        </w:rPr>
        <w:t>th</w:t>
      </w:r>
      <w:r>
        <w:rPr/>
        <w:t>.  If the Court decides in favor of MAPSA on the standing issue, then it likely will trigger litigation at the lower court on the merits of  MAPSA’s appeal.  If the Court agrees with the lower court that MAPSA lacks standing, then the case is over and the settlement will go into effect as it stands. (Enron is not a member of MAPSA).</w:t>
      </w:r>
    </w:p>
    <w:p>
      <w:pPr>
        <w:pStyle w:val="BodyText3"/>
        <w:rPr/>
      </w:pPr>
      <w:r>
        <w:rPr/>
      </w:r>
    </w:p>
    <w:p>
      <w:pPr>
        <w:pStyle w:val="BodyText3"/>
        <w:rPr>
          <w:b/>
          <w:i/>
          <w:i/>
        </w:rPr>
      </w:pPr>
      <w:r>
        <w:rPr>
          <w:b/>
          <w:i/>
        </w:rPr>
        <w:t>Virginia</w:t>
      </w:r>
    </w:p>
    <w:p>
      <w:pPr>
        <w:pStyle w:val="BodyText3"/>
        <w:rPr>
          <w:b/>
        </w:rPr>
      </w:pPr>
      <w:r>
        <w:rPr>
          <w:b/>
        </w:rPr>
        <w:t>SCC Approves AEP Pilot Choice Program</w:t>
      </w:r>
    </w:p>
    <w:p>
      <w:pPr>
        <w:pStyle w:val="BodyText3"/>
        <w:rPr/>
      </w:pPr>
      <w:r>
        <w:rPr/>
        <w:t>The Virginia State Corporation Commission (“SCC”) has approved American Electric Power Company’s pilot electric choice program.  The program allows five percent of AEP’s customers to choose an alternate supplier on October 1, 2000 and an additional five percent of customers to choose in the Spring of 2001.</w:t>
      </w:r>
    </w:p>
    <w:p>
      <w:pPr>
        <w:pStyle w:val="BodyText3"/>
        <w:rPr/>
      </w:pPr>
      <w:r>
        <w:rPr/>
      </w:r>
    </w:p>
    <w:p>
      <w:pPr>
        <w:pStyle w:val="BodyText3"/>
        <w:rPr>
          <w:b/>
          <w:i/>
          <w:i/>
        </w:rPr>
      </w:pPr>
      <w:r>
        <w:rPr>
          <w:b/>
          <w:i/>
        </w:rPr>
      </w:r>
    </w:p>
    <w:p>
      <w:pPr>
        <w:pStyle w:val="BodyText3"/>
        <w:rPr>
          <w:b/>
          <w:i/>
          <w:i/>
        </w:rPr>
      </w:pPr>
      <w:r>
        <w:rPr>
          <w:b/>
          <w:i/>
        </w:rPr>
        <w:t>Bonneville Power Administration</w:t>
      </w:r>
    </w:p>
    <w:p>
      <w:pPr>
        <w:pStyle w:val="BodyText3"/>
        <w:rPr>
          <w:b/>
        </w:rPr>
      </w:pPr>
      <w:r>
        <w:rPr>
          <w:b/>
        </w:rPr>
        <w:t>EPMI Signs Settlement Agreement on Terms and Conditions with BPA</w:t>
      </w:r>
    </w:p>
    <w:p>
      <w:pPr>
        <w:pStyle w:val="BodyText"/>
        <w:rPr>
          <w:b w:val="false"/>
          <w:sz w:val="24"/>
        </w:rPr>
      </w:pPr>
      <w:r>
        <w:rPr>
          <w:b w:val="false"/>
          <w:sz w:val="24"/>
        </w:rPr>
        <w:t>EPMI recently signed a settlement agreement governing the terms and conditions in Bonneville Power Administration’s (BPA) transmission tariff.  This settlement moved BPA’s transmission tariff significantly closer to the FERC’s Pro Forma Tariff, Order No. 638 and current Commission orders, and EPMI’s business interests. The changes important to EPMI included: (1) OASIS conformance, (2) discounting, (3) waiver of deposits – if creditworthiness standards are met, (3) purchase of transmission simply between control areas (rather than having to name the end user and generator), (4) flexibility of service, (hourly firm service, daily firm service of 1-6 days, weekly firm service of 7 to 27 days, monthly service of 28 to 364 days), (5) uniform procedures for interconnections mirroring the Pro Forma provisions, (6) regarding delaying  implementation of service, removal of “bumping” and “accelerating” provisions (7) removing conditions for reassignment, (8) Power Business Line redispatching of federal hydro (uncompensated) after curtailment of non-firm transmission, before curtailment of firm, (9) customer self-supply of energy imbalance services if customers meet BPA’s conditions, (10) limited exposure to right of first refusal (“roll-over”) by existing contract holders, and for the capacity freed up thereby an “Open Season” for available transmission capacity with right of first refusal, (11) Regarding Termination of Service, BPA won’t file with FERC to terminate service but won’t terminate while in dispute resolution and will establish escrow accounts, and (12) BPA can propose changes to terms and conditions important to it joining an RTO.</w:t>
      </w:r>
    </w:p>
    <w:p>
      <w:pPr>
        <w:pStyle w:val="BodyText"/>
        <w:rPr>
          <w:b w:val="false"/>
          <w:sz w:val="24"/>
        </w:rPr>
      </w:pPr>
      <w:r>
        <w:rPr>
          <w:b w:val="false"/>
          <w:sz w:val="24"/>
        </w:rPr>
      </w:r>
    </w:p>
    <w:p>
      <w:pPr>
        <w:pStyle w:val="BodyText"/>
        <w:rPr>
          <w:sz w:val="24"/>
        </w:rPr>
      </w:pPr>
      <w:r>
        <w:rPr>
          <w:sz w:val="24"/>
        </w:rPr>
        <w:t>Enron Signs Settlement Agreement with BPA on Transmission Rates</w:t>
      </w:r>
    </w:p>
    <w:p>
      <w:pPr>
        <w:pStyle w:val="BodyText"/>
        <w:rPr>
          <w:b w:val="false"/>
          <w:sz w:val="24"/>
        </w:rPr>
      </w:pPr>
      <w:r>
        <w:rPr>
          <w:b w:val="false"/>
          <w:sz w:val="24"/>
        </w:rPr>
        <w:t>Enron signed an agreement with the parties in the BPA transmission rate case that would establish rates for October 2001 through September 2003.  Consistent with positions advocated by Enron, BPA agreed to lower the point-to-point transmission rate from $1.382 to $1.243, not to seasonally price the California intertie and to lower the unauthorized increase charge from six times to four times the monthly rate.  Parties agreed to use best efforts to develop an open access tariff as similar as practicable to the FERC pro forma tariff.  If negotiations on the tariff fail, the entire settlement agreement will be void.</w:t>
      </w:r>
    </w:p>
    <w:p>
      <w:pPr>
        <w:pStyle w:val="BodyText"/>
        <w:rPr>
          <w:b w:val="false"/>
          <w:sz w:val="24"/>
        </w:rPr>
      </w:pPr>
      <w:r>
        <w:rPr>
          <w:b w:val="false"/>
          <w:sz w:val="24"/>
        </w:rPr>
      </w:r>
      <w:r>
        <w:br w:type="page"/>
      </w:r>
    </w:p>
    <w:p>
      <w:pPr>
        <w:pStyle w:val="BodyText"/>
        <w:rPr>
          <w:sz w:val="24"/>
        </w:rPr>
      </w:pPr>
      <w:r>
        <w:rPr>
          <w:sz w:val="24"/>
        </w:rPr>
        <w:t>BPA Issues Final Record of Decision and Report to Congress on Power Rate Case</w:t>
      </w:r>
    </w:p>
    <w:p>
      <w:pPr>
        <w:pStyle w:val="BodyText"/>
        <w:rPr>
          <w:b w:val="false"/>
          <w:sz w:val="24"/>
        </w:rPr>
      </w:pPr>
      <w:r>
        <w:rPr>
          <w:b w:val="false"/>
          <w:sz w:val="24"/>
        </w:rPr>
        <w:t>In a recent report to Congress, BPA announced that it will now “encourage third-party or joint ownership through limited competition for new fiber optic projects.”  In particular, BPA stated that it will evaluate proposals from third parties to own the cable while providing BPA with the fiber it needs for operational and reliability purposes.  This announcement responds to concerns raised by Enron during the power rate case regarding BPA’s recovery of costs associated with investment in dark fiber.</w:t>
      </w:r>
    </w:p>
    <w:p>
      <w:pPr>
        <w:pStyle w:val="BodyText"/>
        <w:rPr>
          <w:b w:val="false"/>
          <w:sz w:val="24"/>
        </w:rPr>
      </w:pPr>
      <w:r>
        <w:rPr>
          <w:b w:val="false"/>
          <w:sz w:val="24"/>
        </w:rPr>
      </w:r>
    </w:p>
    <w:p>
      <w:pPr>
        <w:pStyle w:val="BodyText"/>
        <w:rPr>
          <w:b w:val="false"/>
          <w:sz w:val="24"/>
        </w:rPr>
      </w:pPr>
      <w:r>
        <w:rPr>
          <w:b w:val="false"/>
          <w:sz w:val="24"/>
        </w:rPr>
      </w:r>
    </w:p>
    <w:p>
      <w:pPr>
        <w:pStyle w:val="BodyText"/>
        <w:rPr>
          <w:i/>
          <w:i/>
          <w:sz w:val="24"/>
        </w:rPr>
      </w:pPr>
      <w:r>
        <w:rPr>
          <w:i/>
          <w:sz w:val="24"/>
        </w:rPr>
        <w:t>Federal</w:t>
      </w:r>
    </w:p>
    <w:p>
      <w:pPr>
        <w:pStyle w:val="BodyText"/>
        <w:rPr>
          <w:sz w:val="24"/>
        </w:rPr>
      </w:pPr>
      <w:r>
        <w:rPr>
          <w:sz w:val="24"/>
        </w:rPr>
        <w:t>Senate Passes Reliability Bill</w:t>
      </w:r>
    </w:p>
    <w:p>
      <w:pPr>
        <w:pStyle w:val="BodyText"/>
        <w:rPr>
          <w:b w:val="false"/>
          <w:sz w:val="24"/>
        </w:rPr>
      </w:pPr>
      <w:r>
        <w:rPr>
          <w:b w:val="false"/>
          <w:sz w:val="24"/>
        </w:rPr>
        <w:t xml:space="preserve">The US Senate passed, by unanimous consent, the Senator Gorton Reliability bill, </w:t>
      </w:r>
    </w:p>
    <w:p>
      <w:pPr>
        <w:pStyle w:val="BodyText"/>
        <w:rPr/>
      </w:pPr>
      <w:r>
        <w:rPr>
          <w:b w:val="false"/>
          <w:sz w:val="24"/>
        </w:rPr>
        <w:t>S. 2071.  It will now be sent to the House of Representatives.  The House Commerce Committee plans July 12</w:t>
      </w:r>
      <w:r>
        <w:rPr>
          <w:b w:val="false"/>
          <w:sz w:val="24"/>
          <w:vertAlign w:val="superscript"/>
        </w:rPr>
        <w:t>th</w:t>
      </w:r>
      <w:r>
        <w:rPr>
          <w:b w:val="false"/>
          <w:sz w:val="24"/>
        </w:rPr>
        <w:t xml:space="preserve"> Opening Statements with mark-up to commence on July 14</w:t>
      </w:r>
      <w:r>
        <w:rPr>
          <w:b w:val="false"/>
          <w:sz w:val="24"/>
          <w:vertAlign w:val="superscript"/>
        </w:rPr>
        <w:t>th</w:t>
      </w:r>
      <w:r>
        <w:rPr>
          <w:b w:val="false"/>
          <w:sz w:val="24"/>
        </w:rPr>
        <w:t>.</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July 7, 2000 Government Affairs Update</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Wingdings" w:hAnsi="Wingdings" w:cs="Wingdings" w:hint="default"/>
      </w:rPr>
    </w:lvl>
  </w:abstractNum>
  <w:abstractNum w:abstractNumId="3">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sz w:val="24"/>
    </w:rPr>
  </w:style>
  <w:style w:type="paragraph" w:styleId="Heading2">
    <w:name w:val="heading 2"/>
    <w:basedOn w:val="Normal"/>
    <w:next w:val="Normal"/>
    <w:qFormat/>
    <w:pPr>
      <w:keepNext w:val="true"/>
      <w:numPr>
        <w:ilvl w:val="1"/>
        <w:numId w:val="1"/>
      </w:numPr>
      <w:outlineLvl w:val="1"/>
    </w:pPr>
    <w:rPr>
      <w:b/>
      <w:sz w:val="24"/>
    </w:rPr>
  </w:style>
  <w:style w:type="character" w:styleId="WW8NumSt1z0">
    <w:name w:val="WW8NumSt1z0"/>
    <w:qFormat/>
    <w:rPr>
      <w:rFonts w:ascii="Wingdings" w:hAnsi="Wingdings" w:cs="Wingdings"/>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i/>
      <w:sz w:val="24"/>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2000-07-07T13:41:00Z</dcterms:created>
  <dc:creator>EES</dc:creator>
  <dc:description/>
  <dc:language>en-CA</dc:language>
  <cp:lastModifiedBy>gderneh</cp:lastModifiedBy>
  <cp:lastPrinted>2000-07-07T11:07:00Z</cp:lastPrinted>
  <dcterms:modified xsi:type="dcterms:W3CDTF">2000-07-07T13:41:00Z</dcterms:modified>
  <cp:revision>2</cp:revision>
  <dc:subject/>
  <dc:title>US/CANADA GOVERNMENT AFFAIRS</dc:title>
</cp:coreProperties>
</file>